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2026년 하반기 영업전략 (초안)</w:t>
      </w:r>
    </w:p>
    <w:p>
      <w:r>
        <w:t>작성: 김도윤 대리 / 작성일: 2026-07-10</w:t>
      </w:r>
    </w:p>
    <w:p>
      <w:r>
        <w:t>1. 주방용품 카테고리 매출 비중을 상반기 48%에서 55%까지 끌어올린다.</w:t>
      </w:r>
    </w:p>
    <w:p>
      <w:r>
        <w:t>2. 대성물산 단가 인상분을 반영해 판매가 재조정 여부를 8월 중 결정한다.</w:t>
      </w:r>
    </w:p>
    <w:p>
      <w:r>
        <w:t>3. 초록별상사 친환경 세제 라인 입점을 3분기 내 완료한다.</w:t>
      </w:r>
    </w:p>
    <w:p>
      <w:r>
        <w:t>4. 한빛리빙 라인은 현행 유지, 별도 액션 없음.</w:t>
      </w:r>
    </w:p>
    <w:p>
      <w:r>
        <w:t>* 이 문서는 초안이며 팀장 검토 전입니다.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