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spacing w:before="400" w:after="120"/>
        <w:jc w:val="center"/>
      </w:pPr>
      <w:r>
        <w:rPr>
          <w:rFonts w:ascii="微软雅黑" w:hAnsi="微软雅黑" w:eastAsia="微软雅黑"/>
          <w:b/>
          <w:color w:val="1F3864"/>
          <w:sz w:val="44"/>
        </w:rPr>
        <w:t>CRM 平台权限与操作手册</w:t>
      </w:r>
    </w:p>
    <w:p>
      <w:pPr>
        <w:spacing w:before="0" w:after="400"/>
        <w:jc w:val="center"/>
      </w:pPr>
      <w:r>
        <w:rPr>
          <w:rFonts w:ascii="微软雅黑" w:hAnsi="微软雅黑" w:eastAsia="微软雅黑"/>
          <w:b w:val="0"/>
          <w:color w:val="666666"/>
          <w:sz w:val="24"/>
        </w:rPr>
        <w:t>LCS Partners（经销商）适用</w:t>
      </w:r>
    </w:p>
    <w:p>
      <w:pPr>
        <w:spacing w:before="0" w:after="280"/>
        <w:jc w:val="center"/>
      </w:pPr>
      <w:r>
        <w:rPr>
          <w:rFonts w:ascii="微软雅黑" w:hAnsi="微软雅黑" w:eastAsia="微软雅黑"/>
          <w:b w:val="0"/>
          <w:color w:val="CCCCCC"/>
          <w:sz w:val="18"/>
        </w:rPr>
        <w:t>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before="80" w:after="80"/>
        <w:jc w:val="left"/>
      </w:pPr>
      <w:r>
        <w:rPr>
          <w:rFonts w:ascii="微软雅黑" w:hAnsi="微软雅黑" w:eastAsia="微软雅黑"/>
          <w:b/>
          <w:color w:val="1F3864"/>
          <w:sz w:val="28"/>
        </w:rPr>
        <w:t>一、CRM 平台权限配置</w:t>
      </w:r>
    </w:p>
    <w:p>
      <w:pPr>
        <w:spacing w:before="0" w:after="160"/>
        <w:jc w:val="left"/>
      </w:pPr>
      <w:r>
        <w:rPr>
          <w:rFonts w:ascii="微软雅黑" w:hAnsi="微软雅黑" w:eastAsia="微软雅黑"/>
          <w:b w:val="0"/>
          <w:sz w:val="21"/>
        </w:rPr>
        <w:t>下表列明各岗位在 CRM 平台可申请的角色默认访问范围。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21"/>
        <w:gridCol w:w="1821"/>
        <w:gridCol w:w="1821"/>
        <w:gridCol w:w="1821"/>
        <w:gridCol w:w="1821"/>
        <w:gridCol w:w="1821"/>
        <w:gridCol w:w="1821"/>
        <w:gridCol w:w="1821"/>
      </w:tblGrid>
      <w:tr>
        <w:tc>
          <w:tcPr>
            <w:tcW w:type="dxa" w:w="1304"/>
            <w:shd w:val="clear" w:color="auto" w:fill="1F3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岗位</w:t>
            </w:r>
          </w:p>
        </w:tc>
        <w:tc>
          <w:tcPr>
            <w:tcW w:type="dxa" w:w="1417"/>
            <w:shd w:val="clear" w:color="auto" w:fill="1F3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所属范围</w:t>
            </w:r>
          </w:p>
        </w:tc>
        <w:tc>
          <w:tcPr>
            <w:tcW w:type="dxa" w:w="2154"/>
            <w:shd w:val="clear" w:color="auto" w:fill="1F3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通用角色</w:t>
            </w:r>
          </w:p>
        </w:tc>
        <w:tc>
          <w:tcPr>
            <w:tcW w:type="dxa" w:w="1871"/>
            <w:shd w:val="clear" w:color="auto" w:fill="1F3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手机报表角色</w:t>
            </w:r>
          </w:p>
        </w:tc>
        <w:tc>
          <w:tcPr>
            <w:tcW w:type="dxa" w:w="1871"/>
            <w:shd w:val="clear" w:color="auto" w:fill="1F3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CCMD 角色</w:t>
            </w:r>
          </w:p>
        </w:tc>
        <w:tc>
          <w:tcPr>
            <w:tcW w:type="dxa" w:w="1757"/>
            <w:shd w:val="clear" w:color="auto" w:fill="1F3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圈人发券角色</w:t>
            </w:r>
          </w:p>
        </w:tc>
        <w:tc>
          <w:tcPr>
            <w:tcW w:type="dxa" w:w="1984"/>
            <w:shd w:val="clear" w:color="auto" w:fill="1F3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Adhoc 报表</w:t>
            </w:r>
          </w:p>
        </w:tc>
        <w:tc>
          <w:tcPr>
            <w:tcW w:type="dxa" w:w="1871"/>
            <w:shd w:val="clear" w:color="auto" w:fill="1F3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0"/>
              </w:rPr>
              <w:t>微伴 LCS 管理员</w:t>
            </w:r>
          </w:p>
        </w:tc>
      </w:tr>
      <w:tr>
        <w:tc>
          <w:tcPr>
            <w:tcW w:type="dxa" w:w="1304"/>
            <w:shd w:val="clear" w:color="auto" w:fill="1F3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店员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单一门店</w:t>
            </w:r>
          </w:p>
        </w:tc>
        <w:tc>
          <w:tcPr>
            <w:tcW w:type="dxa" w:w="2154"/>
            <w:shd w:val="clear" w:color="auto" w:fill="E2EFD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375623"/>
                <w:sz w:val="20"/>
              </w:rPr>
              <w:t>LCS 门店销售（通用）</w:t>
            </w:r>
          </w:p>
        </w:tc>
        <w:tc>
          <w:tcPr>
            <w:tcW w:type="dxa" w:w="1871"/>
            <w:shd w:val="clear" w:color="auto" w:fill="E8E8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AAAAAA"/>
                <w:sz w:val="22"/>
              </w:rPr>
              <w:t>—</w:t>
            </w:r>
          </w:p>
        </w:tc>
        <w:tc>
          <w:tcPr>
            <w:tcW w:type="dxa" w:w="1871"/>
            <w:shd w:val="clear" w:color="auto" w:fill="E8E8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AAAAAA"/>
                <w:sz w:val="22"/>
              </w:rPr>
              <w:t>—</w:t>
            </w:r>
          </w:p>
        </w:tc>
        <w:tc>
          <w:tcPr>
            <w:tcW w:type="dxa" w:w="1757"/>
            <w:shd w:val="clear" w:color="auto" w:fill="E8E8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AAAAAA"/>
                <w:sz w:val="22"/>
              </w:rPr>
              <w:t>—</w:t>
            </w:r>
          </w:p>
        </w:tc>
        <w:tc>
          <w:tcPr>
            <w:tcW w:type="dxa" w:w="1984"/>
            <w:shd w:val="clear" w:color="auto" w:fill="E8E8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AAAAAA"/>
                <w:sz w:val="22"/>
              </w:rPr>
              <w:t>—</w:t>
            </w:r>
          </w:p>
        </w:tc>
        <w:tc>
          <w:tcPr>
            <w:tcW w:type="dxa" w:w="1871"/>
            <w:shd w:val="clear" w:color="auto" w:fill="E8E8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AAAAAA"/>
                <w:sz w:val="22"/>
              </w:rPr>
              <w:t>—</w:t>
            </w:r>
          </w:p>
        </w:tc>
      </w:tr>
      <w:tr>
        <w:tc>
          <w:tcPr>
            <w:tcW w:type="dxa" w:w="1304"/>
            <w:shd w:val="clear" w:color="auto" w:fill="1F3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店长</w:t>
            </w:r>
          </w:p>
        </w:tc>
        <w:tc>
          <w:tcPr>
            <w:tcW w:type="dxa" w:w="1417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单一门店</w:t>
            </w:r>
          </w:p>
        </w:tc>
        <w:tc>
          <w:tcPr>
            <w:tcW w:type="dxa" w:w="2154"/>
            <w:shd w:val="clear" w:color="auto" w:fill="E2EFD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375623"/>
                <w:sz w:val="20"/>
              </w:rPr>
              <w:t>LCS 门店销售（通用）</w:t>
            </w:r>
          </w:p>
        </w:tc>
        <w:tc>
          <w:tcPr>
            <w:tcW w:type="dxa" w:w="1871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20"/>
              </w:rPr>
              <w:t>MD - LCS Mgmt</w:t>
            </w:r>
          </w:p>
        </w:tc>
        <w:tc>
          <w:tcPr>
            <w:tcW w:type="dxa" w:w="1871"/>
            <w:shd w:val="clear" w:color="auto" w:fill="E8E8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AAAAAA"/>
                <w:sz w:val="22"/>
              </w:rPr>
              <w:t>—</w:t>
            </w:r>
          </w:p>
        </w:tc>
        <w:tc>
          <w:tcPr>
            <w:tcW w:type="dxa" w:w="1757"/>
            <w:shd w:val="clear" w:color="auto" w:fill="E8E8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AAAAAA"/>
                <w:sz w:val="22"/>
              </w:rPr>
              <w:t>—</w:t>
            </w:r>
          </w:p>
        </w:tc>
        <w:tc>
          <w:tcPr>
            <w:tcW w:type="dxa" w:w="1984"/>
            <w:shd w:val="clear" w:color="auto" w:fill="E8E8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AAAAAA"/>
                <w:sz w:val="22"/>
              </w:rPr>
              <w:t>—</w:t>
            </w:r>
          </w:p>
        </w:tc>
        <w:tc>
          <w:tcPr>
            <w:tcW w:type="dxa" w:w="1871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E36C09"/>
                <w:sz w:val="20"/>
              </w:rPr>
              <w:t>按需配置</w:t>
            </w:r>
          </w:p>
        </w:tc>
      </w:tr>
      <w:tr>
        <w:tc>
          <w:tcPr>
            <w:tcW w:type="dxa" w:w="1304"/>
            <w:shd w:val="clear" w:color="auto" w:fill="1F3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区域经理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大区</w:t>
            </w:r>
          </w:p>
        </w:tc>
        <w:tc>
          <w:tcPr>
            <w:tcW w:type="dxa" w:w="2154"/>
            <w:shd w:val="clear" w:color="auto" w:fill="E2EFD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375623"/>
                <w:sz w:val="20"/>
              </w:rPr>
              <w:t>LCS 总部运营（通用）</w:t>
            </w:r>
          </w:p>
        </w:tc>
        <w:tc>
          <w:tcPr>
            <w:tcW w:type="dxa" w:w="1871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20"/>
              </w:rPr>
              <w:t>MD - LCS Mgmt</w:t>
            </w:r>
          </w:p>
        </w:tc>
        <w:tc>
          <w:tcPr>
            <w:tcW w:type="dxa" w:w="1871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20"/>
              </w:rPr>
              <w:t>CCMD LCS User</w:t>
            </w:r>
          </w:p>
        </w:tc>
        <w:tc>
          <w:tcPr>
            <w:tcW w:type="dxa" w:w="1757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营销触达_LCS</w:t>
            </w:r>
          </w:p>
        </w:tc>
        <w:tc>
          <w:tcPr>
            <w:tcW w:type="dxa" w:w="1984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Data PM 按需配置</w:t>
            </w:r>
          </w:p>
        </w:tc>
        <w:tc>
          <w:tcPr>
            <w:tcW w:type="dxa" w:w="1871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E36C09"/>
                <w:sz w:val="20"/>
              </w:rPr>
              <w:t>按需配置</w:t>
            </w:r>
          </w:p>
        </w:tc>
      </w:tr>
      <w:tr>
        <w:tc>
          <w:tcPr>
            <w:tcW w:type="dxa" w:w="1304"/>
            <w:shd w:val="clear" w:color="auto" w:fill="1F3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运营</w:t>
            </w:r>
          </w:p>
        </w:tc>
        <w:tc>
          <w:tcPr>
            <w:tcW w:type="dxa" w:w="1417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大区</w:t>
            </w:r>
          </w:p>
        </w:tc>
        <w:tc>
          <w:tcPr>
            <w:tcW w:type="dxa" w:w="2154"/>
            <w:shd w:val="clear" w:color="auto" w:fill="E2EFD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375623"/>
                <w:sz w:val="20"/>
              </w:rPr>
              <w:t>LCS 总部运营（通用）</w:t>
            </w:r>
          </w:p>
        </w:tc>
        <w:tc>
          <w:tcPr>
            <w:tcW w:type="dxa" w:w="1871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20"/>
              </w:rPr>
              <w:t>MD - LCS Mgmt</w:t>
            </w:r>
          </w:p>
        </w:tc>
        <w:tc>
          <w:tcPr>
            <w:tcW w:type="dxa" w:w="1871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20"/>
              </w:rPr>
              <w:t>CCMD LCS User</w:t>
            </w:r>
          </w:p>
        </w:tc>
        <w:tc>
          <w:tcPr>
            <w:tcW w:type="dxa" w:w="1757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营销触达_LCS</w:t>
            </w:r>
          </w:p>
        </w:tc>
        <w:tc>
          <w:tcPr>
            <w:tcW w:type="dxa" w:w="1984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Data PM 按需配置</w:t>
            </w:r>
          </w:p>
        </w:tc>
        <w:tc>
          <w:tcPr>
            <w:tcW w:type="dxa" w:w="1871"/>
            <w:shd w:val="clear" w:color="auto" w:fill="F2F2F2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E36C09"/>
                <w:sz w:val="20"/>
              </w:rPr>
              <w:t>按需配置</w:t>
            </w:r>
          </w:p>
        </w:tc>
      </w:tr>
      <w:tr>
        <w:tc>
          <w:tcPr>
            <w:tcW w:type="dxa" w:w="1304"/>
            <w:shd w:val="clear" w:color="auto" w:fill="1F3864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FFFFFF"/>
                <w:sz w:val="21"/>
              </w:rPr>
              <w:t>经销商管理层</w:t>
            </w:r>
          </w:p>
        </w:tc>
        <w:tc>
          <w:tcPr>
            <w:tcW w:type="dxa" w:w="1417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sz w:val="20"/>
              </w:rPr>
              <w:t>全部门店</w:t>
            </w:r>
          </w:p>
        </w:tc>
        <w:tc>
          <w:tcPr>
            <w:tcW w:type="dxa" w:w="2154"/>
            <w:shd w:val="clear" w:color="auto" w:fill="E2EFDA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375623"/>
                <w:sz w:val="20"/>
              </w:rPr>
              <w:t>LCS 总部运营（通用）</w:t>
            </w:r>
          </w:p>
        </w:tc>
        <w:tc>
          <w:tcPr>
            <w:tcW w:type="dxa" w:w="1871"/>
            <w:shd w:val="clear" w:color="auto" w:fill="FFFFFF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/>
                <w:color w:val="1F3864"/>
                <w:sz w:val="20"/>
              </w:rPr>
              <w:t>MD - LCS LT</w:t>
            </w:r>
          </w:p>
        </w:tc>
        <w:tc>
          <w:tcPr>
            <w:tcW w:type="dxa" w:w="1871"/>
            <w:shd w:val="clear" w:color="auto" w:fill="E8E8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AAAAAA"/>
                <w:sz w:val="22"/>
              </w:rPr>
              <w:t>—</w:t>
            </w:r>
          </w:p>
        </w:tc>
        <w:tc>
          <w:tcPr>
            <w:tcW w:type="dxa" w:w="1757"/>
            <w:shd w:val="clear" w:color="auto" w:fill="E8E8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AAAAAA"/>
                <w:sz w:val="22"/>
              </w:rPr>
              <w:t>—</w:t>
            </w:r>
          </w:p>
        </w:tc>
        <w:tc>
          <w:tcPr>
            <w:tcW w:type="dxa" w:w="1984"/>
            <w:shd w:val="clear" w:color="auto" w:fill="E8E8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AAAAAA"/>
                <w:sz w:val="22"/>
              </w:rPr>
              <w:t>—</w:t>
            </w:r>
          </w:p>
        </w:tc>
        <w:tc>
          <w:tcPr>
            <w:tcW w:type="dxa" w:w="1871"/>
            <w:shd w:val="clear" w:color="auto" w:fill="E8E8E8"/>
            <w:tcMar>
              <w:top w:w="80" w:type="dxa"/>
              <w:bottom w:w="80" w:type="dxa"/>
              <w:left w:w="100" w:type="dxa"/>
              <w:right w:w="10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微软雅黑" w:hAnsi="微软雅黑" w:eastAsia="微软雅黑"/>
                <w:b w:val="0"/>
                <w:color w:val="AAAAAA"/>
                <w:sz w:val="22"/>
              </w:rPr>
              <w:t>—</w:t>
            </w:r>
          </w:p>
        </w:tc>
      </w:tr>
    </w:tbl>
    <w:p>
      <w:pPr>
        <w:spacing w:before="40" w:after="40"/>
        <w:jc w:val="left"/>
      </w:pPr>
    </w:p>
    <w:p>
      <w:pPr>
        <w:spacing w:before="80" w:after="40"/>
        <w:jc w:val="left"/>
      </w:pPr>
      <w:r>
        <w:rPr>
          <w:rFonts w:ascii="微软雅黑" w:hAnsi="微软雅黑" w:eastAsia="微软雅黑"/>
          <w:b/>
          <w:color w:val="1F3864"/>
          <w:sz w:val="22"/>
        </w:rPr>
        <w:t>说明</w:t>
      </w:r>
    </w:p>
    <w:p>
      <w:pPr>
        <w:pStyle w:val="ListBullet"/>
        <w:spacing w:before="20" w:after="60"/>
        <w:ind w:left="340"/>
      </w:pPr>
      <w:r>
        <w:rPr>
          <w:rFonts w:ascii="微软雅黑" w:hAnsi="微软雅黑" w:eastAsia="微软雅黑"/>
          <w:b w:val="0"/>
          <w:sz w:val="21"/>
        </w:rPr>
        <w:t>所属范围决定数据可见边界：单一门店仅可查看本店数据；大区可查看区域内所有门店；全部门店适用于经销商管理层。</w:t>
      </w:r>
    </w:p>
    <w:p>
      <w:pPr>
        <w:pStyle w:val="ListBullet"/>
        <w:spacing w:before="20" w:after="60"/>
        <w:ind w:left="340"/>
      </w:pPr>
      <w:r>
        <w:rPr>
          <w:rFonts w:ascii="微软雅黑" w:hAnsi="微软雅黑" w:eastAsia="微软雅黑"/>
          <w:b w:val="0"/>
          <w:sz w:val="21"/>
        </w:rPr>
        <w:t>角色按最小权限原则申请（见下方规则），申请人可按需考量。</w:t>
      </w:r>
    </w:p>
    <w:p>
      <w:pPr>
        <w:pStyle w:val="ListBullet"/>
        <w:spacing w:before="20" w:after="60"/>
        <w:ind w:left="340"/>
      </w:pPr>
      <w:r>
        <w:rPr>
          <w:rFonts w:ascii="微软雅黑" w:hAnsi="微软雅黑" w:eastAsia="微软雅黑"/>
          <w:b w:val="0"/>
          <w:sz w:val="21"/>
        </w:rPr>
        <w:t>微伴 LCS 管理员为第三方平台权限，按业务实际需要单独开通，不随岗位默认开通。</w:t>
      </w:r>
    </w:p>
    <w:p>
      <w:pPr>
        <w:spacing w:before="120" w:after="0"/>
        <w:jc w:val="left"/>
      </w:pPr>
    </w:p>
    <w:p>
      <w:pPr>
        <w:spacing w:before="120" w:after="80"/>
        <w:jc w:val="left"/>
      </w:pPr>
      <w:r>
        <w:rPr>
          <w:rFonts w:ascii="微软雅黑" w:hAnsi="微软雅黑" w:eastAsia="微软雅黑"/>
          <w:b/>
          <w:color w:val="1F3864"/>
          <w:sz w:val="28"/>
        </w:rPr>
        <w:t>二、操作规则</w:t>
      </w:r>
    </w:p>
    <w:p>
      <w:pPr>
        <w:spacing w:before="160" w:after="60"/>
        <w:jc w:val="left"/>
      </w:pPr>
      <w:r>
        <w:rPr>
          <w:rFonts w:ascii="微软雅黑" w:hAnsi="微软雅黑" w:eastAsia="微软雅黑"/>
          <w:b/>
          <w:color w:val="1F3864"/>
          <w:sz w:val="23"/>
        </w:rPr>
        <w:t>账号申请</w:t>
      </w:r>
    </w:p>
    <w:p>
      <w:pPr>
        <w:pStyle w:val="ListBullet"/>
        <w:spacing w:before="20" w:after="60"/>
        <w:ind w:left="340"/>
      </w:pPr>
      <w:r>
        <w:rPr>
          <w:rFonts w:ascii="微软雅黑" w:hAnsi="微软雅黑" w:eastAsia="微软雅黑"/>
          <w:b w:val="0"/>
          <w:sz w:val="21"/>
        </w:rPr>
        <w:t>所有账号申请须由 KAM（区域经理）在 Service Now 上提交，口头申请不作为执行依据。</w:t>
      </w:r>
    </w:p>
    <w:p>
      <w:pPr>
        <w:pStyle w:val="ListBullet"/>
        <w:spacing w:before="20" w:after="60"/>
        <w:ind w:left="340"/>
      </w:pPr>
      <w:r>
        <w:rPr>
          <w:rFonts w:ascii="微软雅黑" w:hAnsi="微软雅黑" w:eastAsia="微软雅黑"/>
          <w:b w:val="0"/>
          <w:sz w:val="21"/>
        </w:rPr>
        <w:t>申请时须注明岗位、所属门店/区域及业务用途，L1 据此配置对应角色。</w:t>
      </w:r>
    </w:p>
    <w:p>
      <w:pPr>
        <w:spacing w:before="160" w:after="60"/>
        <w:jc w:val="left"/>
      </w:pPr>
      <w:r>
        <w:rPr>
          <w:rFonts w:ascii="微软雅黑" w:hAnsi="微软雅黑" w:eastAsia="微软雅黑"/>
          <w:b/>
          <w:color w:val="1F3864"/>
          <w:sz w:val="23"/>
        </w:rPr>
        <w:t>最小权限原则</w:t>
      </w:r>
    </w:p>
    <w:p>
      <w:pPr>
        <w:pStyle w:val="ListBullet"/>
        <w:spacing w:before="20" w:after="60"/>
        <w:ind w:left="340"/>
      </w:pPr>
      <w:r>
        <w:rPr>
          <w:rFonts w:ascii="微软雅黑" w:hAnsi="微软雅黑" w:eastAsia="微软雅黑"/>
          <w:b w:val="0"/>
          <w:sz w:val="21"/>
        </w:rPr>
        <w:t>申请者应仅申请履行本岗位职能所需的最小权限，避免越权申请超出岗位职能范围的角色。</w:t>
      </w:r>
    </w:p>
    <w:p>
      <w:pPr>
        <w:pStyle w:val="ListBullet"/>
        <w:spacing w:before="20" w:after="60"/>
        <w:ind w:left="340"/>
      </w:pPr>
      <w:r>
        <w:rPr>
          <w:rFonts w:ascii="微软雅黑" w:hAnsi="微软雅黑" w:eastAsia="微软雅黑"/>
          <w:b w:val="0"/>
          <w:sz w:val="21"/>
        </w:rPr>
        <w:t>如需申请本文件岗位默认范围以外的额外权限，须在 Service Now 工单中额外说明业务理由，并经业务负责人审批后方可执行。</w:t>
      </w:r>
    </w:p>
    <w:p>
      <w:pPr>
        <w:spacing w:before="160" w:after="60"/>
        <w:jc w:val="left"/>
      </w:pPr>
      <w:r>
        <w:rPr>
          <w:rFonts w:ascii="微软雅黑" w:hAnsi="微软雅黑" w:eastAsia="微软雅黑"/>
          <w:b/>
          <w:color w:val="1F3864"/>
          <w:sz w:val="23"/>
        </w:rPr>
        <w:t>权限边界</w:t>
      </w:r>
    </w:p>
    <w:p>
      <w:pPr>
        <w:pStyle w:val="ListBullet"/>
        <w:spacing w:before="20" w:after="60"/>
        <w:ind w:left="340"/>
      </w:pPr>
      <w:r>
        <w:rPr>
          <w:rFonts w:ascii="微软雅黑" w:hAnsi="微软雅黑" w:eastAsia="微软雅黑"/>
          <w:b w:val="0"/>
          <w:sz w:val="21"/>
        </w:rPr>
        <w:t>各岗位可申请的角色以本文件为准，实际配置不得超出对应岗位的角色范围。</w:t>
      </w:r>
    </w:p>
    <w:p>
      <w:pPr>
        <w:pStyle w:val="ListBullet"/>
        <w:spacing w:before="20" w:after="60"/>
        <w:ind w:left="340"/>
      </w:pPr>
      <w:r>
        <w:rPr>
          <w:rFonts w:ascii="微软雅黑" w:hAnsi="微软雅黑" w:eastAsia="微软雅黑"/>
          <w:b w:val="0"/>
          <w:sz w:val="21"/>
        </w:rPr>
        <w:t>任何超出本文件定义范围的权限申请，须提供业务理由并经业务负责人审批。</w:t>
      </w:r>
    </w:p>
    <w:p>
      <w:pPr>
        <w:spacing w:before="160" w:after="60"/>
        <w:jc w:val="left"/>
      </w:pPr>
      <w:r>
        <w:rPr>
          <w:rFonts w:ascii="微软雅黑" w:hAnsi="微软雅黑" w:eastAsia="微软雅黑"/>
          <w:b/>
          <w:color w:val="1F3864"/>
          <w:sz w:val="23"/>
        </w:rPr>
        <w:t>账号停用</w:t>
      </w:r>
    </w:p>
    <w:p>
      <w:pPr>
        <w:pStyle w:val="ListBullet"/>
        <w:spacing w:before="20" w:after="60"/>
        <w:ind w:left="340"/>
      </w:pPr>
      <w:r>
        <w:rPr>
          <w:rFonts w:ascii="微软雅黑" w:hAnsi="微软雅黑" w:eastAsia="微软雅黑"/>
          <w:b w:val="0"/>
          <w:sz w:val="21"/>
        </w:rPr>
        <w:t>人员离职或离店须尽快通知 KAM 在 Service Now 上提交停用申请。</w:t>
      </w:r>
    </w:p>
    <w:sectPr w:rsidR="00FC693F" w:rsidRPr="0006063C" w:rsidSect="00034616">
      <w:pgSz w:w="16838" w:h="11906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