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Zoning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standards</w:t>
      </w:r>
      <w:r>
        <w:t xml:space="preserve"> </w:t>
      </w:r>
      <w:r>
        <w:t xml:space="preserve">for</w:t>
      </w:r>
      <w:r>
        <w:t xml:space="preserve"> </w:t>
      </w:r>
      <w:r>
        <w:t xml:space="preserve">identifying</w:t>
      </w:r>
      <w:r>
        <w:t xml:space="preserve"> </w:t>
      </w:r>
      <w:r>
        <w:t xml:space="preserve">housing</w:t>
      </w:r>
      <w:r>
        <w:t xml:space="preserve"> </w:t>
      </w:r>
      <w:r>
        <w:t xml:space="preserve">capacity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100 words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Describe the need</w:t>
      </w:r>
    </w:p>
    <w:p>
      <w:pPr>
        <w:pStyle w:val="BodyText"/>
      </w:pPr>
      <w:r>
        <w:t xml:space="preserve">Describe prior work</w:t>
      </w:r>
    </w:p>
    <w:p>
      <w:pPr>
        <w:pStyle w:val="BodyText"/>
      </w:pPr>
      <w:r>
        <w:t xml:space="preserve">Describe challenges</w:t>
      </w:r>
    </w:p>
    <w:p>
      <w:pPr>
        <w:pStyle w:val="BodyText"/>
      </w:pPr>
      <w:r>
        <w:t xml:space="preserve">Usefulness and significance</w:t>
      </w:r>
    </w:p>
    <w:bookmarkEnd w:id="21"/>
    <w:bookmarkStart w:id="25" w:name="data-structures"/>
    <w:p>
      <w:pPr>
        <w:pStyle w:val="Heading1"/>
      </w:pPr>
      <w:r>
        <w:t xml:space="preserve">Data structures</w:t>
      </w:r>
    </w:p>
    <w:p>
      <w:pPr>
        <w:pStyle w:val="FirstParagraph"/>
      </w:pPr>
      <w:r>
        <w:t xml:space="preserve">Describe each of the data structures</w:t>
      </w:r>
    </w:p>
    <w:bookmarkStart w:id="22" w:name="zoning-constraints"/>
    <w:p>
      <w:pPr>
        <w:pStyle w:val="Heading2"/>
      </w:pPr>
      <w:r>
        <w:t xml:space="preserve">Zoning constraints</w:t>
      </w:r>
    </w:p>
    <w:p>
      <w:pPr>
        <w:pStyle w:val="FirstParagraph"/>
      </w:pPr>
      <w:r>
        <w:t xml:space="preserve">How zoning constraints are encoded</w:t>
      </w:r>
    </w:p>
    <w:bookmarkEnd w:id="22"/>
    <w:bookmarkStart w:id="23" w:name="parcel-geometry"/>
    <w:p>
      <w:pPr>
        <w:pStyle w:val="Heading2"/>
      </w:pPr>
      <w:r>
        <w:t xml:space="preserve">Parcel geometry</w:t>
      </w:r>
    </w:p>
    <w:p>
      <w:pPr>
        <w:pStyle w:val="FirstParagraph"/>
      </w:pPr>
      <w:r>
        <w:t xml:space="preserve">How parcel geometry is encoded.</w:t>
      </w:r>
    </w:p>
    <w:bookmarkEnd w:id="23"/>
    <w:bookmarkStart w:id="24" w:name="building-characteristics"/>
    <w:p>
      <w:pPr>
        <w:pStyle w:val="Heading2"/>
      </w:pPr>
      <w:r>
        <w:t xml:space="preserve">Building characteristics</w:t>
      </w:r>
    </w:p>
    <w:p>
      <w:pPr>
        <w:pStyle w:val="FirstParagraph"/>
      </w:pPr>
      <w:r>
        <w:t xml:space="preserve">How building characteristics are encoded</w:t>
      </w:r>
    </w:p>
    <w:bookmarkEnd w:id="24"/>
    <w:bookmarkEnd w:id="25"/>
    <w:bookmarkStart w:id="26" w:name="analysis-methods"/>
    <w:p>
      <w:pPr>
        <w:pStyle w:val="Heading1"/>
      </w:pPr>
      <w:r>
        <w:t xml:space="preserve">Analysis methods</w:t>
      </w:r>
    </w:p>
    <w:p>
      <w:pPr>
        <w:pStyle w:val="FirstParagraph"/>
      </w:pPr>
      <w:r>
        <w:t xml:space="preserve">This part gets into how the analysis works.</w:t>
      </w:r>
    </w:p>
    <w:bookmarkEnd w:id="26"/>
    <w:bookmarkStart w:id="31" w:name="illustrative-example"/>
    <w:p>
      <w:pPr>
        <w:pStyle w:val="Heading1"/>
      </w:pPr>
      <w:r>
        <w:t xml:space="preserve">Illustrative Example</w:t>
      </w:r>
    </w:p>
    <w:p>
      <w:pPr>
        <w:pStyle w:val="FirstParagraph"/>
      </w:pPr>
      <w:r>
        <w:t xml:space="preserve">To illustrate the methods above, we define a four-unit residential building and identify all parcels across two adjacent municipalities in Texas (Dallas and Irving) where that building would be compliant with existing zoning regulations.</w:t>
      </w:r>
      <w:r>
        <w:t xml:space="preserve"> </w:t>
      </w:r>
      <w:hyperlink w:anchor="fig-boundary-map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extents of these two cities.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boundary-map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boundary-map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Boundaries of municipalites included in illustrative example</w:t>
            </w:r>
          </w:p>
          <w:bookmarkEnd w:id="30"/>
        </w:tc>
      </w:tr>
    </w:tbl>
    <w:bookmarkEnd w:id="31"/>
    <w:bookmarkStart w:id="32" w:name="opportunities-for-future-development"/>
    <w:p>
      <w:pPr>
        <w:pStyle w:val="Heading1"/>
      </w:pPr>
      <w:r>
        <w:t xml:space="preserve">Opportunities for future development</w:t>
      </w:r>
    </w:p>
    <w:p>
      <w:pPr>
        <w:pStyle w:val="FirstParagraph"/>
      </w:pPr>
      <w:r>
        <w:t xml:space="preserve">Need to deal with parking.</w:t>
      </w:r>
    </w:p>
    <w:p>
      <w:pPr>
        <w:pStyle w:val="BodyText"/>
      </w:pPr>
      <w:r>
        <w:t xml:space="preserve">Directly calculating building attributes from building geometry</w:t>
      </w:r>
    </w:p>
    <w:bookmarkEnd w:id="32"/>
    <w:bookmarkStart w:id="33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Return to usefulness and use cases.</w:t>
      </w:r>
    </w:p>
    <w:bookmarkEnd w:id="33"/>
    <w:sectPr w:rsidR="00340AA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B1FC9C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7820174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F4FD0"/>
    <w:rsid w:val="00246F51"/>
    <w:rsid w:val="00340AA9"/>
    <w:rsid w:val="006407B3"/>
    <w:rsid w:val="00762C4C"/>
    <w:rsid w:val="00C504BF"/>
    <w:rsid w:val="00F423B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6407B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C504BF"/>
    <w:pPr>
      <w:keepNext/>
      <w:keepLines/>
      <w:spacing w:after="80" w:before="160"/>
      <w:outlineLvl w:val="1"/>
    </w:pPr>
    <w:rPr>
      <w:rFonts w:ascii="Times New Roman" w:cstheme="majorBidi" w:eastAsiaTheme="majorEastAsia" w:hAnsi="Times New Roman"/>
      <w:b/>
      <w:i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407B3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ascii="Times New Roman" w:cstheme="majorBidi" w:eastAsiaTheme="majorEastAsia" w:hAnsi="Times New Roman"/>
      <w:b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407B3"/>
    <w:rPr>
      <w:rFonts w:ascii="Times New Roman" w:cstheme="majorBidi" w:eastAsiaTheme="majorEastAsia" w:hAnsi="Times New Roman"/>
      <w:b/>
      <w:spacing w:val="-10"/>
      <w:kern w:val="28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ascii="Times New Roman" w:cstheme="majorBidi" w:eastAsiaTheme="majorEastAsia" w:hAnsi="Times New Roman"/>
      <w:b/>
      <w:i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F4FD0"/>
    <w:rPr>
      <w:rFonts w:ascii="Times New Roman" w:cstheme="majorBidi" w:eastAsiaTheme="majorEastAsia" w:hAnsi="Times New Roman"/>
      <w:b/>
      <w:i/>
      <w:szCs w:val="28"/>
    </w:rPr>
  </w:style>
  <w:style w:customStyle="1" w:styleId="Author" w:type="paragraph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407B3"/>
    <w:pPr>
      <w:keepNext/>
      <w:keepLines/>
      <w:spacing w:after="300" w:before="100"/>
    </w:pPr>
    <w:rPr>
      <w:rFonts w:ascii="Times New Roman" w:hAnsi="Times New Roman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407B3"/>
    <w:rPr>
      <w:rFonts w:ascii="Times New Roman" w:cstheme="majorBidi" w:eastAsiaTheme="majorEastAsia" w:hAnsi="Times New Roman"/>
      <w:b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C504BF"/>
    <w:rPr>
      <w:rFonts w:ascii="Times New Roman" w:cstheme="majorBidi" w:eastAsiaTheme="majorEastAsia" w:hAnsi="Times New Roman"/>
      <w:b/>
      <w:i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>GSD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Zoning</dc:title>
  <dc:creator/>
  <cp:keywords/>
  <dcterms:created xsi:type="dcterms:W3CDTF">2025-05-05T13:38:03Z</dcterms:created>
  <dcterms:modified xsi:type="dcterms:W3CDTF">2025-05-05T13:38:03Z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Software and data standards for identifying housing capacity</vt:lpwstr>
  </property>
  <property fmtid="{D5CDD505-2E9C-101B-9397-08002B2CF9AE}" pid="10" name="toc-title">
    <vt:lpwstr>Table of contents</vt:lpwstr>
  </property>
</Properties>
</file>