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VIBE Academy Music Theory E-learning Owner Review Pack V1</w:t>
      </w:r>
    </w:p>
    <w:p>
      <w:pPr>
        <w:widowControl/>
      </w:pPr>
      <w:r>
        <w:t>Owner approval pack for Grade 1 implementation readiness</w:t>
      </w:r>
    </w:p>
    <w:p>
      <w:pPr>
        <w:widowControl/>
      </w:pPr>
      <w:r>
        <w:t>Derived from VIBE Academy Music Theory E-learning Curriculum Specification V1  |  15 September 2026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365D"/>
            <w:vAlign w:val="center"/>
          </w:tcPr>
          <w:p>
            <w:r>
              <w:rPr>
                <w:b/>
                <w:color w:val="FFFFFF"/>
                <w:sz w:val="17"/>
              </w:rPr>
              <w:t>Approval area</w:t>
            </w:r>
          </w:p>
        </w:tc>
        <w:tc>
          <w:tcPr>
            <w:tcW w:type="dxa" w:w="8280"/>
            <w:shd w:fill="17365D"/>
            <w:vAlign w:val="center"/>
          </w:tcPr>
          <w:p>
            <w:r>
              <w:rPr>
                <w:b/>
                <w:color w:val="FFFFFF"/>
                <w:sz w:val="17"/>
              </w:rPr>
              <w:t>Current status</w:t>
            </w:r>
          </w:p>
        </w:tc>
      </w:tr>
      <w:tr>
        <w:trPr>
          <w:cantSplit/>
        </w:trPr>
        <w:tc>
          <w:tcPr>
            <w:tcW w:type="dxa" w:w="2376"/>
            <w:vAlign w:val="center"/>
          </w:tcPr>
          <w:p>
            <w:pPr>
              <w:spacing w:after="0"/>
            </w:pPr>
            <w:r>
              <w:rPr>
                <w:sz w:val="17"/>
              </w:rPr>
              <w:t>Curriculum structure</w:t>
            </w:r>
          </w:p>
        </w:tc>
        <w:tc>
          <w:tcPr>
            <w:tcW w:type="dxa" w:w="8280"/>
            <w:vAlign w:val="center"/>
          </w:tcPr>
          <w:p>
            <w:pPr>
              <w:spacing w:after="0"/>
            </w:pPr>
            <w:r>
              <w:rPr>
                <w:sz w:val="17"/>
              </w:rPr>
              <w:t>Ready: Grade 1 matches the supplied Contents, 22 modules, printed pages 4-64.</w:t>
            </w:r>
          </w:p>
        </w:tc>
      </w:tr>
      <w:tr>
        <w:trPr>
          <w:cantSplit/>
        </w:trPr>
        <w:tc>
          <w:tcPr>
            <w:tcW w:type="dxa" w:w="2376"/>
            <w:vAlign w:val="center"/>
            <w:shd w:fill="F1F5F9"/>
          </w:tcPr>
          <w:p>
            <w:pPr>
              <w:spacing w:after="0"/>
            </w:pPr>
            <w:r>
              <w:rPr>
                <w:sz w:val="17"/>
              </w:rPr>
              <w:t>Owner policy</w:t>
            </w:r>
          </w:p>
        </w:tc>
        <w:tc>
          <w:tcPr>
            <w:tcW w:type="dxa" w:w="8280"/>
            <w:vAlign w:val="center"/>
            <w:shd w:fill="F1F5F9"/>
          </w:tcPr>
          <w:p>
            <w:pPr>
              <w:spacing w:after="0"/>
            </w:pPr>
            <w:r>
              <w:rPr>
                <w:sz w:val="17"/>
              </w:rPr>
              <w:t>14 decisions require approval; nine contain no safe numeric/operational default.</w:t>
            </w:r>
          </w:p>
        </w:tc>
      </w:tr>
      <w:tr>
        <w:trPr>
          <w:cantSplit/>
        </w:trPr>
        <w:tc>
          <w:tcPr>
            <w:tcW w:type="dxa" w:w="2376"/>
            <w:vAlign w:val="center"/>
          </w:tcPr>
          <w:p>
            <w:pPr>
              <w:spacing w:after="0"/>
            </w:pPr>
            <w:r>
              <w:rPr>
                <w:sz w:val="17"/>
              </w:rPr>
              <w:t>Question engine</w:t>
            </w:r>
          </w:p>
        </w:tc>
        <w:tc>
          <w:tcPr>
            <w:tcW w:type="dxa" w:w="8280"/>
            <w:vAlign w:val="center"/>
          </w:tcPr>
          <w:p>
            <w:pPr>
              <w:spacing w:after="0"/>
            </w:pPr>
            <w:r>
              <w:rPr>
                <w:sz w:val="17"/>
              </w:rPr>
              <w:t>Foundation is ready; several Grade 1 construction types must replace overly narrow single-choice mappings.</w:t>
            </w:r>
          </w:p>
        </w:tc>
      </w:tr>
      <w:tr>
        <w:trPr>
          <w:cantSplit/>
        </w:trPr>
        <w:tc>
          <w:tcPr>
            <w:tcW w:type="dxa" w:w="2376"/>
            <w:vAlign w:val="center"/>
            <w:shd w:fill="F1F5F9"/>
          </w:tcPr>
          <w:p>
            <w:pPr>
              <w:spacing w:after="0"/>
            </w:pPr>
            <w:r>
              <w:rPr>
                <w:sz w:val="17"/>
              </w:rPr>
              <w:t>Notation engine</w:t>
            </w:r>
          </w:p>
        </w:tc>
        <w:tc>
          <w:tcPr>
            <w:tcW w:type="dxa" w:w="8280"/>
            <w:vAlign w:val="center"/>
            <w:shd w:fill="F1F5F9"/>
          </w:tcPr>
          <w:p>
            <w:pPr>
              <w:spacing w:after="0"/>
            </w:pPr>
            <w:r>
              <w:rPr>
                <w:sz w:val="17"/>
              </w:rPr>
              <w:t>Minimum Grade 1 scope is clear; V1 versus V1.5 boundary still needs D07.</w:t>
            </w:r>
          </w:p>
        </w:tc>
      </w:tr>
      <w:tr>
        <w:trPr>
          <w:cantSplit/>
        </w:trPr>
        <w:tc>
          <w:tcPr>
            <w:tcW w:type="dxa" w:w="2376"/>
            <w:vAlign w:val="center"/>
          </w:tcPr>
          <w:p>
            <w:pPr>
              <w:spacing w:after="0"/>
            </w:pPr>
            <w:r>
              <w:rPr>
                <w:sz w:val="17"/>
              </w:rPr>
              <w:t>Implementation</w:t>
            </w:r>
          </w:p>
        </w:tc>
        <w:tc>
          <w:tcPr>
            <w:tcW w:type="dxa" w:w="8280"/>
            <w:vAlign w:val="center"/>
          </w:tcPr>
          <w:p>
            <w:pPr>
              <w:spacing w:after="0"/>
            </w:pPr>
            <w:r>
              <w:rPr>
                <w:sz w:val="17"/>
              </w:rPr>
              <w:t>Codex may begin foundations, but must not enable academic writeback or publish Grade 1 before policy and content gates pass.</w:t>
            </w:r>
          </w:p>
        </w:tc>
      </w:tr>
      <w:tr>
        <w:trPr>
          <w:cantSplit/>
        </w:trPr>
        <w:tc>
          <w:tcPr>
            <w:tcW w:type="dxa" w:w="2376"/>
            <w:vAlign w:val="center"/>
            <w:shd w:fill="F1F5F9"/>
          </w:tcPr>
          <w:p>
            <w:pPr>
              <w:spacing w:after="0"/>
            </w:pPr>
            <w:r>
              <w:rPr>
                <w:sz w:val="17"/>
              </w:rPr>
              <w:t>Known source issue</w:t>
            </w:r>
          </w:p>
        </w:tc>
        <w:tc>
          <w:tcPr>
            <w:tcW w:type="dxa" w:w="8280"/>
            <w:vAlign w:val="center"/>
            <w:shd w:fill="F1F5F9"/>
          </w:tcPr>
          <w:p>
            <w:pPr>
              <w:spacing w:after="0"/>
            </w:pPr>
            <w:r>
              <w:rPr>
                <w:sz w:val="17"/>
              </w:rPr>
              <w:t>MT5.15 Revision Notes remains SOURCE_MISSING; not a Grade 1 blocker.</w:t>
            </w:r>
          </w:p>
        </w:tc>
      </w:tr>
    </w:tbl>
    <w:p>
      <w:pPr>
        <w:spacing w:after="40"/>
      </w:pPr>
    </w:p>
    <w:p>
      <w:pPr>
        <w:pStyle w:val="Heading1"/>
        <w:keepNext/>
      </w:pPr>
      <w:r>
        <w:t>1 Owner Approval Summary</w:t>
      </w:r>
    </w:p>
    <w:p>
      <w:pPr>
        <w:widowControl/>
      </w:pPr>
      <w:r>
        <w:t>Grade 1 is structurally ready for implementation planning. The module order, source pages, lessons, practice pattern and minimum engine capabilities are sufficiently defined. Approval is not yet sufficient for production academic effects: pass thresholds, attempts, manual-review SLA, Final Test security, academic mapping and several governance choices remain unresolved.</w:t>
      </w:r>
    </w:p>
    <w:p>
      <w:pPr>
        <w:widowControl/>
      </w:pPr>
      <w:r>
        <w:t>Owner can approve the Grade 1 curriculum structure separately from the operating policies. Recommended approval sequence: approve D01-D14; authorize Codex Phases 0-2 with configuration placeholders; run content-team validation for all 22 modules; then authorize Phase 3 authoring and pilot.</w:t>
      </w:r>
    </w:p>
    <w:p>
      <w:pPr>
        <w:pStyle w:val="Heading1"/>
        <w:keepNext/>
      </w:pPr>
      <w:r>
        <w:t>2 Fourteen Owner Decisions</w:t>
      </w:r>
    </w:p>
    <w:p>
      <w:pPr>
        <w:pStyle w:val="Heading2"/>
        <w:keepNext/>
      </w:pPr>
      <w:r>
        <w:t>Decision 1 D01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Are module checkpoints academic evidence?</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Ranh giới giữa learning progress và academic completion quyết định tính toàn vẹn học vụ.</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Checkpoint chỉ là formative, không cập nhật Academic Progress.</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Checkpoint có thể cập nhật Academic Progress nếu đạt policy.</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Chỉ một số checkpoint do Owner chỉ định mới được tính.</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Không trong V1; chỉ Final Test ảnh hưởng subject completion.</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an toàn nhưng ít dữ liệu học vụ; B/C linh hoạt hơn nhưng tăng nguy cơ pass sai hoặc không nhất quán.</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Thiết lập counts_toward_academic_progress mặc định false; nếu chọn B/C, Codex phải thêm eligibility policy, audit và reconciliation theo từng module.</w:t>
            </w:r>
          </w:p>
        </w:tc>
      </w:tr>
    </w:tbl>
    <w:p>
      <w:pPr>
        <w:spacing w:after="40"/>
      </w:pPr>
    </w:p>
    <w:p>
      <w:pPr>
        <w:pStyle w:val="Heading2"/>
        <w:keepNext/>
      </w:pPr>
      <w:r>
        <w:t>Decision 2 D02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Final Test pass threshold by Grade/version</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Ngưỡng đạt tác động trực tiếp đến Grade completion và không thể thay đổi hồi tố tùy tiện.</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Một ngưỡng chung cho mọi Grade.</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Ngưỡng riêng theo Grade và assessment version.</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Ngưỡng riêng theo blueprint/cohort có phê duyệt.</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Set per assessment policy; never global hardcode. Owner decision required — no safe default cho giá trị phần trăm.</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đơn giản nhưng thiếu chính xác; B/C đúng nghiệp vụ hơn nhưng cần governance và versioning.</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Mô hình policy vẫn configurable; Codex chỉ có thể tạo dữ liệu seed và test pass/fail sau khi Owner cung cấp ngưỡng.</w:t>
            </w:r>
          </w:p>
        </w:tc>
      </w:tr>
    </w:tbl>
    <w:p>
      <w:pPr>
        <w:spacing w:after="40"/>
      </w:pPr>
    </w:p>
    <w:p>
      <w:pPr>
        <w:pStyle w:val="Heading2"/>
        <w:keepNext/>
      </w:pPr>
      <w:r>
        <w:t>Decision 3 D03</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Attempt and cooldown policy</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Số lần thi và thời gian chờ ảnh hưởng trải nghiệm học, tính trung thực và hỗ trợ vận hành.</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Không giới hạn attempt; cooldown ngắn hoặc không có.</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Giới hạn attempt; mở lại thủ công.</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Giới hạn theo thời gian và tự mở lại sau cooldown.</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Balance practice opportunity against test integrity.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thuận tiện nhưng dễ luyện theo đáp án; B kiểm soát tốt nhưng tăng ticket; C cân bằng nhưng phức tạp hơn.</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cấu hình attempt_limit, cooldown_seconds, retry_policy và admin override theo lựa chọn.</w:t>
            </w:r>
          </w:p>
        </w:tc>
      </w:tr>
    </w:tbl>
    <w:p>
      <w:pPr>
        <w:spacing w:after="40"/>
      </w:pPr>
    </w:p>
    <w:p>
      <w:pPr>
        <w:pStyle w:val="Heading2"/>
        <w:keepNext/>
      </w:pPr>
      <w:r>
        <w:t>Decision 4 D04</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Prerequisite enforcement</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Quyết định học viên bị chặn hay chỉ được cảnh báo khi thiếu kiến thức nền.</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Soft gate và placement override.</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Hard gate theo chuỗi module.</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Hybrid: soft gate mặc định, hard gate ở assessment được chọn.</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Recommended soft gate plus placement override; hard gate only where necessary.</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hỗ trợ học viên chuyển trường; B bảo toàn tuyến tính nhưng có thể chặn sai; C cần policy rõ.</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xây recommendation + placement override cho A; B/C cần enforcement, exception role và audit.</w:t>
            </w:r>
          </w:p>
        </w:tc>
      </w:tr>
    </w:tbl>
    <w:p>
      <w:pPr>
        <w:spacing w:after="40"/>
      </w:pPr>
    </w:p>
    <w:p>
      <w:pPr>
        <w:pStyle w:val="Heading2"/>
        <w:keepNext/>
      </w:pPr>
      <w:r>
        <w:t>Decision 5 D05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Teacher manual-review SLA</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HYBRID/MANUAL không thể vận hành nếu không có thời hạn chấm và quy trình quá hạn.</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SLA theo giờ làm việc cố định.</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SLA theo số ngày làm việc và hàng đợi ưu tiên.</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Không cam kết SLA, xử lý thủ công khi có thể.</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Required before hybrid/manual results can be operationally promised.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A/B cần nhân sự và cảnh báo; C rẻ hơn nhưng kết quả bị treo, không phù hợp go-live chính thức.</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chỉ bật workflow manual review sau khi có SLA, assignee, escalation và trạng thái quá hạn.</w:t>
            </w:r>
          </w:p>
        </w:tc>
      </w:tr>
    </w:tbl>
    <w:p>
      <w:pPr>
        <w:spacing w:after="40"/>
      </w:pPr>
    </w:p>
    <w:p>
      <w:pPr>
        <w:pStyle w:val="Heading2"/>
        <w:keepNext/>
      </w:pPr>
      <w:r>
        <w:t>Decision 6 D06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Grade 5 missing source</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MT5.15 không thể được author/publish đúng chuẩn khi thiếu trang nguồn được Contents trích dẫn.</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Bổ sung và duyệt trang in 86.</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Giữ MT5.15 ở BLOCKED_SOURCE đến khi có nguồn.</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Loại module khỏi Grade 5.</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Supply and approve printed page 86 before MT5.15 authoring/publish.</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hoàn chỉnh nguồn; B trì hoãn Grade 5; C trái nguyên tắc Contents và không được khuyến nghị.</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giữ module/sequence nhưng chặn authoring và publish; việc này không chặn Grade 1.</w:t>
            </w:r>
          </w:p>
        </w:tc>
      </w:tr>
    </w:tbl>
    <w:p>
      <w:pPr>
        <w:spacing w:after="40"/>
      </w:pPr>
    </w:p>
    <w:p>
      <w:pPr>
        <w:pStyle w:val="Heading2"/>
        <w:keepNext/>
      </w:pPr>
      <w:r>
        <w:t>Decision 7 D07</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Notation scope</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Ranh giới V1/V1.5 quyết định kiến trúc editor, chi phí và khả năng đáp ứng Grades cao.</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Chỉ V1 Required phục vụ Grade 1.</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Đưa alto/tenor vào V1.</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Đưa cả alto/tenor và SATB vào V1.</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Approve V1 Required versus V1.5 boundary, especially alto/tenor and SATB. Khuyến nghị triển khai Grade 1 core trước; quyết định mở rộng cần Owner xác nhận.</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ra mắt sớm; B/C giảm rework về sau nhưng tăng phạm vi và rủi ro schedule.</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chọn schema mở rộng ngay nhưng chỉ xây interaction được phê duyệt; acceptance tests thay đổi theo scope.</w:t>
            </w:r>
          </w:p>
        </w:tc>
      </w:tr>
    </w:tbl>
    <w:p>
      <w:pPr>
        <w:spacing w:after="40"/>
      </w:pPr>
    </w:p>
    <w:p>
      <w:pPr>
        <w:pStyle w:val="Heading2"/>
        <w:keepNext/>
      </w:pPr>
      <w:r>
        <w:t>Decision 8 D08</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Final Test security</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Final Test có quyền tác động học vụ nên cần kiểm soát khác practice.</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Pool + randomization, không proctoring.</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Thêm identity confirmation và hạn chế pause/resume.</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Thêm proctoring/giám sát theo ca thi.</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Question pool size, randomization, identity assurance, pause/resume and proctoring expectations.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Bảo mật cao làm tăng ma sát, chi phí và yêu cầu riêng tư; bảo mật thấp tăng rủi ro gian lận.</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cấu hình session, randomization, resume policy, audit signals và UI thi theo mức Owner chọn.</w:t>
            </w:r>
          </w:p>
        </w:tc>
      </w:tr>
    </w:tbl>
    <w:p>
      <w:pPr>
        <w:spacing w:after="40"/>
      </w:pPr>
    </w:p>
    <w:p>
      <w:pPr>
        <w:pStyle w:val="Heading2"/>
        <w:keepNext/>
      </w:pPr>
      <w:r>
        <w:t>Decision 9 D09</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Academic mapping</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Kết quả pass phải ghi đúng subject/level requirement trong chương trình VIBE.</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Map Music Theory Grade N vào subject requirement cùng Grade.</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Map vào một competency độc lập ngoài subject completion.</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Chỉ lưu assessment result, chưa tự ghi Academic Progress.</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Confirm which VIBE subject/level requirement receives a passed Music Theory Grade result.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Map sai có thể làm học viên hoàn thành Grade sai; trì hoãn mapping an toàn hơn nhưng cần xử lý thủ công.</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chỉ tích hợp writeback sau khi có ID/mapping chính thức; trước đó chạy shadow mode.</w:t>
            </w:r>
          </w:p>
        </w:tc>
      </w:tr>
    </w:tbl>
    <w:p>
      <w:pPr>
        <w:spacing w:after="40"/>
      </w:pPr>
    </w:p>
    <w:p>
      <w:pPr>
        <w:pStyle w:val="Heading2"/>
        <w:keepNext/>
      </w:pPr>
      <w:r>
        <w:t>Decision 10 D10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Content language</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Ngôn ngữ ảnh hưởng authoring, glossary, tìm kiếm, question normalization và trải nghiệm phụ huynh/học viên.</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Vietnamese-only, giữ thuật ngữ nhạc tiếng Anh có glossary.</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Bilingual Vietnamese-English trong cùng lesson.</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Selectable language với hai phiên bản content.</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Vietnamese-only, bilingual, or selectable language; terminology glossary authority.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nhanh; B dài và nặng màn hình; C tốt nhất dài hạn nhưng gần gấp đôi authoring/review.</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thiết kế locale/content variants và validation khác nhau; lựa chọn C phải tách translation workflow.</w:t>
            </w:r>
          </w:p>
        </w:tc>
      </w:tr>
    </w:tbl>
    <w:p>
      <w:pPr>
        <w:spacing w:after="40"/>
      </w:pPr>
    </w:p>
    <w:p>
      <w:pPr>
        <w:pStyle w:val="Heading2"/>
        <w:keepNext/>
      </w:pPr>
      <w:r>
        <w:t>Decision 11 D11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Copyright review</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Nguồn có bản quyền; nội dung VIBE phải nguyên bản và tài sản phải có quyền sử dụng.</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Một reviewer chịu trách nhiệm cuối cùng.</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Dual review: music accuracy và copyright/assets.</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Content author tự xác nhận.</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Assign accountable reviewer for originality and asset licensing. Khuyến nghị dual review khi đủ nhân sự.</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rõ trách nhiệm; B an toàn hơn nhưng chậm; C tạo xung đột lợi ích và không nên là gate duy nhất.</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thêm workflow, vai trò, evidence fields và publish gate theo mô hình review.</w:t>
            </w:r>
          </w:p>
        </w:tc>
      </w:tr>
    </w:tbl>
    <w:p>
      <w:pPr>
        <w:spacing w:after="40"/>
      </w:pPr>
    </w:p>
    <w:p>
      <w:pPr>
        <w:pStyle w:val="Heading2"/>
        <w:keepNext/>
      </w:pPr>
      <w:r>
        <w:t>Decision 12 D12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Accessibility target</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Notation interaction có thể loại trừ người dùng nếu không xác định chuẩn và accommodations từ đầu.</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WCAG 2.1 AA cho luồng chính, ngoại lệ được ghi nhận cho notation.</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WCAG 2.2 AA và accommodations cụ thể.</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Best effort không có target chính thức.</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Approve WCAG target and accommodations for notation-heavy assessments.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Chuẩn cao tăng effort nhưng giảm rework và rủi ro loại trừ; best effort khó nghiệm thu.</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định nghĩa keyboard, focus, contrast, text alternatives và test matrix theo target.</w:t>
            </w:r>
          </w:p>
        </w:tc>
      </w:tr>
    </w:tbl>
    <w:p>
      <w:pPr>
        <w:spacing w:after="40"/>
      </w:pPr>
    </w:p>
    <w:p>
      <w:pPr>
        <w:pStyle w:val="Heading2"/>
        <w:keepNext/>
      </w:pPr>
      <w:r>
        <w:t>Decision 13 D13</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Data retention</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Attempt và response có dữ liệu học viên; giữ quá lâu tăng rủi ro, xóa sớm làm mất audit/analytics.</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Giữ toàn bộ trong thời gian học và một kỳ hậu kiểm.</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Retention riêng cho raw responses, attempts, analytics và authored content.</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Giữ vô thời hạn.</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Attempt, response, analytics and authored-content retention periods.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Retention ngắn giảm rủi ro nhưng hạn chế phân tích; vô thời hạn khó biện minh và tốn vận hành.</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chỉ triển khai purge/anonymization schedule sau khi Owner định nghĩa thời hạn và legal basis.</w:t>
            </w:r>
          </w:p>
        </w:tc>
      </w:tr>
    </w:tbl>
    <w:p>
      <w:pPr>
        <w:spacing w:after="40"/>
      </w:pPr>
    </w:p>
    <w:p>
      <w:pPr>
        <w:pStyle w:val="Heading2"/>
        <w:keepNext/>
      </w:pPr>
      <w:r>
        <w:t>Decision 14 D14</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6"/>
              </w:rPr>
              <w:t>Field</w:t>
            </w:r>
          </w:p>
        </w:tc>
        <w:tc>
          <w:tcPr>
            <w:tcW w:type="dxa" w:w="8424"/>
            <w:shd w:fill="17365D"/>
            <w:vAlign w:val="center"/>
          </w:tcPr>
          <w:p>
            <w:r>
              <w:rPr>
                <w:b/>
                <w:color w:val="FFFFFF"/>
                <w:sz w:val="16"/>
              </w:rPr>
              <w:t>Review content</w:t>
            </w:r>
          </w:p>
        </w:tc>
      </w:tr>
      <w:tr>
        <w:trPr>
          <w:cantSplit/>
        </w:trPr>
        <w:tc>
          <w:tcPr>
            <w:tcW w:type="dxa" w:w="2232"/>
            <w:vAlign w:val="center"/>
          </w:tcPr>
          <w:p>
            <w:pPr>
              <w:spacing w:after="0"/>
            </w:pPr>
            <w:r>
              <w:rPr>
                <w:sz w:val="16"/>
              </w:rPr>
              <w:t>Decision</w:t>
            </w:r>
          </w:p>
        </w:tc>
        <w:tc>
          <w:tcPr>
            <w:tcW w:type="dxa" w:w="8424"/>
            <w:vAlign w:val="center"/>
          </w:tcPr>
          <w:p>
            <w:pPr>
              <w:spacing w:after="0"/>
            </w:pPr>
            <w:r>
              <w:rPr>
                <w:sz w:val="16"/>
              </w:rPr>
              <w:t>Legacy learners</w:t>
            </w:r>
          </w:p>
        </w:tc>
      </w:tr>
      <w:tr>
        <w:trPr>
          <w:cantSplit/>
        </w:trPr>
        <w:tc>
          <w:tcPr>
            <w:tcW w:type="dxa" w:w="2232"/>
            <w:vAlign w:val="center"/>
            <w:shd w:fill="F1F5F9"/>
          </w:tcPr>
          <w:p>
            <w:pPr>
              <w:spacing w:after="0"/>
            </w:pPr>
            <w:r>
              <w:rPr>
                <w:sz w:val="16"/>
              </w:rPr>
              <w:t>Why it matters</w:t>
            </w:r>
          </w:p>
        </w:tc>
        <w:tc>
          <w:tcPr>
            <w:tcW w:type="dxa" w:w="8424"/>
            <w:vAlign w:val="center"/>
            <w:shd w:fill="F1F5F9"/>
          </w:tcPr>
          <w:p>
            <w:pPr>
              <w:spacing w:after="0"/>
            </w:pPr>
            <w:r>
              <w:rPr>
                <w:sz w:val="16"/>
              </w:rPr>
              <w:t>Học viên hiện hữu có thể đã có năng lực nhưng chưa có lịch sử E-learning.</w:t>
            </w:r>
          </w:p>
        </w:tc>
      </w:tr>
      <w:tr>
        <w:trPr>
          <w:cantSplit/>
        </w:trPr>
        <w:tc>
          <w:tcPr>
            <w:tcW w:type="dxa" w:w="2232"/>
            <w:vAlign w:val="center"/>
          </w:tcPr>
          <w:p>
            <w:pPr>
              <w:spacing w:after="0"/>
            </w:pPr>
            <w:r>
              <w:rPr>
                <w:sz w:val="16"/>
              </w:rPr>
              <w:t>Option A</w:t>
            </w:r>
          </w:p>
        </w:tc>
        <w:tc>
          <w:tcPr>
            <w:tcW w:type="dxa" w:w="8424"/>
            <w:vAlign w:val="center"/>
          </w:tcPr>
          <w:p>
            <w:pPr>
              <w:spacing w:after="0"/>
            </w:pPr>
            <w:r>
              <w:rPr>
                <w:sz w:val="16"/>
              </w:rPr>
              <w:t>Placement test và credit theo kết quả.</w:t>
            </w:r>
          </w:p>
        </w:tc>
      </w:tr>
      <w:tr>
        <w:trPr>
          <w:cantSplit/>
        </w:trPr>
        <w:tc>
          <w:tcPr>
            <w:tcW w:type="dxa" w:w="2232"/>
            <w:vAlign w:val="center"/>
            <w:shd w:fill="F1F5F9"/>
          </w:tcPr>
          <w:p>
            <w:pPr>
              <w:spacing w:after="0"/>
            </w:pPr>
            <w:r>
              <w:rPr>
                <w:sz w:val="16"/>
              </w:rPr>
              <w:t>Option B</w:t>
            </w:r>
          </w:p>
        </w:tc>
        <w:tc>
          <w:tcPr>
            <w:tcW w:type="dxa" w:w="8424"/>
            <w:vAlign w:val="center"/>
            <w:shd w:fill="F1F5F9"/>
          </w:tcPr>
          <w:p>
            <w:pPr>
              <w:spacing w:after="0"/>
            </w:pPr>
            <w:r>
              <w:rPr>
                <w:sz w:val="16"/>
              </w:rPr>
              <w:t>Teacher/Academic Admin nhập credit có lý do và bằng chứng.</w:t>
            </w:r>
          </w:p>
        </w:tc>
      </w:tr>
      <w:tr>
        <w:trPr>
          <w:cantSplit/>
        </w:trPr>
        <w:tc>
          <w:tcPr>
            <w:tcW w:type="dxa" w:w="2232"/>
            <w:vAlign w:val="center"/>
          </w:tcPr>
          <w:p>
            <w:pPr>
              <w:spacing w:after="0"/>
            </w:pPr>
            <w:r>
              <w:rPr>
                <w:sz w:val="16"/>
              </w:rPr>
              <w:t>Option C</w:t>
            </w:r>
          </w:p>
        </w:tc>
        <w:tc>
          <w:tcPr>
            <w:tcW w:type="dxa" w:w="8424"/>
            <w:vAlign w:val="center"/>
          </w:tcPr>
          <w:p>
            <w:pPr>
              <w:spacing w:after="0"/>
            </w:pPr>
            <w:r>
              <w:rPr>
                <w:sz w:val="16"/>
              </w:rPr>
              <w:t>Bắt đầu lại từ module đầu.</w:t>
            </w:r>
          </w:p>
        </w:tc>
      </w:tr>
      <w:tr>
        <w:trPr>
          <w:cantSplit/>
        </w:trPr>
        <w:tc>
          <w:tcPr>
            <w:tcW w:type="dxa" w:w="2232"/>
            <w:vAlign w:val="center"/>
            <w:shd w:fill="F1F5F9"/>
          </w:tcPr>
          <w:p>
            <w:pPr>
              <w:spacing w:after="0"/>
            </w:pPr>
            <w:r>
              <w:rPr>
                <w:sz w:val="16"/>
              </w:rPr>
              <w:t>Recommended option</w:t>
            </w:r>
          </w:p>
        </w:tc>
        <w:tc>
          <w:tcPr>
            <w:tcW w:type="dxa" w:w="8424"/>
            <w:vAlign w:val="center"/>
            <w:shd w:fill="F1F5F9"/>
          </w:tcPr>
          <w:p>
            <w:pPr>
              <w:spacing w:after="0"/>
            </w:pPr>
            <w:r>
              <w:rPr>
                <w:sz w:val="16"/>
              </w:rPr>
              <w:t>Placement and credit rules for students already studying before E-learning launch. Owner decision required — no safe default.</w:t>
            </w:r>
          </w:p>
        </w:tc>
      </w:tr>
      <w:tr>
        <w:trPr>
          <w:cantSplit/>
        </w:trPr>
        <w:tc>
          <w:tcPr>
            <w:tcW w:type="dxa" w:w="2232"/>
            <w:vAlign w:val="center"/>
          </w:tcPr>
          <w:p>
            <w:pPr>
              <w:spacing w:after="0"/>
            </w:pPr>
            <w:r>
              <w:rPr>
                <w:sz w:val="16"/>
              </w:rPr>
              <w:t>Risks and trade-offs</w:t>
            </w:r>
          </w:p>
        </w:tc>
        <w:tc>
          <w:tcPr>
            <w:tcW w:type="dxa" w:w="8424"/>
            <w:vAlign w:val="center"/>
          </w:tcPr>
          <w:p>
            <w:pPr>
              <w:spacing w:after="0"/>
            </w:pPr>
            <w:r>
              <w:rPr>
                <w:sz w:val="16"/>
              </w:rPr>
              <w:t>A công bằng nhưng cần assessment; B nhanh nhưng phụ thuộc governance; C đơn giản nhưng gây phản ứng và dữ liệu sai thực tế.</w:t>
            </w:r>
          </w:p>
        </w:tc>
      </w:tr>
      <w:tr>
        <w:trPr>
          <w:cantSplit/>
        </w:trPr>
        <w:tc>
          <w:tcPr>
            <w:tcW w:type="dxa" w:w="2232"/>
            <w:vAlign w:val="center"/>
            <w:shd w:fill="F1F5F9"/>
          </w:tcPr>
          <w:p>
            <w:pPr>
              <w:spacing w:after="0"/>
            </w:pPr>
            <w:r>
              <w:rPr>
                <w:sz w:val="16"/>
              </w:rPr>
              <w:t>What Codex will do differently</w:t>
            </w:r>
          </w:p>
        </w:tc>
        <w:tc>
          <w:tcPr>
            <w:tcW w:type="dxa" w:w="8424"/>
            <w:vAlign w:val="center"/>
            <w:shd w:fill="F1F5F9"/>
          </w:tcPr>
          <w:p>
            <w:pPr>
              <w:spacing w:after="0"/>
            </w:pPr>
            <w:r>
              <w:rPr>
                <w:sz w:val="16"/>
              </w:rPr>
              <w:t>Codex xây placement/credit workflow, quyền override và audit; nếu chưa quyết định thì không migration completion tự động.</w:t>
            </w:r>
          </w:p>
        </w:tc>
      </w:tr>
    </w:tbl>
    <w:p>
      <w:pPr>
        <w:spacing w:after="40"/>
      </w:pPr>
    </w:p>
    <w:p>
      <w:pPr>
        <w:pStyle w:val="Heading1"/>
        <w:keepNext/>
      </w:pPr>
      <w:r>
        <w:t>3 Grade 1 Detailed Specification</w:t>
      </w:r>
    </w:p>
    <w:p>
      <w:pPr>
        <w:widowControl/>
      </w:pPr>
      <w:r>
        <w:t>Canonical learner-facing order: Grade 1 &gt; module in textbook Contents order &gt; Lessons &gt; Guided Practice &gt; Independent Practice &gt; Module Checkpoint. Domain labels are analytics metadata only. Source page references are printed page numbers.</w:t>
      </w:r>
    </w:p>
    <w:p>
      <w:pPr>
        <w:pStyle w:val="Heading2"/>
        <w:keepNext/>
      </w:pPr>
      <w:r>
        <w:t>MT1.01 Time Names and Time Values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MT1.01</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Time Names and Time Values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4-5</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Nhận diện semibreve, minim, crotchet, quaver và quan hệ giá trị.; So sánh độ dài và hoàn thành phép tương đương nhịp.</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None</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MT1.01.L01 Core note values: Nhận diện semibreve, minim, crotchet, quaver và quan hệ giá trị.</w:t>
              <w:br/>
              <w:t>MT1.01.L02 Compare and complete values: So sánh độ dài và hoàn thành phép tương đương nhịp.</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single choice; time-value equivalence; drag/order; value completion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Note/rest glyph display; exact rational duration model.</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MT1.02 Bar-lines and Time Signatures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MT1.02</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Bar-lines and Time Signatures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6-8</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Giải thích bar, bar-line và double bar-line.; Đọc số phách và loại phách trong 2/4, 3/4, 4/4 và common time.; Thêm bar-line hoặc note để hoàn chỉnh ô nhịp.</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MT1.01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MT1.02.L01 Bars and bar-lines: Giải thích bar, bar-line và double bar-line.</w:t>
              <w:br/>
              <w:t>MT1.02.L02 Simple time signatures: Đọc số phách và loại phách trong 2/4, 3/4, 4/4 và common time.</w:t>
              <w:br/>
              <w:t>MT1.02.L03 Complete bars: Thêm bar-line hoặc note để hoàn chỉnh ô nhịp.</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time-signature recognition; add bar-line; complete bar; single choice</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Treble/bass staff, time signatures, bar-lines and bar completeness.</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MT1.03 Writing on a Stave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MT1.03</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Writing on a Stave</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9-9</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Xác định line, space và cách đặt notehead.; Sao chép clef, dấu hóa, số chỉ nhịp và nốt chính xác.</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MT1.02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MT1.03.L01 The five-line stave: Xác định line, space và cách đặt notehead.</w:t>
              <w:br/>
              <w:t>MT1.03.L02 Clefs and copying: Sao chép clef, dấu hóa, số chỉ nhịp và nốt chính xác.</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identify clef; copy/construct stave symbols; notation placement</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Five-line staff; treble/bass clef; symbol placement and copying.</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MT1.04 Letter Names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MT1.04</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Letter Names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10-15</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Gọi tên và đặt nốt trong khóa Sol.; Gọi tên và đặt nốt trong khóa Fa.; Nhận biết cao độ tương ứng giữa hai khóa.</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MT1.03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MT1.04.L01 Treble-clef notes: Gọi tên và đặt nốt trong khóa Sol.</w:t>
              <w:br/>
              <w:t>MT1.04.L02 Bass-clef notes: Gọi tên và đặt nốt trong khóa Fa.</w:t>
              <w:br/>
              <w:t>MT1.04.L03 Same pitch across clefs: Nhận biết cao độ tương ứng giữa hai khóa.</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note identification; note placement; same-pitch rewrite across treble/bass</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Treble/bass clef, note placement, ledger context and same-pitch rewrite.</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MT1.05 Semiquavers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MT1.05</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Semiquavers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16-17</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Nhận diện semiquaver và quan hệ với quaver/crotchet.; Tính, hoàn thành và nhóm các semiquaver.</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MT1.04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MT1.05.L01 Semiquaver symbol and value: Nhận diện semiquaver và quan hệ với quaver/crotchet.</w:t>
              <w:br/>
              <w:t>MT1.05.L02 Semiquaver groups: Tính, hoàn thành và nhóm các semiquaver.</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semiquaver recognition; duration calculation; rhythmic grouping/construction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Semiquaver flags/beams and exact rhythmic duration.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MT1.06 Rests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MT1.06</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Rests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18-19</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Nhận diện các dấu lặng trong phạm vi Grade 1.; Tính và điền dấu lặng để hoàn chỉnh phách/ô nhịp.</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MT1.05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MT1.06.L01 Rest symbols: Nhận diện các dấu lặng trong phạm vi Grade 1.</w:t>
              <w:br/>
              <w:t>MT1.06.L02 Rest values in bars: Tính và điền dấu lặng để hoàn chỉnh phách/ô nhịp.</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rest identification; rest-value calculation; complete bar with rests</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Rest glyphs and rest placement inside measures.</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MT1.07 Ties and Slurs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MT1.07</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Ties and Slurs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20-21</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Phân biệt tie và tính tổng trường độ nốt nối.; Nhận diện slur và ý nghĩa trình diễn legato.; Chọn đúng ký hiệu theo ngữ cảnh.</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MT1.06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MT1.07.L01 Tie: Phân biệt tie và tính tổng trường độ nốt nối.</w:t>
              <w:br/>
              <w:t>MT1.07.L02 Slur: Nhận diện slur và ý nghĩa trình diễn legato.</w:t>
              <w:br/>
              <w:t>MT1.07.L03 Tie versus slur: Chọn đúng ký hiệu theo ngữ cảnh.</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tie/slur identification; place tie/slur; duration calculation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Tie/slur rendering and relation-object placement.</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MT1.08 Dotted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MT1.08</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Dotted Notes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22-25</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Giải thích dấu chấm kéo dài thêm một nửa giá trị.; Tính và dựng dotted minim, crotchet, quaver.</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MT1.07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MT1.08.L01 The dot rule: Giải thích dấu chấm kéo dài thêm một nửa giá trị.</w:t>
              <w:br/>
              <w:t>MT1.08.L02 Dotted values: Tính và dựng dotted minim, crotchet, quaver.</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dotted-value calculation; construct dotted note; complete duration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Dotted-note rendering and duration validation.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MT1.09 Accidentals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MT1.09</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Accidentals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26-27</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Nhận diện sharp, flat, natural và tác động lên cao độ.; Đặt dấu hóa đúng line/space và gọi tên đầy đủ.</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MT1.08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MT1.09.L01 Sharp flat natural: Nhận diện sharp, flat, natural và tác động lên cao độ.</w:t>
              <w:br/>
              <w:t>MT1.09.L02 Accidental placement: Đặt dấu hóa đúng line/space và gọi tên đầy đủ.</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accidental identification; accidental placement; note naming with accidental</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Sharp/flat/natural placement and contextual pitch naming.</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MT1.10 Semitones and Tones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MT1.10</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Semitones and Tones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28-29</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Xác định các cặp nửa cung trên khuông.; Xác định cung và phân biệt với nửa cung.; Dựng nốt cao/thấp hơn một tone hoặc semitone.</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MT1.09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MT1.10.L01 Semitone: Xác định các cặp nửa cung trên khuông.</w:t>
              <w:br/>
              <w:t>MT1.10.L02 Tone: Xác định cung và phân biệt với nửa cung.</w:t>
              <w:br/>
              <w:t>MT1.10.L03 Construct steps: Dựng nốt cao/thấp hơn một tone hoặc semitone.</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tone/semitone identification; construct higher/lower note</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Note placement with chromatic distance validation.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MT1.11 Scales and Key Signatures of C, G, D and F Major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MT1.11</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Scales and Key Signatures of C, G, D and F Major</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30-37</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Viết thang âm và key signature C/G major.; Viết thang âm và key signature D/F major.; Nhận diện key từ key signature và tonic.; Dựng scale lên/xuống đúng clef, dấu hóa và khoảng cách.</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MT1.10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MT1.11.L01 C and G major: Viết thang âm và key signature C/G major.</w:t>
              <w:br/>
              <w:t>MT1.11.L02 D and F major: Viết thang âm và key signature D/F major.</w:t>
              <w:br/>
              <w:t>MT1.11.L03 Key recognition: Nhận diện key từ key signature và tonic.</w:t>
              <w:br/>
              <w:t>MT1.11.L04 Scale construction: Dựng scale lên/xuống đúng clef, dấu hóa và khoảng cách.</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key recognition; key-signature construction; scale construction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Treble/bass key signatures, accidentals, ascending/descending scale input.</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92 minutes plus checkpoint</w:t>
            </w:r>
          </w:p>
        </w:tc>
      </w:tr>
    </w:tbl>
    <w:p>
      <w:pPr>
        <w:spacing w:after="40"/>
      </w:pPr>
    </w:p>
    <w:p>
      <w:pPr>
        <w:pStyle w:val="Heading2"/>
        <w:keepNext/>
      </w:pPr>
      <w:r>
        <w:t>MT1.12 Degrees of the Scale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MT1.12</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Degrees of the Scale</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38-39</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Gắn số bậc 1-7 với nốt trong major scale.; Xác định hoặc dựng nốt theo degree trong C/G/D/F major.</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MT1.11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MT1.12.L01 Scale-degree positions: Gắn số bậc 1-7 với nốt trong major scale.</w:t>
              <w:br/>
              <w:t>MT1.12.L02 Apply degrees: Xác định hoặc dựng nốt theo degree trong C/G/D/F major.</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scale-degree identification; note construction from degree</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Scale rendering and degree-aware note selection.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MT1.13 Intervals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MT1.13</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Intervals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40-41</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Phân biệt hai cách trình bày interval.; Đếm và gọi interval 2nd đến octave trong key.; Viết nốt trên/dưới để tạo interval yêu cầu.</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MT1.12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MT1.13.L01 Melodic and harmonic intervals: Phân biệt hai cách trình bày interval.</w:t>
              <w:br/>
              <w:t>MT1.13.L02 Name intervals: Đếm và gọi interval 2nd đến octave trong key.</w:t>
              <w:br/>
              <w:t>MT1.13.L03 Construct intervals: Viết nốt trên/dưới để tạo interval yêu cầu.</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interval identification; interval construction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Melodic/harmonic interval rendering and construction.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MT1.14 Tonic Triads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MT1.14</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Tonic Triads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42-43</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Dựng bậc 1-3-5 trong C/G/D/F major.; Nhận diện key/clef và gọi tên nốt của tonic triad.</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MT1.13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MT1.14.L01 Build tonic triads: Dựng bậc 1-3-5 trong C/G/D/F major.</w:t>
              <w:br/>
              <w:t>MT1.14.L02 Recognize tonic triads: Nhận diện key/clef và gọi tên nốt của tonic triad.</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triad recognition; tonic-triad construction; note naming</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Three-note chord/triad entry and clef-aware recognition.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MT1.15 Cancelling an Accidental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MT1.15</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Cancelling an Accidental</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44-44</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Áp dụng quy tắc dấu hóa có hiệu lực trong ô nhịp.; Đặt natural để hủy sharp/flat đúng vị trí.</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MT1.14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MT1.15.L01 Accidental scope: Áp dụng quy tắc dấu hóa có hiệu lực trong ô nhịp.</w:t>
              <w:br/>
              <w:t>MT1.15.L02 Natural cancellation: Đặt natural để hủy sharp/flat đúng vị trí.</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accidental-scope analysis; natural placement; find/correct error</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Measure-level accidental scope and natural placement.</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MT1.16 Upbeats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MT1.16</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Upbeats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45-45</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Xác định phách bắt đầu và độ dài upbeat.; Liên hệ upbeat với ô nhịp cuối và tổng số phách.</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MT1.15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MT1.16.L01 Count an upbeat: Xác định phách bắt đầu và độ dài upbeat.</w:t>
              <w:br/>
              <w:t>MT1.16.L02 Complete pickup bars: Liên hệ upbeat với ô nhịp cuối và tổng số phách.</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upbeat identification; beat counting; pickup completion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Pickup/anacrusis measure duration and incomplete-bar validation.</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MT1.17 The Grouping of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MT1.17</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The Grouping of Notes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46-51</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Nhóm quaver theo phách và ranh giới ô nhịp.; Chọn chiều stem cho nốt đơn và nhóm beamed.; Viết lại nhịp với beam/stem chính xác.</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MT1.16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MT1.17.L01 Beam quavers: Nhóm quaver theo phách và ranh giới ô nhịp.</w:t>
              <w:br/>
              <w:t>MT1.17.L02 Stem direction: Chọn chiều stem cho nốt đơn và nhóm beamed.</w:t>
              <w:br/>
              <w:t>MT1.17.L03 Rewrite grouped notes: Viết lại nhịp với beam/stem chính xác.</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beam grouping; stem direction; rewrite rhythm</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Stem direction, beams and grouping-aware rhythm rewrite.</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MT1.18 Composing an Answering Rhythm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MT1.18</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Composing an Answering Rhythm</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52-53</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Nhận diện cấu trúc 2-bar question + 2-bar answer.; Áp dụng ABAC, ABBC hoặc ABCB.; Tạo answering rhythm cân đối, đúng meter; giáo viên đánh giá tính hợp lý.</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MT1.17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MT1.18.L01 Question and answer: Nhận diện cấu trúc 2-bar question + 2-bar answer.</w:t>
              <w:br/>
              <w:t>MT1.18.L02 Pattern plans: Áp dụng ABAC, ABBC hoặc ABCB.</w:t>
              <w:br/>
              <w:t>MT1.18.L03 Compose the answer: Tạo answering rhythm cân đối, đúng meter; giáo viên đánh giá tính hợp lý.</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pattern recognition; rhythm construction; answering-rhythm composition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HYBRID</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Four-bar rhythm editor with meter checks and pattern labels.</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MT1.19 Performance Directions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MT1.19</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Performance Directions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54-55</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Nhận biết nghĩa của thuật ngữ tempo Grade 1.; Nhận biết dynamics, articulation và expressive terms.; Giải nghĩa repeat, octave, pause, metronome, tie/slur và ký hiệu liên quan.</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MT1.18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MT1.19.L01 Tempo terms: Nhận biết nghĩa của thuật ngữ tempo Grade 1.</w:t>
              <w:br/>
              <w:t>MT1.19.L02 Dynamics and articulation: Nhận biết dynamics, articulation và expressive terms.</w:t>
              <w:br/>
              <w:t>MT1.19.L03 Signs and abbreviations: Giải nghĩa repeat, octave, pause, metronome, tie/slur và ký hiệu liên quan.</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single choice; multiple choice; true/false; symbol/term matching</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Render performance marks, repeat signs, octave signs, tie/slur and metronome marks.</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74 minutes plus checkpoint</w:t>
            </w:r>
          </w:p>
        </w:tc>
      </w:tr>
    </w:tbl>
    <w:p>
      <w:pPr>
        <w:spacing w:after="40"/>
      </w:pPr>
    </w:p>
    <w:p>
      <w:pPr>
        <w:pStyle w:val="Heading2"/>
        <w:keepNext/>
      </w:pPr>
      <w:r>
        <w:t>MT1.20 General Exercises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MT1.20</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General Exercises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56-58</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Trả lời câu hỏi tích hợp note, rhythm, key, interval, triad và directions.; Ôn lại theo lỗi và topic weakness.</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MT1.19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MT1.20.L01 Integrated melody analysis: Trả lời câu hỏi tích hợp note, rhythm, key, interval, triad và directions.</w:t>
              <w:br/>
              <w:t>MT1.20.L02 Error-focused review: Ôn lại theo lỗi và topic weakness.</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mixed notation analysis; integrated short answer; find/correct error</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HYBRID</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Read-only integrated score plus selectable/constructive responses.</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MT1.21 Specimen Test Grade 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MT1.21</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Specimen Test Grade 1</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59-61</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Hiểu cấu trúc, thời lượng và quy tắc làm Final Test.; Hoàn thành đề tổng hợp độc lập trong điều kiện kiểm soát.</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MT1.20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MT1.21.L01 Test orientation: Hiểu cấu trúc, thời lượng và quy tắc làm Final Test.</w:t>
              <w:br/>
              <w:t>MT1.21.L02 Grade 1 final test: Hoàn thành đề tổng hợp độc lập trong điều kiện kiểm soát.</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FINAL_ASSESSMENT using the Grade 1 specimen-test scope; HYBRID and subject to configured pass/security/manual-review policy.</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mixed item set; notation construction; rhythm composition</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HYBRID</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Full Grade 1 notation interaction set with versioned answer capture.</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FINAL_ASSESSMENT; eligible to update Music Theory 1 completion only after pass, required manual review and approved academic mapping.</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2"/>
        <w:keepNext/>
      </w:pPr>
      <w:r>
        <w:t>MT1.22 Revision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Pr>
          <w:p>
            <w:r>
              <w:rPr>
                <w:b/>
                <w:color w:val="FFFFFF"/>
                <w:sz w:val="15"/>
              </w:rPr>
              <w:t>Field</w:t>
            </w:r>
          </w:p>
        </w:tc>
        <w:tc>
          <w:tcPr>
            <w:tcW w:type="dxa" w:w="8424"/>
            <w:shd w:fill="17365D"/>
            <w:vAlign w:val="center"/>
          </w:tcPr>
          <w:p>
            <w:r>
              <w:rPr>
                <w:b/>
                <w:color w:val="FFFFFF"/>
                <w:sz w:val="15"/>
              </w:rPr>
              <w:t>Specification</w:t>
            </w:r>
          </w:p>
        </w:tc>
      </w:tr>
      <w:tr>
        <w:trPr>
          <w:cantSplit/>
        </w:trPr>
        <w:tc>
          <w:tcPr>
            <w:tcW w:type="dxa" w:w="2232"/>
            <w:vAlign w:val="center"/>
          </w:tcPr>
          <w:p>
            <w:pPr>
              <w:spacing w:after="0"/>
            </w:pPr>
            <w:r>
              <w:rPr>
                <w:sz w:val="15"/>
              </w:rPr>
              <w:t>Module code</w:t>
            </w:r>
          </w:p>
        </w:tc>
        <w:tc>
          <w:tcPr>
            <w:tcW w:type="dxa" w:w="8424"/>
            <w:vAlign w:val="center"/>
          </w:tcPr>
          <w:p>
            <w:pPr>
              <w:spacing w:after="0"/>
            </w:pPr>
            <w:r>
              <w:rPr>
                <w:sz w:val="15"/>
              </w:rPr>
              <w:t>MT1.22</w:t>
            </w:r>
          </w:p>
        </w:tc>
      </w:tr>
      <w:tr>
        <w:trPr>
          <w:cantSplit/>
        </w:trPr>
        <w:tc>
          <w:tcPr>
            <w:tcW w:type="dxa" w:w="2232"/>
            <w:vAlign w:val="center"/>
            <w:shd w:fill="F1F5F9"/>
          </w:tcPr>
          <w:p>
            <w:pPr>
              <w:spacing w:after="0"/>
            </w:pPr>
            <w:r>
              <w:rPr>
                <w:sz w:val="15"/>
              </w:rPr>
              <w:t>Module title</w:t>
            </w:r>
          </w:p>
        </w:tc>
        <w:tc>
          <w:tcPr>
            <w:tcW w:type="dxa" w:w="8424"/>
            <w:vAlign w:val="center"/>
            <w:shd w:fill="F1F5F9"/>
          </w:tcPr>
          <w:p>
            <w:pPr>
              <w:spacing w:after="0"/>
            </w:pPr>
            <w:r>
              <w:rPr>
                <w:sz w:val="15"/>
              </w:rPr>
              <w:t>Revision Notes</w:t>
            </w:r>
          </w:p>
        </w:tc>
      </w:tr>
      <w:tr>
        <w:trPr>
          <w:cantSplit/>
        </w:trPr>
        <w:tc>
          <w:tcPr>
            <w:tcW w:type="dxa" w:w="2232"/>
            <w:vAlign w:val="center"/>
          </w:tcPr>
          <w:p>
            <w:pPr>
              <w:spacing w:after="0"/>
            </w:pPr>
            <w:r>
              <w:rPr>
                <w:sz w:val="15"/>
              </w:rPr>
              <w:t>Source book</w:t>
            </w:r>
          </w:p>
        </w:tc>
        <w:tc>
          <w:tcPr>
            <w:tcW w:type="dxa" w:w="8424"/>
            <w:vAlign w:val="center"/>
          </w:tcPr>
          <w:p>
            <w:pPr>
              <w:spacing w:after="0"/>
            </w:pPr>
            <w:r>
              <w:rPr>
                <w:sz w:val="15"/>
              </w:rPr>
              <w:t>Music Theory for Young Musicians Grade 1, Second Edition, Ying Ying Ng, ISBN 978-967-10003-1-1</w:t>
            </w:r>
          </w:p>
        </w:tc>
      </w:tr>
      <w:tr>
        <w:trPr>
          <w:cantSplit/>
        </w:trPr>
        <w:tc>
          <w:tcPr>
            <w:tcW w:type="dxa" w:w="2232"/>
            <w:vAlign w:val="center"/>
            <w:shd w:fill="F1F5F9"/>
          </w:tcPr>
          <w:p>
            <w:pPr>
              <w:spacing w:after="0"/>
            </w:pPr>
            <w:r>
              <w:rPr>
                <w:sz w:val="15"/>
              </w:rPr>
              <w:t>Source pages</w:t>
            </w:r>
          </w:p>
        </w:tc>
        <w:tc>
          <w:tcPr>
            <w:tcW w:type="dxa" w:w="8424"/>
            <w:vAlign w:val="center"/>
            <w:shd w:fill="F1F5F9"/>
          </w:tcPr>
          <w:p>
            <w:pPr>
              <w:spacing w:after="0"/>
            </w:pPr>
            <w:r>
              <w:rPr>
                <w:sz w:val="15"/>
              </w:rPr>
              <w:t>Printed pages 62-64</w:t>
            </w:r>
          </w:p>
        </w:tc>
      </w:tr>
      <w:tr>
        <w:trPr>
          <w:cantSplit/>
        </w:trPr>
        <w:tc>
          <w:tcPr>
            <w:tcW w:type="dxa" w:w="2232"/>
            <w:vAlign w:val="center"/>
          </w:tcPr>
          <w:p>
            <w:pPr>
              <w:spacing w:after="0"/>
            </w:pPr>
            <w:r>
              <w:rPr>
                <w:sz w:val="15"/>
              </w:rPr>
              <w:t>Learning objectives</w:t>
            </w:r>
          </w:p>
        </w:tc>
        <w:tc>
          <w:tcPr>
            <w:tcW w:type="dxa" w:w="8424"/>
            <w:vAlign w:val="center"/>
          </w:tcPr>
          <w:p>
            <w:pPr>
              <w:spacing w:after="0"/>
            </w:pPr>
            <w:r>
              <w:rPr>
                <w:sz w:val="15"/>
              </w:rPr>
              <w:t>Ôn bảng note/time values, accidentals, keys, intervals và directions.; Luyện tập thích ứng theo các năng lực chưa đạt.</w:t>
            </w:r>
          </w:p>
        </w:tc>
      </w:tr>
      <w:tr>
        <w:trPr>
          <w:cantSplit/>
        </w:trPr>
        <w:tc>
          <w:tcPr>
            <w:tcW w:type="dxa" w:w="2232"/>
            <w:vAlign w:val="center"/>
            <w:shd w:fill="F1F5F9"/>
          </w:tcPr>
          <w:p>
            <w:pPr>
              <w:spacing w:after="0"/>
            </w:pPr>
            <w:r>
              <w:rPr>
                <w:sz w:val="15"/>
              </w:rPr>
              <w:t>Prerequisites</w:t>
            </w:r>
          </w:p>
        </w:tc>
        <w:tc>
          <w:tcPr>
            <w:tcW w:type="dxa" w:w="8424"/>
            <w:vAlign w:val="center"/>
            <w:shd w:fill="F1F5F9"/>
          </w:tcPr>
          <w:p>
            <w:pPr>
              <w:spacing w:after="0"/>
            </w:pPr>
            <w:r>
              <w:rPr>
                <w:sz w:val="15"/>
              </w:rPr>
              <w:t>MT1.21 as sequence default; competency prerequisite must follow lesson-level links and placement policy.</w:t>
            </w:r>
          </w:p>
        </w:tc>
      </w:tr>
      <w:tr>
        <w:trPr>
          <w:cantSplit/>
        </w:trPr>
        <w:tc>
          <w:tcPr>
            <w:tcW w:type="dxa" w:w="2232"/>
            <w:vAlign w:val="center"/>
          </w:tcPr>
          <w:p>
            <w:pPr>
              <w:spacing w:after="0"/>
            </w:pPr>
            <w:r>
              <w:rPr>
                <w:sz w:val="15"/>
              </w:rPr>
              <w:t>Lessons</w:t>
            </w:r>
          </w:p>
        </w:tc>
        <w:tc>
          <w:tcPr>
            <w:tcW w:type="dxa" w:w="8424"/>
            <w:vAlign w:val="center"/>
          </w:tcPr>
          <w:p>
            <w:pPr>
              <w:spacing w:after="0"/>
            </w:pPr>
            <w:r>
              <w:rPr>
                <w:sz w:val="15"/>
              </w:rPr>
              <w:t>MT1.22.L01 Compact knowledge review: Ôn bảng note/time values, accidentals, keys, intervals và directions.</w:t>
              <w:br/>
              <w:t>MT1.22.L02 Readiness review: Luyện tập thích ứng theo các năng lực chưa đạt.</w:t>
            </w:r>
          </w:p>
        </w:tc>
      </w:tr>
      <w:tr>
        <w:trPr>
          <w:cantSplit/>
        </w:trPr>
        <w:tc>
          <w:tcPr>
            <w:tcW w:type="dxa" w:w="2232"/>
            <w:vAlign w:val="center"/>
            <w:shd w:fill="F1F5F9"/>
          </w:tcPr>
          <w:p>
            <w:pPr>
              <w:spacing w:after="0"/>
            </w:pPr>
            <w:r>
              <w:rPr>
                <w:sz w:val="15"/>
              </w:rPr>
              <w:t>Practice types</w:t>
            </w:r>
          </w:p>
        </w:tc>
        <w:tc>
          <w:tcPr>
            <w:tcW w:type="dxa" w:w="8424"/>
            <w:vAlign w:val="center"/>
            <w:shd w:fill="F1F5F9"/>
          </w:tcPr>
          <w:p>
            <w:pPr>
              <w:spacing w:after="0"/>
            </w:pPr>
            <w:r>
              <w:rPr>
                <w:sz w:val="15"/>
              </w:rPr>
              <w:t>GUIDED_PRACTICE: 3-6 scaffolded items, hints and immediate feedback.</w:t>
              <w:br/>
              <w:t>INDEPENDENT_PRACTICE: 5-12 mixed items, limited hints and retry.</w:t>
              <w:br/>
              <w:t>REVIEW: adaptive retrieval from prerequisite gaps and prior errors.</w:t>
            </w:r>
          </w:p>
        </w:tc>
      </w:tr>
      <w:tr>
        <w:trPr>
          <w:cantSplit/>
        </w:trPr>
        <w:tc>
          <w:tcPr>
            <w:tcW w:type="dxa" w:w="2232"/>
            <w:vAlign w:val="center"/>
          </w:tcPr>
          <w:p>
            <w:pPr>
              <w:spacing w:after="0"/>
            </w:pPr>
            <w:r>
              <w:rPr>
                <w:sz w:val="15"/>
              </w:rPr>
              <w:t>Checkpoint</w:t>
            </w:r>
          </w:p>
        </w:tc>
        <w:tc>
          <w:tcPr>
            <w:tcW w:type="dxa" w:w="8424"/>
            <w:vAlign w:val="center"/>
          </w:tcPr>
          <w:p>
            <w:pPr>
              <w:spacing w:after="0"/>
            </w:pPr>
            <w:r>
              <w:rPr>
                <w:sz w:val="15"/>
              </w:rPr>
              <w:t>FORMATIVE_ASSESSMENT covering every module objective; versioned policy; recommended counts_toward_academic_progress=false.</w:t>
            </w:r>
          </w:p>
        </w:tc>
      </w:tr>
      <w:tr>
        <w:trPr>
          <w:cantSplit/>
        </w:trPr>
        <w:tc>
          <w:tcPr>
            <w:tcW w:type="dxa" w:w="2232"/>
            <w:vAlign w:val="center"/>
            <w:shd w:fill="F1F5F9"/>
          </w:tcPr>
          <w:p>
            <w:pPr>
              <w:spacing w:after="0"/>
            </w:pPr>
            <w:r>
              <w:rPr>
                <w:sz w:val="15"/>
              </w:rPr>
              <w:t>Question types</w:t>
            </w:r>
          </w:p>
        </w:tc>
        <w:tc>
          <w:tcPr>
            <w:tcW w:type="dxa" w:w="8424"/>
            <w:vAlign w:val="center"/>
            <w:shd w:fill="F1F5F9"/>
          </w:tcPr>
          <w:p>
            <w:pPr>
              <w:spacing w:after="0"/>
            </w:pPr>
            <w:r>
              <w:rPr>
                <w:sz w:val="15"/>
              </w:rPr>
              <w:t>mixed retrieval practice; adaptive review</w:t>
            </w:r>
          </w:p>
        </w:tc>
      </w:tr>
      <w:tr>
        <w:trPr>
          <w:cantSplit/>
        </w:trPr>
        <w:tc>
          <w:tcPr>
            <w:tcW w:type="dxa" w:w="2232"/>
            <w:vAlign w:val="center"/>
          </w:tcPr>
          <w:p>
            <w:pPr>
              <w:spacing w:after="0"/>
            </w:pPr>
            <w:r>
              <w:rPr>
                <w:sz w:val="15"/>
              </w:rPr>
              <w:t>Grading</w:t>
            </w:r>
          </w:p>
        </w:tc>
        <w:tc>
          <w:tcPr>
            <w:tcW w:type="dxa" w:w="8424"/>
            <w:vAlign w:val="center"/>
          </w:tcPr>
          <w:p>
            <w:pPr>
              <w:spacing w:after="0"/>
            </w:pPr>
            <w:r>
              <w:rPr>
                <w:sz w:val="15"/>
              </w:rPr>
              <w:t>AUTO</w:t>
            </w:r>
          </w:p>
        </w:tc>
      </w:tr>
      <w:tr>
        <w:trPr>
          <w:cantSplit/>
        </w:trPr>
        <w:tc>
          <w:tcPr>
            <w:tcW w:type="dxa" w:w="2232"/>
            <w:vAlign w:val="center"/>
            <w:shd w:fill="F1F5F9"/>
          </w:tcPr>
          <w:p>
            <w:pPr>
              <w:spacing w:after="0"/>
            </w:pPr>
            <w:r>
              <w:rPr>
                <w:sz w:val="15"/>
              </w:rPr>
              <w:t>Notation requirements</w:t>
            </w:r>
          </w:p>
        </w:tc>
        <w:tc>
          <w:tcPr>
            <w:tcW w:type="dxa" w:w="8424"/>
            <w:vAlign w:val="center"/>
            <w:shd w:fill="F1F5F9"/>
          </w:tcPr>
          <w:p>
            <w:pPr>
              <w:spacing w:after="0"/>
            </w:pPr>
            <w:r>
              <w:rPr>
                <w:sz w:val="15"/>
              </w:rPr>
              <w:t>Read-only reference notation and adaptive mixed-question delivery.</w:t>
            </w:r>
          </w:p>
        </w:tc>
      </w:tr>
      <w:tr>
        <w:trPr>
          <w:cantSplit/>
        </w:trPr>
        <w:tc>
          <w:tcPr>
            <w:tcW w:type="dxa" w:w="2232"/>
            <w:vAlign w:val="center"/>
          </w:tcPr>
          <w:p>
            <w:pPr>
              <w:spacing w:after="0"/>
            </w:pPr>
            <w:r>
              <w:rPr>
                <w:sz w:val="15"/>
              </w:rPr>
              <w:t>Academic Progress link</w:t>
            </w:r>
          </w:p>
        </w:tc>
        <w:tc>
          <w:tcPr>
            <w:tcW w:type="dxa" w:w="8424"/>
            <w:vAlign w:val="center"/>
          </w:tcPr>
          <w:p>
            <w:pPr>
              <w:spacing w:after="0"/>
            </w:pPr>
            <w:r>
              <w:rPr>
                <w:sz w:val="15"/>
              </w:rPr>
              <w:t>PRACTICE and Module Checkpoint do not update subject completion in recommended V1 policy; counts_toward_academic_progress=false.</w:t>
            </w:r>
          </w:p>
        </w:tc>
      </w:tr>
      <w:tr>
        <w:trPr>
          <w:cantSplit/>
        </w:trPr>
        <w:tc>
          <w:tcPr>
            <w:tcW w:type="dxa" w:w="2232"/>
            <w:vAlign w:val="center"/>
            <w:shd w:fill="F1F5F9"/>
          </w:tcPr>
          <w:p>
            <w:pPr>
              <w:spacing w:after="0"/>
            </w:pPr>
            <w:r>
              <w:rPr>
                <w:sz w:val="15"/>
              </w:rPr>
              <w:t>Estimated learning time</w:t>
            </w:r>
          </w:p>
        </w:tc>
        <w:tc>
          <w:tcPr>
            <w:tcW w:type="dxa" w:w="8424"/>
            <w:vAlign w:val="center"/>
            <w:shd w:fill="F1F5F9"/>
          </w:tcPr>
          <w:p>
            <w:pPr>
              <w:spacing w:after="0"/>
            </w:pPr>
            <w:r>
              <w:rPr>
                <w:sz w:val="15"/>
              </w:rPr>
              <w:t>56 minutes plus checkpoint</w:t>
            </w:r>
          </w:p>
        </w:tc>
      </w:tr>
    </w:tbl>
    <w:p>
      <w:pPr>
        <w:spacing w:after="40"/>
      </w:pPr>
    </w:p>
    <w:p>
      <w:pPr>
        <w:pStyle w:val="Heading1"/>
        <w:keepNext/>
      </w:pPr>
      <w:r>
        <w:t>4 Grade 1 Review Findings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65D"/>
            <w:vAlign w:val="center"/>
          </w:tcPr>
          <w:p>
            <w:r>
              <w:rPr>
                <w:b/>
                <w:color w:val="FFFFFF"/>
                <w:sz w:val="16"/>
              </w:rPr>
              <w:t>Classification</w:t>
            </w:r>
          </w:p>
        </w:tc>
        <w:tc>
          <w:tcPr>
            <w:tcW w:type="dxa" w:w="2592"/>
            <w:shd w:fill="17365D"/>
            <w:vAlign w:val="center"/>
          </w:tcPr>
          <w:p>
            <w:r>
              <w:rPr>
                <w:b/>
                <w:color w:val="FFFFFF"/>
                <w:sz w:val="16"/>
              </w:rPr>
              <w:t>Finding</w:t>
            </w:r>
          </w:p>
        </w:tc>
        <w:tc>
          <w:tcPr>
            <w:tcW w:type="dxa" w:w="5832"/>
            <w:shd w:fill="17365D"/>
            <w:vAlign w:val="center"/>
          </w:tcPr>
          <w:p>
            <w:r>
              <w:rPr>
                <w:b/>
                <w:color w:val="FFFFFF"/>
                <w:sz w:val="16"/>
              </w:rPr>
              <w:t>Review result</w:t>
            </w:r>
          </w:p>
        </w:tc>
      </w:tr>
      <w:tr>
        <w:trPr>
          <w:cantSplit/>
        </w:trPr>
        <w:tc>
          <w:tcPr>
            <w:tcW w:type="dxa" w:w="2232"/>
            <w:vAlign w:val="center"/>
          </w:tcPr>
          <w:p>
            <w:pPr>
              <w:spacing w:after="0"/>
            </w:pPr>
            <w:r>
              <w:rPr>
                <w:sz w:val="16"/>
              </w:rPr>
              <w:t>PASS</w:t>
            </w:r>
          </w:p>
        </w:tc>
        <w:tc>
          <w:tcPr>
            <w:tcW w:type="dxa" w:w="2592"/>
            <w:vAlign w:val="center"/>
          </w:tcPr>
          <w:p>
            <w:pPr>
              <w:spacing w:after="0"/>
            </w:pPr>
            <w:r>
              <w:rPr>
                <w:sz w:val="16"/>
              </w:rPr>
              <w:t>Thứ tự và số lượng module</w:t>
            </w:r>
          </w:p>
        </w:tc>
        <w:tc>
          <w:tcPr>
            <w:tcW w:type="dxa" w:w="5832"/>
            <w:vAlign w:val="center"/>
          </w:tcPr>
          <w:p>
            <w:pPr>
              <w:spacing w:after="0"/>
            </w:pPr>
            <w:r>
              <w:rPr>
                <w:sz w:val="16"/>
              </w:rPr>
              <w:t>22/22 module khớp Contents Grade 1; không thiếu và không có module tự thêm.</w:t>
            </w:r>
          </w:p>
        </w:tc>
      </w:tr>
      <w:tr>
        <w:trPr>
          <w:cantSplit/>
        </w:trPr>
        <w:tc>
          <w:tcPr>
            <w:tcW w:type="dxa" w:w="2232"/>
            <w:vAlign w:val="center"/>
            <w:shd w:fill="F1F5F9"/>
          </w:tcPr>
          <w:p>
            <w:pPr>
              <w:spacing w:after="0"/>
            </w:pPr>
            <w:r>
              <w:rPr>
                <w:sz w:val="16"/>
              </w:rPr>
              <w:t>PASS</w:t>
            </w:r>
          </w:p>
        </w:tc>
        <w:tc>
          <w:tcPr>
            <w:tcW w:type="dxa" w:w="2592"/>
            <w:vAlign w:val="center"/>
            <w:shd w:fill="F1F5F9"/>
          </w:tcPr>
          <w:p>
            <w:pPr>
              <w:spacing w:after="0"/>
            </w:pPr>
            <w:r>
              <w:rPr>
                <w:sz w:val="16"/>
              </w:rPr>
              <w:t>Source page ranges</w:t>
            </w:r>
          </w:p>
        </w:tc>
        <w:tc>
          <w:tcPr>
            <w:tcW w:type="dxa" w:w="5832"/>
            <w:vAlign w:val="center"/>
            <w:shd w:fill="F1F5F9"/>
          </w:tcPr>
          <w:p>
            <w:pPr>
              <w:spacing w:after="0"/>
            </w:pPr>
            <w:r>
              <w:rPr>
                <w:sz w:val="16"/>
              </w:rPr>
              <w:t>Tất cả module có trang in từ 4-64; range được suy ra từ mốc bắt đầu kế tiếp trong Contents.</w:t>
            </w:r>
          </w:p>
        </w:tc>
      </w:tr>
      <w:tr>
        <w:trPr>
          <w:cantSplit/>
        </w:trPr>
        <w:tc>
          <w:tcPr>
            <w:tcW w:type="dxa" w:w="2232"/>
            <w:vAlign w:val="center"/>
          </w:tcPr>
          <w:p>
            <w:pPr>
              <w:spacing w:after="0"/>
            </w:pPr>
            <w:r>
              <w:rPr>
                <w:sz w:val="16"/>
              </w:rPr>
              <w:t>PASS</w:t>
            </w:r>
          </w:p>
        </w:tc>
        <w:tc>
          <w:tcPr>
            <w:tcW w:type="dxa" w:w="2592"/>
            <w:vAlign w:val="center"/>
          </w:tcPr>
          <w:p>
            <w:pPr>
              <w:spacing w:after="0"/>
            </w:pPr>
            <w:r>
              <w:rPr>
                <w:sz w:val="16"/>
              </w:rPr>
              <w:t>Learner-facing structure</w:t>
            </w:r>
          </w:p>
        </w:tc>
        <w:tc>
          <w:tcPr>
            <w:tcW w:type="dxa" w:w="5832"/>
            <w:vAlign w:val="center"/>
          </w:tcPr>
          <w:p>
            <w:pPr>
              <w:spacing w:after="0"/>
            </w:pPr>
            <w:r>
              <w:rPr>
                <w:sz w:val="16"/>
              </w:rPr>
              <w:t>Không tái tổ chức theo Rhythm/Notation/Harmony; các domain chỉ là metadata.</w:t>
            </w:r>
          </w:p>
        </w:tc>
      </w:tr>
      <w:tr>
        <w:trPr>
          <w:cantSplit/>
        </w:trPr>
        <w:tc>
          <w:tcPr>
            <w:tcW w:type="dxa" w:w="2232"/>
            <w:vAlign w:val="center"/>
            <w:shd w:fill="F1F5F9"/>
          </w:tcPr>
          <w:p>
            <w:pPr>
              <w:spacing w:after="0"/>
            </w:pPr>
            <w:r>
              <w:rPr>
                <w:sz w:val="16"/>
              </w:rPr>
              <w:t>NEEDS CONTENT TEAM REVIEW</w:t>
            </w:r>
          </w:p>
        </w:tc>
        <w:tc>
          <w:tcPr>
            <w:tcW w:type="dxa" w:w="2592"/>
            <w:vAlign w:val="center"/>
            <w:shd w:fill="F1F5F9"/>
          </w:tcPr>
          <w:p>
            <w:pPr>
              <w:spacing w:after="0"/>
            </w:pPr>
            <w:r>
              <w:rPr>
                <w:sz w:val="16"/>
              </w:rPr>
              <w:t>Lesson validation</w:t>
            </w:r>
          </w:p>
        </w:tc>
        <w:tc>
          <w:tcPr>
            <w:tcW w:type="dxa" w:w="5832"/>
            <w:vAlign w:val="center"/>
            <w:shd w:fill="F1F5F9"/>
          </w:tcPr>
          <w:p>
            <w:pPr>
              <w:spacing w:after="0"/>
            </w:pPr>
            <w:r>
              <w:rPr>
                <w:sz w:val="16"/>
              </w:rPr>
              <w:t>Lesson breakdown nhìn chung đúng scope, nhưng phải đối chiếu từng trang khi authoring; đặc biệt Writing on a Stave, Rests, Performance Directions và Revision Notes.</w:t>
            </w:r>
          </w:p>
        </w:tc>
      </w:tr>
      <w:tr>
        <w:trPr>
          <w:cantSplit/>
        </w:trPr>
        <w:tc>
          <w:tcPr>
            <w:tcW w:type="dxa" w:w="2232"/>
            <w:vAlign w:val="center"/>
          </w:tcPr>
          <w:p>
            <w:pPr>
              <w:spacing w:after="0"/>
            </w:pPr>
            <w:r>
              <w:rPr>
                <w:sz w:val="16"/>
              </w:rPr>
              <w:t>NEEDS CODEX TECH REVIEW</w:t>
            </w:r>
          </w:p>
        </w:tc>
        <w:tc>
          <w:tcPr>
            <w:tcW w:type="dxa" w:w="2592"/>
            <w:vAlign w:val="center"/>
          </w:tcPr>
          <w:p>
            <w:pPr>
              <w:spacing w:after="0"/>
            </w:pPr>
            <w:r>
              <w:rPr>
                <w:sz w:val="16"/>
              </w:rPr>
              <w:t>Question-type correction</w:t>
            </w:r>
          </w:p>
        </w:tc>
        <w:tc>
          <w:tcPr>
            <w:tcW w:type="dxa" w:w="5832"/>
            <w:vAlign w:val="center"/>
          </w:tcPr>
          <w:p>
            <w:pPr>
              <w:spacing w:after="0"/>
            </w:pPr>
            <w:r>
              <w:rPr>
                <w:sz w:val="16"/>
              </w:rPr>
              <w:t>Bản gốc đã gán quá hẹp “single choice” cho MT1.05, MT1.06, MT1.07, MT1.08 và MT1.17. Implementation phải dùng construction/placement/grouping như Grade 1 detailed requirements; không lấy cột curriculum-map giản lược làm blueprint cuối.</w:t>
            </w:r>
          </w:p>
        </w:tc>
      </w:tr>
      <w:tr>
        <w:trPr>
          <w:cantSplit/>
        </w:trPr>
        <w:tc>
          <w:tcPr>
            <w:tcW w:type="dxa" w:w="2232"/>
            <w:vAlign w:val="center"/>
            <w:shd w:fill="F1F5F9"/>
          </w:tcPr>
          <w:p>
            <w:pPr>
              <w:spacing w:after="0"/>
            </w:pPr>
            <w:r>
              <w:rPr>
                <w:sz w:val="16"/>
              </w:rPr>
              <w:t>NEEDS CODEX TECH REVIEW</w:t>
            </w:r>
          </w:p>
        </w:tc>
        <w:tc>
          <w:tcPr>
            <w:tcW w:type="dxa" w:w="2592"/>
            <w:vAlign w:val="center"/>
            <w:shd w:fill="F1F5F9"/>
          </w:tcPr>
          <w:p>
            <w:pPr>
              <w:spacing w:after="0"/>
            </w:pPr>
            <w:r>
              <w:rPr>
                <w:sz w:val="16"/>
              </w:rPr>
              <w:t>AUTO grading boundary</w:t>
            </w:r>
          </w:p>
        </w:tc>
        <w:tc>
          <w:tcPr>
            <w:tcW w:type="dxa" w:w="5832"/>
            <w:vAlign w:val="center"/>
            <w:shd w:fill="F1F5F9"/>
          </w:tcPr>
          <w:p>
            <w:pPr>
              <w:spacing w:after="0"/>
            </w:pPr>
            <w:r>
              <w:rPr>
                <w:sz w:val="16"/>
              </w:rPr>
              <w:t>Scale, interval, triad, beam/stem và accidental construction chỉ AUTO sau khi engine có structured music model và canonical validation. Nếu chưa đủ, phải chuyển HYBRID; không được chấm bằng pixel comparison.</w:t>
            </w:r>
          </w:p>
        </w:tc>
      </w:tr>
      <w:tr>
        <w:trPr>
          <w:cantSplit/>
        </w:trPr>
        <w:tc>
          <w:tcPr>
            <w:tcW w:type="dxa" w:w="2232"/>
            <w:vAlign w:val="center"/>
          </w:tcPr>
          <w:p>
            <w:pPr>
              <w:spacing w:after="0"/>
            </w:pPr>
            <w:r>
              <w:rPr>
                <w:sz w:val="16"/>
              </w:rPr>
              <w:t>NEEDS OWNER REVIEW</w:t>
            </w:r>
          </w:p>
        </w:tc>
        <w:tc>
          <w:tcPr>
            <w:tcW w:type="dxa" w:w="2592"/>
            <w:vAlign w:val="center"/>
          </w:tcPr>
          <w:p>
            <w:pPr>
              <w:spacing w:after="0"/>
            </w:pPr>
            <w:r>
              <w:rPr>
                <w:sz w:val="16"/>
              </w:rPr>
              <w:t>Checkpoint academic effect</w:t>
            </w:r>
          </w:p>
        </w:tc>
        <w:tc>
          <w:tcPr>
            <w:tcW w:type="dxa" w:w="5832"/>
            <w:vAlign w:val="center"/>
          </w:tcPr>
          <w:p>
            <w:pPr>
              <w:spacing w:after="0"/>
            </w:pPr>
            <w:r>
              <w:rPr>
                <w:sz w:val="16"/>
              </w:rPr>
              <w:t>Owner phải phê duyệt D01. Khuyến nghị giữ mọi Module Checkpoint ở counts_toward_academic_progress=false trong V1.</w:t>
            </w:r>
          </w:p>
        </w:tc>
      </w:tr>
      <w:tr>
        <w:trPr>
          <w:cantSplit/>
        </w:trPr>
        <w:tc>
          <w:tcPr>
            <w:tcW w:type="dxa" w:w="2232"/>
            <w:vAlign w:val="center"/>
            <w:shd w:fill="F1F5F9"/>
          </w:tcPr>
          <w:p>
            <w:pPr>
              <w:spacing w:after="0"/>
            </w:pPr>
            <w:r>
              <w:rPr>
                <w:sz w:val="16"/>
              </w:rPr>
              <w:t>NEEDS OWNER REVIEW</w:t>
            </w:r>
          </w:p>
        </w:tc>
        <w:tc>
          <w:tcPr>
            <w:tcW w:type="dxa" w:w="2592"/>
            <w:vAlign w:val="center"/>
            <w:shd w:fill="F1F5F9"/>
          </w:tcPr>
          <w:p>
            <w:pPr>
              <w:spacing w:after="0"/>
            </w:pPr>
            <w:r>
              <w:rPr>
                <w:sz w:val="16"/>
              </w:rPr>
              <w:t>Final Test rules</w:t>
            </w:r>
          </w:p>
        </w:tc>
        <w:tc>
          <w:tcPr>
            <w:tcW w:type="dxa" w:w="5832"/>
            <w:vAlign w:val="center"/>
            <w:shd w:fill="F1F5F9"/>
          </w:tcPr>
          <w:p>
            <w:pPr>
              <w:spacing w:after="0"/>
            </w:pPr>
            <w:r>
              <w:rPr>
                <w:sz w:val="16"/>
              </w:rPr>
              <w:t>D02, D03, D05, D08 và D09 chưa đủ dữ liệu để khóa Final Test production policy.</w:t>
            </w:r>
          </w:p>
        </w:tc>
      </w:tr>
      <w:tr>
        <w:trPr>
          <w:cantSplit/>
        </w:trPr>
        <w:tc>
          <w:tcPr>
            <w:tcW w:type="dxa" w:w="2232"/>
            <w:vAlign w:val="center"/>
          </w:tcPr>
          <w:p>
            <w:pPr>
              <w:spacing w:after="0"/>
            </w:pPr>
            <w:r>
              <w:rPr>
                <w:sz w:val="16"/>
              </w:rPr>
              <w:t>NEEDS CONTENT TEAM REVIEW</w:t>
            </w:r>
          </w:p>
        </w:tc>
        <w:tc>
          <w:tcPr>
            <w:tcW w:type="dxa" w:w="2592"/>
            <w:vAlign w:val="center"/>
          </w:tcPr>
          <w:p>
            <w:pPr>
              <w:spacing w:after="0"/>
            </w:pPr>
            <w:r>
              <w:rPr>
                <w:sz w:val="16"/>
              </w:rPr>
              <w:t>Composition rubric</w:t>
            </w:r>
          </w:p>
        </w:tc>
        <w:tc>
          <w:tcPr>
            <w:tcW w:type="dxa" w:w="5832"/>
            <w:vAlign w:val="center"/>
          </w:tcPr>
          <w:p>
            <w:pPr>
              <w:spacing w:after="0"/>
            </w:pPr>
            <w:r>
              <w:rPr>
                <w:sz w:val="16"/>
              </w:rPr>
              <w:t>MT1.18 cần rubric về meter, bar completeness, pattern compliance và musical coherence; teacher review giữ quyền phán đoán cuối.</w:t>
            </w:r>
          </w:p>
        </w:tc>
      </w:tr>
      <w:tr>
        <w:trPr>
          <w:cantSplit/>
        </w:trPr>
        <w:tc>
          <w:tcPr>
            <w:tcW w:type="dxa" w:w="2232"/>
            <w:vAlign w:val="center"/>
            <w:shd w:fill="F1F5F9"/>
          </w:tcPr>
          <w:p>
            <w:pPr>
              <w:spacing w:after="0"/>
            </w:pPr>
            <w:r>
              <w:rPr>
                <w:sz w:val="16"/>
              </w:rPr>
              <w:t>NEEDS CONTENT TEAM REVIEW</w:t>
            </w:r>
          </w:p>
        </w:tc>
        <w:tc>
          <w:tcPr>
            <w:tcW w:type="dxa" w:w="2592"/>
            <w:vAlign w:val="center"/>
            <w:shd w:fill="F1F5F9"/>
          </w:tcPr>
          <w:p>
            <w:pPr>
              <w:spacing w:after="0"/>
            </w:pPr>
            <w:r>
              <w:rPr>
                <w:sz w:val="16"/>
              </w:rPr>
              <w:t>Linear prerequisites</w:t>
            </w:r>
          </w:p>
        </w:tc>
        <w:tc>
          <w:tcPr>
            <w:tcW w:type="dxa" w:w="5832"/>
            <w:vAlign w:val="center"/>
            <w:shd w:fill="F1F5F9"/>
          </w:tcPr>
          <w:p>
            <w:pPr>
              <w:spacing w:after="0"/>
            </w:pPr>
            <w:r>
              <w:rPr>
                <w:sz w:val="16"/>
              </w:rPr>
              <w:t>Prerequisite trong bản V1 chủ yếu nối module trước liền kề. Đây là sequencing default, chưa phải competency prerequisite chính xác cho mọi module.</w:t>
            </w:r>
          </w:p>
        </w:tc>
      </w:tr>
      <w:tr>
        <w:trPr>
          <w:cantSplit/>
        </w:trPr>
        <w:tc>
          <w:tcPr>
            <w:tcW w:type="dxa" w:w="2232"/>
            <w:vAlign w:val="center"/>
          </w:tcPr>
          <w:p>
            <w:pPr>
              <w:spacing w:after="0"/>
            </w:pPr>
            <w:r>
              <w:rPr>
                <w:sz w:val="16"/>
              </w:rPr>
              <w:t>NEEDS OWNER REVIEW</w:t>
            </w:r>
          </w:p>
        </w:tc>
        <w:tc>
          <w:tcPr>
            <w:tcW w:type="dxa" w:w="2592"/>
            <w:vAlign w:val="center"/>
          </w:tcPr>
          <w:p>
            <w:pPr>
              <w:spacing w:after="0"/>
            </w:pPr>
            <w:r>
              <w:rPr>
                <w:sz w:val="16"/>
              </w:rPr>
              <w:t>Revision Notes availability</w:t>
            </w:r>
          </w:p>
        </w:tc>
        <w:tc>
          <w:tcPr>
            <w:tcW w:type="dxa" w:w="5832"/>
            <w:vAlign w:val="center"/>
          </w:tcPr>
          <w:p>
            <w:pPr>
              <w:spacing w:after="0"/>
            </w:pPr>
            <w:r>
              <w:rPr>
                <w:sz w:val="16"/>
              </w:rPr>
              <w:t>MT1.22 đúng thứ tự sách sau Specimen Test, nhưng Owner nên quyết định có cho phép dùng như review resource trước Final Test mà không thay đổi thứ tự module hay không.</w:t>
            </w:r>
          </w:p>
        </w:tc>
      </w:tr>
      <w:tr>
        <w:trPr>
          <w:cantSplit/>
        </w:trPr>
        <w:tc>
          <w:tcPr>
            <w:tcW w:type="dxa" w:w="2232"/>
            <w:vAlign w:val="center"/>
            <w:shd w:fill="F1F5F9"/>
          </w:tcPr>
          <w:p>
            <w:pPr>
              <w:spacing w:after="0"/>
            </w:pPr>
            <w:r>
              <w:rPr>
                <w:sz w:val="16"/>
              </w:rPr>
              <w:t>NEEDS CODEX TECH REVIEW</w:t>
            </w:r>
          </w:p>
        </w:tc>
        <w:tc>
          <w:tcPr>
            <w:tcW w:type="dxa" w:w="2592"/>
            <w:vAlign w:val="center"/>
            <w:shd w:fill="F1F5F9"/>
          </w:tcPr>
          <w:p>
            <w:pPr>
              <w:spacing w:after="0"/>
            </w:pPr>
            <w:r>
              <w:rPr>
                <w:sz w:val="16"/>
              </w:rPr>
              <w:t>Grade 1 to Grade 2 dependencies</w:t>
            </w:r>
          </w:p>
        </w:tc>
        <w:tc>
          <w:tcPr>
            <w:tcW w:type="dxa" w:w="5832"/>
            <w:vAlign w:val="center"/>
            <w:shd w:fill="F1F5F9"/>
          </w:tcPr>
          <w:p>
            <w:pPr>
              <w:spacing w:after="0"/>
            </w:pPr>
            <w:r>
              <w:rPr>
                <w:sz w:val="16"/>
              </w:rPr>
              <w:t>Đánh dấu MT1.04→MT2.01; MT1.01/05/08→MT2.02/04; MT1.02→MT2.03; MT1.17→MT2.05/06; MT1.09-11→MT2.07/08; MT1.14→MT2.09; MT1.12→MT2.10; MT1.13→MT2.11; MT1.18→MT2.12; MT1.19→MT2.13.</w:t>
            </w:r>
          </w:p>
        </w:tc>
      </w:tr>
    </w:tbl>
    <w:p>
      <w:pPr>
        <w:spacing w:after="40"/>
      </w:pPr>
    </w:p>
    <w:p>
      <w:pPr>
        <w:widowControl/>
      </w:pPr>
      <w:r>
        <w:t>Overall verdict: curriculum structure PASS. Owner policy approval, content validation and technical correction of constructive question mappings are required before Grade 1 can be published.</w:t>
      </w:r>
    </w:p>
    <w:p>
      <w:pPr>
        <w:pStyle w:val="Heading1"/>
        <w:keepNext/>
      </w:pPr>
      <w:r>
        <w:t>5 Question Engine Requirements</w:t>
      </w:r>
    </w:p>
    <w:p>
      <w:pPr>
        <w:pStyle w:val="Heading2"/>
        <w:keepNext/>
      </w:pPr>
      <w:r>
        <w:t>Must Have V1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Pr>
          <w:p>
            <w:r>
              <w:rPr>
                <w:b/>
                <w:color w:val="FFFFFF"/>
                <w:sz w:val="17"/>
              </w:rPr>
              <w:t>Capability group</w:t>
            </w:r>
          </w:p>
        </w:tc>
        <w:tc>
          <w:tcPr>
            <w:tcW w:type="dxa" w:w="8064"/>
            <w:shd w:fill="17365D"/>
            <w:vAlign w:val="center"/>
          </w:tcPr>
          <w:p>
            <w:r>
              <w:rPr>
                <w:b/>
                <w:color w:val="FFFFFF"/>
                <w:sz w:val="17"/>
              </w:rPr>
              <w:t>Grade 1 requirement</w:t>
            </w:r>
          </w:p>
        </w:tc>
      </w:tr>
      <w:tr>
        <w:trPr>
          <w:cantSplit/>
        </w:trPr>
        <w:tc>
          <w:tcPr>
            <w:tcW w:type="dxa" w:w="2592"/>
            <w:vAlign w:val="center"/>
          </w:tcPr>
          <w:p>
            <w:pPr>
              <w:spacing w:after="0"/>
            </w:pPr>
            <w:r>
              <w:rPr>
                <w:sz w:val="17"/>
              </w:rPr>
              <w:t>Text response</w:t>
            </w:r>
          </w:p>
        </w:tc>
        <w:tc>
          <w:tcPr>
            <w:tcW w:type="dxa" w:w="8064"/>
            <w:vAlign w:val="center"/>
          </w:tcPr>
          <w:p>
            <w:pPr>
              <w:spacing w:after="0"/>
            </w:pPr>
            <w:r>
              <w:rPr>
                <w:sz w:val="17"/>
              </w:rPr>
              <w:t>single choice, multiple choice, true/false, normalized short answer</w:t>
            </w:r>
          </w:p>
        </w:tc>
      </w:tr>
      <w:tr>
        <w:trPr>
          <w:cantSplit/>
        </w:trPr>
        <w:tc>
          <w:tcPr>
            <w:tcW w:type="dxa" w:w="2592"/>
            <w:vAlign w:val="center"/>
            <w:shd w:fill="F1F5F9"/>
          </w:tcPr>
          <w:p>
            <w:pPr>
              <w:spacing w:after="0"/>
            </w:pPr>
            <w:r>
              <w:rPr>
                <w:sz w:val="17"/>
              </w:rPr>
              <w:t>Pitch and notation recognition</w:t>
            </w:r>
          </w:p>
        </w:tc>
        <w:tc>
          <w:tcPr>
            <w:tcW w:type="dxa" w:w="8064"/>
            <w:vAlign w:val="center"/>
            <w:shd w:fill="F1F5F9"/>
          </w:tcPr>
          <w:p>
            <w:pPr>
              <w:spacing w:after="0"/>
            </w:pPr>
            <w:r>
              <w:rPr>
                <w:sz w:val="17"/>
              </w:rPr>
              <w:t>note identification, clef identification, note naming with accidentals</w:t>
            </w:r>
          </w:p>
        </w:tc>
      </w:tr>
      <w:tr>
        <w:trPr>
          <w:cantSplit/>
        </w:trPr>
        <w:tc>
          <w:tcPr>
            <w:tcW w:type="dxa" w:w="2592"/>
            <w:vAlign w:val="center"/>
          </w:tcPr>
          <w:p>
            <w:pPr>
              <w:spacing w:after="0"/>
            </w:pPr>
            <w:r>
              <w:rPr>
                <w:sz w:val="17"/>
              </w:rPr>
              <w:t>Notation construction</w:t>
            </w:r>
          </w:p>
        </w:tc>
        <w:tc>
          <w:tcPr>
            <w:tcW w:type="dxa" w:w="8064"/>
            <w:vAlign w:val="center"/>
          </w:tcPr>
          <w:p>
            <w:pPr>
              <w:spacing w:after="0"/>
            </w:pPr>
            <w:r>
              <w:rPr>
                <w:sz w:val="17"/>
              </w:rPr>
              <w:t>note placement, rest placement, accidental/natural placement, bar-line placement</w:t>
            </w:r>
          </w:p>
        </w:tc>
      </w:tr>
      <w:tr>
        <w:trPr>
          <w:cantSplit/>
        </w:trPr>
        <w:tc>
          <w:tcPr>
            <w:tcW w:type="dxa" w:w="2592"/>
            <w:vAlign w:val="center"/>
            <w:shd w:fill="F1F5F9"/>
          </w:tcPr>
          <w:p>
            <w:pPr>
              <w:spacing w:after="0"/>
            </w:pPr>
            <w:r>
              <w:rPr>
                <w:sz w:val="17"/>
              </w:rPr>
              <w:t>Rhythm</w:t>
            </w:r>
          </w:p>
        </w:tc>
        <w:tc>
          <w:tcPr>
            <w:tcW w:type="dxa" w:w="8064"/>
            <w:vAlign w:val="center"/>
            <w:shd w:fill="F1F5F9"/>
          </w:tcPr>
          <w:p>
            <w:pPr>
              <w:spacing w:after="0"/>
            </w:pPr>
            <w:r>
              <w:rPr>
                <w:sz w:val="17"/>
              </w:rPr>
              <w:t>duration equivalence, complete bar, rest completion, dotted values, semiquaver grouping, beam/stem grouping, upbeat completion</w:t>
            </w:r>
          </w:p>
        </w:tc>
      </w:tr>
      <w:tr>
        <w:trPr>
          <w:cantSplit/>
        </w:trPr>
        <w:tc>
          <w:tcPr>
            <w:tcW w:type="dxa" w:w="2592"/>
            <w:vAlign w:val="center"/>
          </w:tcPr>
          <w:p>
            <w:pPr>
              <w:spacing w:after="0"/>
            </w:pPr>
            <w:r>
              <w:rPr>
                <w:sz w:val="17"/>
              </w:rPr>
              <w:t>Scales and harmony</w:t>
            </w:r>
          </w:p>
        </w:tc>
        <w:tc>
          <w:tcPr>
            <w:tcW w:type="dxa" w:w="8064"/>
            <w:vAlign w:val="center"/>
          </w:tcPr>
          <w:p>
            <w:pPr>
              <w:spacing w:after="0"/>
            </w:pPr>
            <w:r>
              <w:rPr>
                <w:sz w:val="17"/>
              </w:rPr>
              <w:t>key recognition, key-signature construction, scale construction, scale-degree identification, interval identification/construction, tonic-triad recognition/construction</w:t>
            </w:r>
          </w:p>
        </w:tc>
      </w:tr>
      <w:tr>
        <w:trPr>
          <w:cantSplit/>
        </w:trPr>
        <w:tc>
          <w:tcPr>
            <w:tcW w:type="dxa" w:w="2592"/>
            <w:vAlign w:val="center"/>
            <w:shd w:fill="F1F5F9"/>
          </w:tcPr>
          <w:p>
            <w:pPr>
              <w:spacing w:after="0"/>
            </w:pPr>
            <w:r>
              <w:rPr>
                <w:sz w:val="17"/>
              </w:rPr>
              <w:t>Relations and marks</w:t>
            </w:r>
          </w:p>
        </w:tc>
        <w:tc>
          <w:tcPr>
            <w:tcW w:type="dxa" w:w="8064"/>
            <w:vAlign w:val="center"/>
            <w:shd w:fill="F1F5F9"/>
          </w:tcPr>
          <w:p>
            <w:pPr>
              <w:spacing w:after="0"/>
            </w:pPr>
            <w:r>
              <w:rPr>
                <w:sz w:val="17"/>
              </w:rPr>
              <w:t>place/identify tie and slur; recognize performance signs</w:t>
            </w:r>
          </w:p>
        </w:tc>
      </w:tr>
      <w:tr>
        <w:trPr>
          <w:cantSplit/>
        </w:trPr>
        <w:tc>
          <w:tcPr>
            <w:tcW w:type="dxa" w:w="2592"/>
            <w:vAlign w:val="center"/>
          </w:tcPr>
          <w:p>
            <w:pPr>
              <w:spacing w:after="0"/>
            </w:pPr>
            <w:r>
              <w:rPr>
                <w:sz w:val="17"/>
              </w:rPr>
              <w:t>Review and error</w:t>
            </w:r>
          </w:p>
        </w:tc>
        <w:tc>
          <w:tcPr>
            <w:tcW w:type="dxa" w:w="8064"/>
            <w:vAlign w:val="center"/>
          </w:tcPr>
          <w:p>
            <w:pPr>
              <w:spacing w:after="0"/>
            </w:pPr>
            <w:r>
              <w:rPr>
                <w:sz w:val="17"/>
              </w:rPr>
              <w:t>hotspot/select score element, find/correct error, mixed integrated score analysis</w:t>
            </w:r>
          </w:p>
        </w:tc>
      </w:tr>
      <w:tr>
        <w:trPr>
          <w:cantSplit/>
        </w:trPr>
        <w:tc>
          <w:tcPr>
            <w:tcW w:type="dxa" w:w="2592"/>
            <w:vAlign w:val="center"/>
            <w:shd w:fill="F1F5F9"/>
          </w:tcPr>
          <w:p>
            <w:pPr>
              <w:spacing w:after="0"/>
            </w:pPr>
            <w:r>
              <w:rPr>
                <w:sz w:val="17"/>
              </w:rPr>
              <w:t>Composition</w:t>
            </w:r>
          </w:p>
        </w:tc>
        <w:tc>
          <w:tcPr>
            <w:tcW w:type="dxa" w:w="8064"/>
            <w:vAlign w:val="center"/>
            <w:shd w:fill="F1F5F9"/>
          </w:tcPr>
          <w:p>
            <w:pPr>
              <w:spacing w:after="0"/>
            </w:pPr>
            <w:r>
              <w:rPr>
                <w:sz w:val="17"/>
              </w:rPr>
              <w:t>four-bar answering rhythm entry with automated constraints plus teacher review</w:t>
            </w:r>
          </w:p>
        </w:tc>
      </w:tr>
    </w:tbl>
    <w:p>
      <w:pPr>
        <w:spacing w:after="40"/>
      </w:pPr>
    </w:p>
    <w:p>
      <w:pPr>
        <w:pStyle w:val="Heading2"/>
        <w:keepNext/>
      </w:pPr>
      <w:r>
        <w:t>Should Have V1 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Pr>
          <w:p>
            <w:r>
              <w:rPr>
                <w:b/>
                <w:color w:val="FFFFFF"/>
                <w:sz w:val="17"/>
              </w:rPr>
              <w:t>Capability group</w:t>
            </w:r>
          </w:p>
        </w:tc>
        <w:tc>
          <w:tcPr>
            <w:tcW w:type="dxa" w:w="8064"/>
            <w:shd w:fill="17365D"/>
            <w:vAlign w:val="center"/>
          </w:tcPr>
          <w:p>
            <w:r>
              <w:rPr>
                <w:b/>
                <w:color w:val="FFFFFF"/>
                <w:sz w:val="17"/>
              </w:rPr>
              <w:t>Requirement</w:t>
            </w:r>
          </w:p>
        </w:tc>
      </w:tr>
      <w:tr>
        <w:trPr>
          <w:cantSplit/>
        </w:trPr>
        <w:tc>
          <w:tcPr>
            <w:tcW w:type="dxa" w:w="2592"/>
            <w:vAlign w:val="center"/>
          </w:tcPr>
          <w:p>
            <w:pPr>
              <w:spacing w:after="0"/>
            </w:pPr>
            <w:r>
              <w:rPr>
                <w:sz w:val="17"/>
              </w:rPr>
              <w:t>Authoring efficiency</w:t>
            </w:r>
          </w:p>
        </w:tc>
        <w:tc>
          <w:tcPr>
            <w:tcW w:type="dxa" w:w="8064"/>
            <w:vAlign w:val="center"/>
          </w:tcPr>
          <w:p>
            <w:pPr>
              <w:spacing w:after="0"/>
            </w:pPr>
            <w:r>
              <w:rPr>
                <w:sz w:val="17"/>
              </w:rPr>
              <w:t>drag/order templates; reusable notation fragments; richer score hotspot editor</w:t>
            </w:r>
          </w:p>
        </w:tc>
      </w:tr>
      <w:tr>
        <w:trPr>
          <w:cantSplit/>
        </w:trPr>
        <w:tc>
          <w:tcPr>
            <w:tcW w:type="dxa" w:w="2592"/>
            <w:vAlign w:val="center"/>
            <w:shd w:fill="F1F5F9"/>
          </w:tcPr>
          <w:p>
            <w:pPr>
              <w:spacing w:after="0"/>
            </w:pPr>
            <w:r>
              <w:rPr>
                <w:sz w:val="17"/>
              </w:rPr>
              <w:t>Feedback</w:t>
            </w:r>
          </w:p>
        </w:tc>
        <w:tc>
          <w:tcPr>
            <w:tcW w:type="dxa" w:w="8064"/>
            <w:vAlign w:val="center"/>
            <w:shd w:fill="F1F5F9"/>
          </w:tcPr>
          <w:p>
            <w:pPr>
              <w:spacing w:after="0"/>
            </w:pPr>
            <w:r>
              <w:rPr>
                <w:sz w:val="17"/>
              </w:rPr>
              <w:t>misconception codes and step-aware feedback for construction errors</w:t>
            </w:r>
          </w:p>
        </w:tc>
      </w:tr>
      <w:tr>
        <w:trPr>
          <w:cantSplit/>
        </w:trPr>
        <w:tc>
          <w:tcPr>
            <w:tcW w:type="dxa" w:w="2592"/>
            <w:vAlign w:val="center"/>
          </w:tcPr>
          <w:p>
            <w:pPr>
              <w:spacing w:after="0"/>
            </w:pPr>
            <w:r>
              <w:rPr>
                <w:sz w:val="17"/>
              </w:rPr>
              <w:t>Input</w:t>
            </w:r>
          </w:p>
        </w:tc>
        <w:tc>
          <w:tcPr>
            <w:tcW w:type="dxa" w:w="8064"/>
            <w:vAlign w:val="center"/>
          </w:tcPr>
          <w:p>
            <w:pPr>
              <w:spacing w:after="0"/>
            </w:pPr>
            <w:r>
              <w:rPr>
                <w:sz w:val="17"/>
              </w:rPr>
              <w:t>optional on-screen piano/keyboard-assisted note entry after core staff interaction is stable</w:t>
            </w:r>
          </w:p>
        </w:tc>
      </w:tr>
    </w:tbl>
    <w:p>
      <w:pPr>
        <w:spacing w:after="40"/>
      </w:pPr>
    </w:p>
    <w:p>
      <w:pPr>
        <w:pStyle w:val="Heading2"/>
        <w:keepNext/>
      </w:pPr>
      <w:r>
        <w:t>Later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Pr>
          <w:p>
            <w:r>
              <w:rPr>
                <w:b/>
                <w:color w:val="FFFFFF"/>
                <w:sz w:val="17"/>
              </w:rPr>
              <w:t>Capability group</w:t>
            </w:r>
          </w:p>
        </w:tc>
        <w:tc>
          <w:tcPr>
            <w:tcW w:type="dxa" w:w="8064"/>
            <w:shd w:fill="17365D"/>
            <w:vAlign w:val="center"/>
          </w:tcPr>
          <w:p>
            <w:r>
              <w:rPr>
                <w:b/>
                <w:color w:val="FFFFFF"/>
                <w:sz w:val="17"/>
              </w:rPr>
              <w:t>Requirement</w:t>
            </w:r>
          </w:p>
        </w:tc>
      </w:tr>
      <w:tr>
        <w:trPr>
          <w:cantSplit/>
        </w:trPr>
        <w:tc>
          <w:tcPr>
            <w:tcW w:type="dxa" w:w="2592"/>
            <w:vAlign w:val="center"/>
          </w:tcPr>
          <w:p>
            <w:pPr>
              <w:spacing w:after="0"/>
            </w:pPr>
            <w:r>
              <w:rPr>
                <w:sz w:val="17"/>
              </w:rPr>
              <w:t>Higher-grade only</w:t>
            </w:r>
          </w:p>
        </w:tc>
        <w:tc>
          <w:tcPr>
            <w:tcW w:type="dxa" w:w="8064"/>
            <w:vAlign w:val="center"/>
          </w:tcPr>
          <w:p>
            <w:pPr>
              <w:spacing w:after="0"/>
            </w:pPr>
            <w:r>
              <w:rPr>
                <w:sz w:val="17"/>
              </w:rPr>
              <w:t>alto/tenor clef interaction, SATB short/open score, irregular divisions beyond Grade 1</w:t>
            </w:r>
          </w:p>
        </w:tc>
      </w:tr>
      <w:tr>
        <w:trPr>
          <w:cantSplit/>
        </w:trPr>
        <w:tc>
          <w:tcPr>
            <w:tcW w:type="dxa" w:w="2592"/>
            <w:vAlign w:val="center"/>
            <w:shd w:fill="F1F5F9"/>
          </w:tcPr>
          <w:p>
            <w:pPr>
              <w:spacing w:after="0"/>
            </w:pPr>
            <w:r>
              <w:rPr>
                <w:sz w:val="17"/>
              </w:rPr>
              <w:t>Advanced composition</w:t>
            </w:r>
          </w:p>
        </w:tc>
        <w:tc>
          <w:tcPr>
            <w:tcW w:type="dxa" w:w="8064"/>
            <w:vAlign w:val="center"/>
            <w:shd w:fill="F1F5F9"/>
          </w:tcPr>
          <w:p>
            <w:pPr>
              <w:spacing w:after="0"/>
            </w:pPr>
            <w:r>
              <w:rPr>
                <w:sz w:val="17"/>
              </w:rPr>
              <w:t>free-form melody composition editor and playback/MIDI support</w:t>
            </w:r>
          </w:p>
        </w:tc>
      </w:tr>
    </w:tbl>
    <w:p>
      <w:pPr>
        <w:spacing w:after="40"/>
      </w:pPr>
    </w:p>
    <w:p>
      <w:pPr>
        <w:widowControl/>
      </w:pPr>
      <w:r>
        <w:t>A multiple-choice-only engine fails Grade 1. MT1.03-18 and MT1.21 require structured notation, construction, placement, rewriting or composition interactions in addition to recognition questions.</w:t>
      </w:r>
    </w:p>
    <w:p>
      <w:pPr>
        <w:pStyle w:val="Heading1"/>
        <w:keepNext/>
      </w:pPr>
      <w:r>
        <w:t>6 Notation Engine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365D"/>
            <w:vAlign w:val="center"/>
          </w:tcPr>
          <w:p>
            <w:r>
              <w:rPr>
                <w:b/>
                <w:color w:val="FFFFFF"/>
                <w:sz w:val="17"/>
              </w:rPr>
              <w:t>Classification</w:t>
            </w:r>
          </w:p>
        </w:tc>
        <w:tc>
          <w:tcPr>
            <w:tcW w:type="dxa" w:w="8280"/>
            <w:shd w:fill="17365D"/>
            <w:vAlign w:val="center"/>
          </w:tcPr>
          <w:p>
            <w:r>
              <w:rPr>
                <w:b/>
                <w:color w:val="FFFFFF"/>
                <w:sz w:val="17"/>
              </w:rPr>
              <w:t>Minimum capability</w:t>
            </w:r>
          </w:p>
        </w:tc>
      </w:tr>
      <w:tr>
        <w:trPr>
          <w:cantSplit/>
        </w:trPr>
        <w:tc>
          <w:tcPr>
            <w:tcW w:type="dxa" w:w="2376"/>
            <w:vAlign w:val="center"/>
          </w:tcPr>
          <w:p>
            <w:pPr>
              <w:spacing w:after="0"/>
            </w:pPr>
            <w:r>
              <w:rPr>
                <w:sz w:val="17"/>
              </w:rPr>
              <w:t>REQUIRED FOR GRADE 1</w:t>
            </w:r>
          </w:p>
        </w:tc>
        <w:tc>
          <w:tcPr>
            <w:tcW w:type="dxa" w:w="8280"/>
            <w:vAlign w:val="center"/>
          </w:tcPr>
          <w:p>
            <w:pPr>
              <w:spacing w:after="0"/>
            </w:pPr>
            <w:r>
              <w:rPr>
                <w:sz w:val="17"/>
              </w:rPr>
              <w:t>Treble clef, bass clef, five-line staff and note/ledger placement.</w:t>
            </w:r>
          </w:p>
        </w:tc>
      </w:tr>
      <w:tr>
        <w:trPr>
          <w:cantSplit/>
        </w:trPr>
        <w:tc>
          <w:tcPr>
            <w:tcW w:type="dxa" w:w="2376"/>
            <w:vAlign w:val="center"/>
            <w:shd w:fill="F1F5F9"/>
          </w:tcPr>
          <w:p>
            <w:pPr>
              <w:spacing w:after="0"/>
            </w:pPr>
            <w:r>
              <w:rPr>
                <w:sz w:val="17"/>
              </w:rPr>
              <w:t>REQUIRED FOR GRADE 1</w:t>
            </w:r>
          </w:p>
        </w:tc>
        <w:tc>
          <w:tcPr>
            <w:tcW w:type="dxa" w:w="8280"/>
            <w:vAlign w:val="center"/>
            <w:shd w:fill="F1F5F9"/>
          </w:tcPr>
          <w:p>
            <w:pPr>
              <w:spacing w:after="0"/>
            </w:pPr>
            <w:r>
              <w:rPr>
                <w:sz w:val="17"/>
              </w:rPr>
              <w:t>Notes, rests, bar-lines, time signatures and exact rational durations.</w:t>
            </w:r>
          </w:p>
        </w:tc>
      </w:tr>
      <w:tr>
        <w:trPr>
          <w:cantSplit/>
        </w:trPr>
        <w:tc>
          <w:tcPr>
            <w:tcW w:type="dxa" w:w="2376"/>
            <w:vAlign w:val="center"/>
          </w:tcPr>
          <w:p>
            <w:pPr>
              <w:spacing w:after="0"/>
            </w:pPr>
            <w:r>
              <w:rPr>
                <w:sz w:val="17"/>
              </w:rPr>
              <w:t>REQUIRED FOR GRADE 1</w:t>
            </w:r>
          </w:p>
        </w:tc>
        <w:tc>
          <w:tcPr>
            <w:tcW w:type="dxa" w:w="8280"/>
            <w:vAlign w:val="center"/>
          </w:tcPr>
          <w:p>
            <w:pPr>
              <w:spacing w:after="0"/>
            </w:pPr>
            <w:r>
              <w:rPr>
                <w:sz w:val="17"/>
              </w:rPr>
              <w:t>Sharps, flats, naturals, key signatures and measure-level accidental scope.</w:t>
            </w:r>
          </w:p>
        </w:tc>
      </w:tr>
      <w:tr>
        <w:trPr>
          <w:cantSplit/>
        </w:trPr>
        <w:tc>
          <w:tcPr>
            <w:tcW w:type="dxa" w:w="2376"/>
            <w:vAlign w:val="center"/>
            <w:shd w:fill="F1F5F9"/>
          </w:tcPr>
          <w:p>
            <w:pPr>
              <w:spacing w:after="0"/>
            </w:pPr>
            <w:r>
              <w:rPr>
                <w:sz w:val="17"/>
              </w:rPr>
              <w:t>REQUIRED FOR GRADE 1</w:t>
            </w:r>
          </w:p>
        </w:tc>
        <w:tc>
          <w:tcPr>
            <w:tcW w:type="dxa" w:w="8280"/>
            <w:vAlign w:val="center"/>
            <w:shd w:fill="F1F5F9"/>
          </w:tcPr>
          <w:p>
            <w:pPr>
              <w:spacing w:after="0"/>
            </w:pPr>
            <w:r>
              <w:rPr>
                <w:sz w:val="17"/>
              </w:rPr>
              <w:t>Ties, slurs, dotted notes, semiquavers, stems, beams and grouping rules.</w:t>
            </w:r>
          </w:p>
        </w:tc>
      </w:tr>
      <w:tr>
        <w:trPr>
          <w:cantSplit/>
        </w:trPr>
        <w:tc>
          <w:tcPr>
            <w:tcW w:type="dxa" w:w="2376"/>
            <w:vAlign w:val="center"/>
          </w:tcPr>
          <w:p>
            <w:pPr>
              <w:spacing w:after="0"/>
            </w:pPr>
            <w:r>
              <w:rPr>
                <w:sz w:val="17"/>
              </w:rPr>
              <w:t>REQUIRED FOR GRADE 1</w:t>
            </w:r>
          </w:p>
        </w:tc>
        <w:tc>
          <w:tcPr>
            <w:tcW w:type="dxa" w:w="8280"/>
            <w:vAlign w:val="center"/>
          </w:tcPr>
          <w:p>
            <w:pPr>
              <w:spacing w:after="0"/>
            </w:pPr>
            <w:r>
              <w:rPr>
                <w:sz w:val="17"/>
              </w:rPr>
              <w:t>Intervals, tonic triads, scale construction, rhythm entry and constrained rewriting.</w:t>
            </w:r>
          </w:p>
        </w:tc>
      </w:tr>
      <w:tr>
        <w:trPr>
          <w:cantSplit/>
        </w:trPr>
        <w:tc>
          <w:tcPr>
            <w:tcW w:type="dxa" w:w="2376"/>
            <w:vAlign w:val="center"/>
            <w:shd w:fill="F1F5F9"/>
          </w:tcPr>
          <w:p>
            <w:pPr>
              <w:spacing w:after="0"/>
            </w:pPr>
            <w:r>
              <w:rPr>
                <w:sz w:val="17"/>
              </w:rPr>
              <w:t>REQUIRED FOR GRADE 1</w:t>
            </w:r>
          </w:p>
        </w:tc>
        <w:tc>
          <w:tcPr>
            <w:tcW w:type="dxa" w:w="8280"/>
            <w:vAlign w:val="center"/>
            <w:shd w:fill="F1F5F9"/>
          </w:tcPr>
          <w:p>
            <w:pPr>
              <w:spacing w:after="0"/>
            </w:pPr>
            <w:r>
              <w:rPr>
                <w:sz w:val="17"/>
              </w:rPr>
              <w:t>Performance signs needed by MT1.19 and integrated score rendering for MT1.20/21.</w:t>
            </w:r>
          </w:p>
        </w:tc>
      </w:tr>
      <w:tr>
        <w:trPr>
          <w:cantSplit/>
        </w:trPr>
        <w:tc>
          <w:tcPr>
            <w:tcW w:type="dxa" w:w="2376"/>
            <w:vAlign w:val="center"/>
          </w:tcPr>
          <w:p>
            <w:pPr>
              <w:spacing w:after="0"/>
            </w:pPr>
            <w:r>
              <w:rPr>
                <w:sz w:val="17"/>
              </w:rPr>
              <w:t>NOT REQUIRED YET</w:t>
            </w:r>
          </w:p>
        </w:tc>
        <w:tc>
          <w:tcPr>
            <w:tcW w:type="dxa" w:w="8280"/>
            <w:vAlign w:val="center"/>
          </w:tcPr>
          <w:p>
            <w:pPr>
              <w:spacing w:after="0"/>
            </w:pPr>
            <w:r>
              <w:rPr>
                <w:sz w:val="17"/>
              </w:rPr>
              <w:t>Audio playback, MIDI capture and automated judgement of musical creativity.</w:t>
            </w:r>
          </w:p>
        </w:tc>
      </w:tr>
      <w:tr>
        <w:trPr>
          <w:cantSplit/>
        </w:trPr>
        <w:tc>
          <w:tcPr>
            <w:tcW w:type="dxa" w:w="2376"/>
            <w:vAlign w:val="center"/>
            <w:shd w:fill="F1F5F9"/>
          </w:tcPr>
          <w:p>
            <w:pPr>
              <w:spacing w:after="0"/>
            </w:pPr>
            <w:r>
              <w:rPr>
                <w:sz w:val="17"/>
              </w:rPr>
              <w:t>REQUIRED BY HIGHER GRADES</w:t>
            </w:r>
          </w:p>
        </w:tc>
        <w:tc>
          <w:tcPr>
            <w:tcW w:type="dxa" w:w="8280"/>
            <w:vAlign w:val="center"/>
            <w:shd w:fill="F1F5F9"/>
          </w:tcPr>
          <w:p>
            <w:pPr>
              <w:spacing w:after="0"/>
            </w:pPr>
            <w:r>
              <w:rPr>
                <w:sz w:val="17"/>
              </w:rPr>
              <w:t>Alto clef, tenor clef, double accidentals, double dots, duplets, irregular meters/divisions, ornaments, multi-staff SATB and advanced transposition.</w:t>
            </w:r>
          </w:p>
        </w:tc>
      </w:tr>
    </w:tbl>
    <w:p>
      <w:pPr>
        <w:spacing w:after="40"/>
      </w:pPr>
    </w:p>
    <w:p>
      <w:pPr>
        <w:widowControl/>
      </w:pPr>
      <w:r>
        <w:t>AUTO grading is conditional on a canonical structured music representation. Rendering an answer that looks correct is not sufficient; validation must understand clef, pitch spelling, rhythmic duration, measure context, stem/beam relations, ties/slurs and chord membership.</w:t>
      </w:r>
    </w:p>
    <w:p>
      <w:pPr>
        <w:pStyle w:val="Heading1"/>
        <w:keepNext/>
      </w:pPr>
      <w:r>
        <w:t>7 Codex Readiness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7365D"/>
            <w:vAlign w:val="center"/>
          </w:tcPr>
          <w:p>
            <w:r>
              <w:rPr>
                <w:b/>
                <w:color w:val="FFFFFF"/>
                <w:sz w:val="16"/>
              </w:rPr>
              <w:t>Phase</w:t>
            </w:r>
          </w:p>
        </w:tc>
        <w:tc>
          <w:tcPr>
            <w:tcW w:type="dxa" w:w="2232"/>
            <w:shd w:fill="17365D"/>
            <w:vAlign w:val="center"/>
          </w:tcPr>
          <w:p>
            <w:r>
              <w:rPr>
                <w:b/>
                <w:color w:val="FFFFFF"/>
                <w:sz w:val="16"/>
              </w:rPr>
              <w:t>Status</w:t>
            </w:r>
          </w:p>
        </w:tc>
        <w:tc>
          <w:tcPr>
            <w:tcW w:type="dxa" w:w="6048"/>
            <w:shd w:fill="17365D"/>
            <w:vAlign w:val="center"/>
          </w:tcPr>
          <w:p>
            <w:r>
              <w:rPr>
                <w:b/>
                <w:color w:val="FFFFFF"/>
                <w:sz w:val="16"/>
              </w:rPr>
              <w:t>Assessment</w:t>
            </w:r>
          </w:p>
        </w:tc>
      </w:tr>
      <w:tr>
        <w:trPr>
          <w:cantSplit/>
        </w:trPr>
        <w:tc>
          <w:tcPr>
            <w:tcW w:type="dxa" w:w="2376"/>
            <w:vAlign w:val="center"/>
          </w:tcPr>
          <w:p>
            <w:pPr>
              <w:spacing w:after="0"/>
            </w:pPr>
            <w:r>
              <w:rPr>
                <w:sz w:val="16"/>
              </w:rPr>
              <w:t>Phase 0 E-learning data/content model</w:t>
            </w:r>
          </w:p>
        </w:tc>
        <w:tc>
          <w:tcPr>
            <w:tcW w:type="dxa" w:w="2232"/>
            <w:vAlign w:val="center"/>
          </w:tcPr>
          <w:p>
            <w:pPr>
              <w:spacing w:after="0"/>
            </w:pPr>
            <w:r>
              <w:rPr>
                <w:sz w:val="16"/>
              </w:rPr>
              <w:t>READY AFTER OWNER DECISIONS</w:t>
            </w:r>
          </w:p>
        </w:tc>
        <w:tc>
          <w:tcPr>
            <w:tcW w:type="dxa" w:w="6048"/>
            <w:vAlign w:val="center"/>
          </w:tcPr>
          <w:p>
            <w:pPr>
              <w:spacing w:after="0"/>
            </w:pPr>
            <w:r>
              <w:rPr>
                <w:sz w:val="16"/>
              </w:rPr>
              <w:t>Core hierarchy, metadata, versioning, source refs and publish states are defined. D01, D04, D09-D14 must be represented as configurable policy; schema work may begin, but production defaults cannot be locked.</w:t>
            </w:r>
          </w:p>
        </w:tc>
      </w:tr>
      <w:tr>
        <w:trPr>
          <w:cantSplit/>
        </w:trPr>
        <w:tc>
          <w:tcPr>
            <w:tcW w:type="dxa" w:w="2376"/>
            <w:vAlign w:val="center"/>
            <w:shd w:fill="F1F5F9"/>
          </w:tcPr>
          <w:p>
            <w:pPr>
              <w:spacing w:after="0"/>
            </w:pPr>
            <w:r>
              <w:rPr>
                <w:sz w:val="16"/>
              </w:rPr>
              <w:t>Phase 1 Question engine foundation</w:t>
            </w:r>
          </w:p>
        </w:tc>
        <w:tc>
          <w:tcPr>
            <w:tcW w:type="dxa" w:w="2232"/>
            <w:vAlign w:val="center"/>
            <w:shd w:fill="F1F5F9"/>
          </w:tcPr>
          <w:p>
            <w:pPr>
              <w:spacing w:after="0"/>
            </w:pPr>
            <w:r>
              <w:rPr>
                <w:sz w:val="16"/>
              </w:rPr>
              <w:t>READY</w:t>
            </w:r>
          </w:p>
        </w:tc>
        <w:tc>
          <w:tcPr>
            <w:tcW w:type="dxa" w:w="6048"/>
            <w:vAlign w:val="center"/>
            <w:shd w:fill="F1F5F9"/>
          </w:tcPr>
          <w:p>
            <w:pPr>
              <w:spacing w:after="0"/>
            </w:pPr>
            <w:r>
              <w:rPr>
                <w:sz w:val="16"/>
              </w:rPr>
              <w:t>Grade 1 provides enough MUST HAVE question families and grading boundaries to build the generic attempt/question/response foundation. Final Test security specifics remain feature flags pending D08.</w:t>
            </w:r>
          </w:p>
        </w:tc>
      </w:tr>
      <w:tr>
        <w:trPr>
          <w:cantSplit/>
        </w:trPr>
        <w:tc>
          <w:tcPr>
            <w:tcW w:type="dxa" w:w="2376"/>
            <w:vAlign w:val="center"/>
          </w:tcPr>
          <w:p>
            <w:pPr>
              <w:spacing w:after="0"/>
            </w:pPr>
            <w:r>
              <w:rPr>
                <w:sz w:val="16"/>
              </w:rPr>
              <w:t>Phase 2 Notation interaction foundation</w:t>
            </w:r>
          </w:p>
        </w:tc>
        <w:tc>
          <w:tcPr>
            <w:tcW w:type="dxa" w:w="2232"/>
            <w:vAlign w:val="center"/>
          </w:tcPr>
          <w:p>
            <w:pPr>
              <w:spacing w:after="0"/>
            </w:pPr>
            <w:r>
              <w:rPr>
                <w:sz w:val="16"/>
              </w:rPr>
              <w:t>READY AFTER OWNER DECISIONS</w:t>
            </w:r>
          </w:p>
        </w:tc>
        <w:tc>
          <w:tcPr>
            <w:tcW w:type="dxa" w:w="6048"/>
            <w:vAlign w:val="center"/>
          </w:tcPr>
          <w:p>
            <w:pPr>
              <w:spacing w:after="0"/>
            </w:pPr>
            <w:r>
              <w:rPr>
                <w:sz w:val="16"/>
              </w:rPr>
              <w:t>Grade 1 minimum is clear. D07 must confirm V1 boundary; Codex should design an extensible structured model but implement only approved interactions.</w:t>
            </w:r>
          </w:p>
        </w:tc>
      </w:tr>
      <w:tr>
        <w:trPr>
          <w:cantSplit/>
        </w:trPr>
        <w:tc>
          <w:tcPr>
            <w:tcW w:type="dxa" w:w="2376"/>
            <w:vAlign w:val="center"/>
            <w:shd w:fill="F1F5F9"/>
          </w:tcPr>
          <w:p>
            <w:pPr>
              <w:spacing w:after="0"/>
            </w:pPr>
            <w:r>
              <w:rPr>
                <w:sz w:val="16"/>
              </w:rPr>
              <w:t>Phase 3 Music Theory Grade 1 implementation</w:t>
            </w:r>
          </w:p>
        </w:tc>
        <w:tc>
          <w:tcPr>
            <w:tcW w:type="dxa" w:w="2232"/>
            <w:vAlign w:val="center"/>
            <w:shd w:fill="F1F5F9"/>
          </w:tcPr>
          <w:p>
            <w:pPr>
              <w:spacing w:after="0"/>
            </w:pPr>
            <w:r>
              <w:rPr>
                <w:sz w:val="16"/>
              </w:rPr>
              <w:t>READY AFTER OWNER DECISIONS</w:t>
            </w:r>
          </w:p>
        </w:tc>
        <w:tc>
          <w:tcPr>
            <w:tcW w:type="dxa" w:w="6048"/>
            <w:vAlign w:val="center"/>
            <w:shd w:fill="F1F5F9"/>
          </w:tcPr>
          <w:p>
            <w:pPr>
              <w:spacing w:after="0"/>
            </w:pPr>
            <w:r>
              <w:rPr>
                <w:sz w:val="16"/>
              </w:rPr>
              <w:t>Module order, pages, lesson template and engine needs are defined. Content cannot publish until Owner decisions, content review, original assets, checkpoint policy, Final Test rules and academic mapping are approved.</w:t>
            </w:r>
          </w:p>
        </w:tc>
      </w:tr>
    </w:tbl>
    <w:p>
      <w:pPr>
        <w:spacing w:after="40"/>
      </w:pPr>
    </w:p>
    <w:p>
      <w:pPr>
        <w:pStyle w:val="Heading1"/>
        <w:keepNext/>
      </w:pPr>
      <w:r>
        <w:t>8 Open Issues</w:t>
      </w:r>
    </w:p>
    <w:p>
      <w:pPr>
        <w:pStyle w:val="ListBullet"/>
        <w:widowControl/>
      </w:pPr>
      <w:r>
        <w:t>D01-D14 await Owner approval; D02, D03, D05, D08, D09, D10, D12, D13 and D14 contain no safe operational default.</w:t>
      </w:r>
    </w:p>
    <w:p>
      <w:pPr>
        <w:pStyle w:val="ListBullet"/>
        <w:widowControl/>
      </w:pPr>
      <w:r>
        <w:t>The Grade 1 curriculum-map summary in the original specification is too narrow for several question types. The detailed module requirements and this review pack must be the implementation authority.</w:t>
      </w:r>
    </w:p>
    <w:p>
      <w:pPr>
        <w:pStyle w:val="ListBullet"/>
        <w:widowControl/>
      </w:pPr>
      <w:r>
        <w:t>Content team must validate every lesson breakdown against the cited pages and author original explanations, notation examples, exercises and feedback.</w:t>
      </w:r>
    </w:p>
    <w:p>
      <w:pPr>
        <w:pStyle w:val="ListBullet"/>
        <w:widowControl/>
      </w:pPr>
      <w:r>
        <w:t>The exact mapping from passed Grade 1 Final Test to VIBE Academic Progress is unresolved.</w:t>
      </w:r>
    </w:p>
    <w:p>
      <w:pPr>
        <w:pStyle w:val="ListBullet"/>
        <w:widowControl/>
      </w:pPr>
      <w:r>
        <w:t>MT5.15 Revision Notes remains SOURCE_MISSING. Printed page 86 is required before Grade 5 is locked; this does not block Grade 1 implementation.</w:t>
      </w:r>
    </w:p>
    <w:p>
      <w:pPr>
        <w:pStyle w:val="Heading1"/>
        <w:keepNext/>
      </w:pPr>
      <w:r>
        <w:t>9 Recommended Next Action</w:t>
      </w:r>
    </w:p>
    <w:p>
      <w:pPr>
        <w:widowControl/>
      </w:pPr>
      <w:r>
        <w:t>Owner reviews and records D01-D14. After that approval, authorize Codex to begin Phases 0-2 while the content team validates and authors MT1.01-MT1.05 as the pilot slice. Do not enable counts_toward_academic_progress or publish the Grade 1 Final Test until D02, D03, D05, D08 and D09 have explicit approved values and the pilot reconciliation has passed.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365D"/>
            <w:vAlign w:val="center"/>
          </w:tcPr>
          <w:p>
            <w:r>
              <w:rPr>
                <w:b/>
                <w:color w:val="FFFFFF"/>
                <w:sz w:val="17"/>
              </w:rPr>
              <w:t>Approval gate</w:t>
            </w:r>
          </w:p>
        </w:tc>
        <w:tc>
          <w:tcPr>
            <w:tcW w:type="dxa" w:w="8280"/>
            <w:shd w:fill="17365D"/>
            <w:vAlign w:val="center"/>
          </w:tcPr>
          <w:p>
            <w:r>
              <w:rPr>
                <w:b/>
                <w:color w:val="FFFFFF"/>
                <w:sz w:val="17"/>
              </w:rPr>
              <w:t>Required sign-off</w:t>
            </w:r>
          </w:p>
        </w:tc>
      </w:tr>
      <w:tr>
        <w:trPr>
          <w:cantSplit/>
        </w:trPr>
        <w:tc>
          <w:tcPr>
            <w:tcW w:type="dxa" w:w="2376"/>
            <w:vAlign w:val="center"/>
          </w:tcPr>
          <w:p>
            <w:pPr>
              <w:spacing w:after="0"/>
            </w:pPr>
            <w:r>
              <w:rPr>
                <w:sz w:val="17"/>
              </w:rPr>
              <w:t>Curriculum structure</w:t>
            </w:r>
          </w:p>
        </w:tc>
        <w:tc>
          <w:tcPr>
            <w:tcW w:type="dxa" w:w="8280"/>
            <w:vAlign w:val="center"/>
          </w:tcPr>
          <w:p>
            <w:pPr>
              <w:spacing w:after="0"/>
            </w:pPr>
            <w:r>
              <w:rPr>
                <w:sz w:val="17"/>
              </w:rPr>
              <w:t>Owner confirms 22 modules, order and source pages.</w:t>
            </w:r>
          </w:p>
        </w:tc>
      </w:tr>
      <w:tr>
        <w:trPr>
          <w:cantSplit/>
        </w:trPr>
        <w:tc>
          <w:tcPr>
            <w:tcW w:type="dxa" w:w="2376"/>
            <w:vAlign w:val="center"/>
            <w:shd w:fill="F1F5F9"/>
          </w:tcPr>
          <w:p>
            <w:pPr>
              <w:spacing w:after="0"/>
            </w:pPr>
            <w:r>
              <w:rPr>
                <w:sz w:val="17"/>
              </w:rPr>
              <w:t>Operating policy</w:t>
            </w:r>
          </w:p>
        </w:tc>
        <w:tc>
          <w:tcPr>
            <w:tcW w:type="dxa" w:w="8280"/>
            <w:vAlign w:val="center"/>
            <w:shd w:fill="F1F5F9"/>
          </w:tcPr>
          <w:p>
            <w:pPr>
              <w:spacing w:after="0"/>
            </w:pPr>
            <w:r>
              <w:rPr>
                <w:sz w:val="17"/>
              </w:rPr>
              <w:t>Owner records D01-D14.</w:t>
            </w:r>
          </w:p>
        </w:tc>
      </w:tr>
      <w:tr>
        <w:trPr>
          <w:cantSplit/>
        </w:trPr>
        <w:tc>
          <w:tcPr>
            <w:tcW w:type="dxa" w:w="2376"/>
            <w:vAlign w:val="center"/>
          </w:tcPr>
          <w:p>
            <w:pPr>
              <w:spacing w:after="0"/>
            </w:pPr>
            <w:r>
              <w:rPr>
                <w:sz w:val="17"/>
              </w:rPr>
              <w:t>Content</w:t>
            </w:r>
          </w:p>
        </w:tc>
        <w:tc>
          <w:tcPr>
            <w:tcW w:type="dxa" w:w="8280"/>
            <w:vAlign w:val="center"/>
          </w:tcPr>
          <w:p>
            <w:pPr>
              <w:spacing w:after="0"/>
            </w:pPr>
            <w:r>
              <w:rPr>
                <w:sz w:val="17"/>
              </w:rPr>
              <w:t>Music reviewer and copyright/assets reviewer approve original MT1 content.</w:t>
            </w:r>
          </w:p>
        </w:tc>
      </w:tr>
      <w:tr>
        <w:trPr>
          <w:cantSplit/>
        </w:trPr>
        <w:tc>
          <w:tcPr>
            <w:tcW w:type="dxa" w:w="2376"/>
            <w:vAlign w:val="center"/>
            <w:shd w:fill="F1F5F9"/>
          </w:tcPr>
          <w:p>
            <w:pPr>
              <w:spacing w:after="0"/>
            </w:pPr>
            <w:r>
              <w:rPr>
                <w:sz w:val="17"/>
              </w:rPr>
              <w:t>Technology</w:t>
            </w:r>
          </w:p>
        </w:tc>
        <w:tc>
          <w:tcPr>
            <w:tcW w:type="dxa" w:w="8280"/>
            <w:vAlign w:val="center"/>
            <w:shd w:fill="F1F5F9"/>
          </w:tcPr>
          <w:p>
            <w:pPr>
              <w:spacing w:after="0"/>
            </w:pPr>
            <w:r>
              <w:rPr>
                <w:sz w:val="17"/>
              </w:rPr>
              <w:t>Codex passes question/notation golden tests and access/security tests.</w:t>
            </w:r>
          </w:p>
        </w:tc>
      </w:tr>
      <w:tr>
        <w:trPr>
          <w:cantSplit/>
        </w:trPr>
        <w:tc>
          <w:tcPr>
            <w:tcW w:type="dxa" w:w="2376"/>
            <w:vAlign w:val="center"/>
          </w:tcPr>
          <w:p>
            <w:pPr>
              <w:spacing w:after="0"/>
            </w:pPr>
            <w:r>
              <w:rPr>
                <w:sz w:val="17"/>
              </w:rPr>
              <w:t>Academic integration</w:t>
            </w:r>
          </w:p>
        </w:tc>
        <w:tc>
          <w:tcPr>
            <w:tcW w:type="dxa" w:w="8280"/>
            <w:vAlign w:val="center"/>
          </w:tcPr>
          <w:p>
            <w:pPr>
              <w:spacing w:after="0"/>
            </w:pPr>
            <w:r>
              <w:rPr>
                <w:sz w:val="17"/>
              </w:rPr>
              <w:t>Owner/Academic confirms D09 mapping and shadow reconciliation.</w:t>
            </w:r>
          </w:p>
        </w:tc>
      </w:tr>
      <w:tr>
        <w:trPr>
          <w:cantSplit/>
        </w:trPr>
        <w:tc>
          <w:tcPr>
            <w:tcW w:type="dxa" w:w="2376"/>
            <w:vAlign w:val="center"/>
            <w:shd w:fill="F1F5F9"/>
          </w:tcPr>
          <w:p>
            <w:pPr>
              <w:spacing w:after="0"/>
            </w:pPr>
            <w:r>
              <w:rPr>
                <w:sz w:val="17"/>
              </w:rPr>
              <w:t>Pilot</w:t>
            </w:r>
          </w:p>
        </w:tc>
        <w:tc>
          <w:tcPr>
            <w:tcW w:type="dxa" w:w="8280"/>
            <w:vAlign w:val="center"/>
            <w:shd w:fill="F1F5F9"/>
          </w:tcPr>
          <w:p>
            <w:pPr>
              <w:spacing w:after="0"/>
            </w:pPr>
            <w:r>
              <w:rPr>
                <w:sz w:val="17"/>
              </w:rPr>
              <w:t>Named pilot users complete acceptance script; defects are triaged before production effect.</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VIBE Academy  |  Owner Review Pack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Apto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Academy Music Theory E-learning Owner Review Pack V1</dc:title>
  <dc:subject/>
  <dc:creator>VIBE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