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lus Jakarta Sans" w:hAnsi="Plus Jakarta Sans"/>
          <w:b/>
          <w:color w:val="2563FF"/>
          <w:sz w:val="18"/>
        </w:rPr>
        <w:t>PROPOSAL · BÁO CÁO · TÀI LIỆU</w:t>
      </w:r>
    </w:p>
    <w:p>
      <w:pPr>
        <w:pStyle w:val="Title"/>
      </w:pPr>
      <w:r>
        <w:t>Tiêu đề tài liệu</w:t>
      </w:r>
    </w:p>
    <w:p>
      <w:r>
        <w:rPr>
          <w:color w:val="667085"/>
          <w:sz w:val="26"/>
        </w:rPr>
        <w:t>Phụ đề ngắn — Marketing × AI × Creative</w:t>
      </w:r>
    </w:p>
    <w:p>
      <w:r>
        <w:t>Đoạn mở đầu: nói rõ bài toán hoặc lợi ích trong câu đầu tiên. Dùng câu ngắn, động từ cụ thể; tránh phóng đại. Thân bài dùng Inter 10,5 pt, giãn dòng 1,35.</w:t>
      </w:r>
    </w:p>
    <w:p>
      <w:pPr>
        <w:pStyle w:val="Heading1"/>
      </w:pPr>
      <w:r>
        <w:t>1. Tiêu đề cấp 1</w:t>
      </w:r>
    </w:p>
    <w:p>
      <w:r>
        <w:t>Nội dung thân bài. Số liệu chỉ dùng khi có thể xác minh, kèm nguồn và kỳ đo.</w:t>
      </w:r>
    </w:p>
    <w:p>
      <w:pPr>
        <w:pStyle w:val="Heading2"/>
      </w:pPr>
      <w:r>
        <w:t>1.1 Tiêu đề cấp 2</w:t>
      </w:r>
    </w:p>
    <w:p>
      <w:pPr>
        <w:pStyle w:val="ListBullet"/>
      </w:pPr>
      <w:r>
        <w:t>Gạch đầu dòng ngắn, bắt đầu bằng động từ.</w:t>
      </w:r>
    </w:p>
    <w:p>
      <w:pPr>
        <w:pStyle w:val="ListBullet"/>
      </w:pPr>
      <w:r>
        <w:t>Mỗi ý một dòng; tối đa 5–7 ý.</w:t>
      </w:r>
    </w:p>
    <w:p>
      <w:pPr>
        <w:pStyle w:val="ListBullet"/>
      </w:pPr>
      <w:r>
        <w:t>Kết thúc bằng hành động tiếp theo.</w:t>
      </w:r>
    </w:p>
    <w:p>
      <w:pPr>
        <w:pStyle w:val="Heading2"/>
      </w:pPr>
      <w:r>
        <w:t>1.2 Bảng mẫu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Inter" w:hAnsi="Inter"/>
                <w:sz w:val="19"/>
              </w:rPr>
              <w:t>Hạng mục</w:t>
            </w:r>
          </w:p>
        </w:tc>
        <w:tc>
          <w:tcPr>
            <w:tcW w:type="dxa" w:w="3137"/>
          </w:tcPr>
          <w:p>
            <w:r>
              <w:rPr>
                <w:rFonts w:ascii="Inter" w:hAnsi="Inter"/>
                <w:sz w:val="19"/>
              </w:rPr>
              <w:t>Mô tả</w:t>
            </w:r>
          </w:p>
        </w:tc>
        <w:tc>
          <w:tcPr>
            <w:tcW w:type="dxa" w:w="3137"/>
          </w:tcPr>
          <w:p>
            <w:r>
              <w:rPr>
                <w:rFonts w:ascii="Inter" w:hAnsi="Inter"/>
                <w:sz w:val="19"/>
              </w:rPr>
              <w:t>Thời gian</w:t>
            </w:r>
          </w:p>
        </w:tc>
      </w:tr>
      <w:tr>
        <w:tc>
          <w:tcPr>
            <w:tcW w:type="dxa" w:w="3137"/>
          </w:tcPr>
          <w:p>
            <w:r>
              <w:rPr>
                <w:rFonts w:ascii="Inter" w:hAnsi="Inter"/>
                <w:sz w:val="19"/>
              </w:rPr>
              <w:t>Audit</w:t>
            </w:r>
          </w:p>
        </w:tc>
        <w:tc>
          <w:tcPr>
            <w:tcW w:type="dxa" w:w="3137"/>
          </w:tcPr>
          <w:p>
            <w:r>
              <w:rPr>
                <w:rFonts w:ascii="Inter" w:hAnsi="Inter"/>
                <w:sz w:val="19"/>
              </w:rPr>
              <w:t>Đánh giá hiện trạng, dữ liệu, quy trình</w:t>
            </w:r>
          </w:p>
        </w:tc>
        <w:tc>
          <w:tcPr>
            <w:tcW w:type="dxa" w:w="3137"/>
          </w:tcPr>
          <w:p>
            <w:r>
              <w:rPr>
                <w:rFonts w:ascii="Inter" w:hAnsi="Inter"/>
                <w:sz w:val="19"/>
              </w:rPr>
              <w:t>Tuần 1–2</w:t>
            </w:r>
          </w:p>
        </w:tc>
      </w:tr>
      <w:tr>
        <w:tc>
          <w:tcPr>
            <w:tcW w:type="dxa" w:w="3137"/>
          </w:tcPr>
          <w:p>
            <w:r>
              <w:rPr>
                <w:rFonts w:ascii="Inter" w:hAnsi="Inter"/>
                <w:sz w:val="19"/>
              </w:rPr>
              <w:t>Build</w:t>
            </w:r>
          </w:p>
        </w:tc>
        <w:tc>
          <w:tcPr>
            <w:tcW w:type="dxa" w:w="3137"/>
          </w:tcPr>
          <w:p>
            <w:r>
              <w:rPr>
                <w:rFonts w:ascii="Inter" w:hAnsi="Inter"/>
                <w:sz w:val="19"/>
              </w:rPr>
              <w:t>Xây nền tảng, nội dung, đo lường</w:t>
            </w:r>
          </w:p>
        </w:tc>
        <w:tc>
          <w:tcPr>
            <w:tcW w:type="dxa" w:w="3137"/>
          </w:tcPr>
          <w:p>
            <w:r>
              <w:rPr>
                <w:rFonts w:ascii="Inter" w:hAnsi="Inter"/>
                <w:sz w:val="19"/>
              </w:rPr>
              <w:t>Tuần 3–6</w:t>
            </w:r>
          </w:p>
        </w:tc>
      </w:tr>
      <w:tr>
        <w:tc>
          <w:tcPr>
            <w:tcW w:type="dxa" w:w="3137"/>
          </w:tcPr>
          <w:p>
            <w:r>
              <w:rPr>
                <w:rFonts w:ascii="Inter" w:hAnsi="Inter"/>
                <w:sz w:val="19"/>
              </w:rPr>
              <w:t>Automate / Grow</w:t>
            </w:r>
          </w:p>
        </w:tc>
        <w:tc>
          <w:tcPr>
            <w:tcW w:type="dxa" w:w="3137"/>
          </w:tcPr>
          <w:p>
            <w:r>
              <w:rPr>
                <w:rFonts w:ascii="Inter" w:hAnsi="Inter"/>
                <w:sz w:val="19"/>
              </w:rPr>
              <w:t>Tự động hóa, thử nghiệm, tối ưu</w:t>
            </w:r>
          </w:p>
        </w:tc>
        <w:tc>
          <w:tcPr>
            <w:tcW w:type="dxa" w:w="3137"/>
          </w:tcPr>
          <w:p>
            <w:r>
              <w:rPr>
                <w:rFonts w:ascii="Inter" w:hAnsi="Inter"/>
                <w:sz w:val="19"/>
              </w:rPr>
              <w:t>Tuần 7–12</w:t>
            </w:r>
          </w:p>
        </w:tc>
      </w:tr>
    </w:tbl>
    <w:p/>
    <w:p>
      <w:r>
        <w:rPr>
          <w:i/>
          <w:color w:val="667085"/>
          <w:sz w:val="18"/>
        </w:rPr>
        <w:t>Ghi chú: sử dụng phong cách tiêu đề (Heading 1–3) thay vì chỉnh tay để mục lục tự động hoạt động. Font Plus Jakarta Sans và Inter nằm trong 03_Typography/fonts.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1247" w:bottom="147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Inter" w:hAnsi="Inter"/>
        <w:color w:val="667085"/>
        <w:sz w:val="16"/>
      </w:rPr>
      <w:t xml:space="preserve">Vibe AI Labs · vibeailabs@gmail.com · vibe-ai-labs.vibeailabs.workers.dev   |   </w:t>
    </w:r>
    <w:r>
      <w:rPr>
        <w:color w:val="66708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D9E2F2"/>
      </w:pBdr>
    </w:pPr>
    <w:r>
      <w:drawing>
        <wp:inline xmlns:a="http://schemas.openxmlformats.org/drawingml/2006/main" xmlns:pic="http://schemas.openxmlformats.org/drawingml/2006/picture">
          <wp:extent cx="1655999" cy="2765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be-ai-labs_horizontal_color_1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5999" cy="27655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Inter" w:hAnsi="Inter" w:cs="Inter" w:eastAsia="Inter"/>
      <w:b w:val="0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Plus Jakarta Sans" w:hAnsi="Plus Jakarta Sans" w:cs="Plus Jakarta Sans" w:eastAsia="Plus Jakarta Sans"/>
      <w:b/>
      <w:bCs/>
      <w:color w:val="0B102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Plus Jakarta Sans" w:hAnsi="Plus Jakarta Sans" w:cs="Plus Jakarta Sans" w:eastAsia="Plus Jakarta Sans"/>
      <w:b/>
      <w:bCs/>
      <w:color w:val="2563F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us Jakarta Sans" w:hAnsi="Plus Jakarta Sans" w:cs="Plus Jakarta Sans" w:eastAsia="Plus Jakarta Sans"/>
      <w:b/>
      <w:bCs/>
      <w:color w:val="0B10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Plus Jakarta Sans" w:hAnsi="Plus Jakarta Sans" w:cs="Plus Jakarta Sans" w:eastAsia="Plus Jakarta Sans"/>
      <w:b/>
      <w:color w:val="0B10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 w:cs="Inter" w:eastAsia="Inter"/>
      <w:b w:val="0"/>
      <w:color w:val="11182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