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🎨 ReAlign MVP – Brand Kit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1.4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May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Deliver a clean, stable, mobile-first brand identity system that translates directly to Tailwind + shadcn/ui.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Brand Personality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Tone: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Professional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Calm authority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Voice: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and direct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Encouraging without fluff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overpromises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Speed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Clarity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precision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Simplicity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Trackable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Mobile-first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🌈 Color Palette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Blue: #263b75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Accent Yellow: #f2c94c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 Background: #f9f9f9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Dark Text: #1c1c1e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Success: #2ecc71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Warning: #f39c12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Danger: #e74c3c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 Guidelines: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Blue for primary CTAs, header, phase markers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Yellow for upload prompts and accents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Neutral background for cards and modals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Red/orange/green used strictly for status (not for decoration)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🔤 Typography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Font: Inter (loaded globally via Google Fonts import)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Headings: 700 weight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Body: 400 weight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Labels/Buttons: 500 weight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Sizing (Mobile Baseline):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32px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Subhead: 24px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Body: 16px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Caption: 14px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Tailwind Mapping: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text-lg = 18px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text-base = 16px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text-sm = 14px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text-xs = 12px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Fallback stack: -apple-system, BlinkMacSystemFont, Segoe UI, Roboto, Helvetica Neue, Arial, sans-serif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🔘 Button Styles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Border Radius: rounded-2xl (12px)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Padding: px-4 py-2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Font: Inter, 500 weight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Styles: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Hover: scale-105, shadow-sm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Focus: outline-none ring-2 ring-offset-2 ring-blue-500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Disabled: opacity-50, cursor-not-allowed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Variants (Tailwind class reference):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→ bg-[#263b75] text-white hover:scale-105 rounded-2xl px-4 py-2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Secondary → border border-[#263b75] text-[#263b75] hover:scale-105 rounded-2xl px-4 py-2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 → bg-white text-[#263b75] hover:scale-105 rounded-2xl px-4 py-2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🧩 Iconography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Library: lucide-react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Style: Outline-only, no fills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Icons: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→ UploadCloud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→ MessageCircle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→ CheckCircle, AlertCircle, Clock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Navigation → ArrowRight, ChevronDown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 size: 24x24px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 weight must be consistent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Color: inherit from text color unless driven by status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 Usage: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Commonly used icons should be preloaded into a shared Icon.tsx component to simplify use and ensure consistency.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brand kit defines a modern, flexible design system: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for Tailwind utility-first styling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mobile-ready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Colors and fonts map directly to dev components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ambiguity for spacing, states, or icon usage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ready to implement without further decisions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