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CLINICAL PROTOCOL SYNOPSIS</w:t>
      </w:r>
    </w:p>
    <w:p>
      <w:pPr>
        <w:pStyle w:val="Heading1"/>
      </w:pPr>
      <w:r>
        <w:t>STUDY TITLE</w:t>
      </w:r>
    </w:p>
    <w:p>
      <w:r>
        <w:t>A Registry-based, Randomised, Double-blind, Placebo-Controlled Cardiovascular Outcomes Trial to Evaluate the Effect of Dapagliflozin on Cardiometabolic Outcomes in Patients without Diabetes with Acute Myocardial Infarction at Increased Risk for Subsequent Development of Heart Failure</w:t>
      </w:r>
    </w:p>
    <w:p/>
    <w:p>
      <w:pPr>
        <w:pStyle w:val="Heading1"/>
      </w:pPr>
      <w:r>
        <w:t>CLINICAL PHASE</w:t>
      </w:r>
    </w:p>
    <w:p>
      <w:r>
        <w:t>Phase 3</w:t>
      </w:r>
    </w:p>
    <w:p/>
    <w:p>
      <w:pPr>
        <w:pStyle w:val="Heading1"/>
      </w:pPr>
      <w:r>
        <w:t>STUDY OBJECTIVES</w:t>
      </w:r>
    </w:p>
    <w:p>
      <w:r>
        <w:t>primarysecondaryexploratory</w:t>
      </w:r>
    </w:p>
    <w:p/>
    <w:p>
      <w:pPr>
        <w:pStyle w:val="Heading1"/>
      </w:pPr>
      <w:r>
        <w:t>STUDY RATIONALE</w:t>
      </w:r>
    </w:p>
    <w:p>
      <w:r>
        <w:t>Approximately 7 million individuals suffer myocardial infarction annually, with survivors at high risk for new cardiovascular events and heart failure development. Dapagliflozin has shown cardioprotective effects in previous studies, potentially preventing heart failure and reducing cardiovascular risk.</w:t>
      </w:r>
    </w:p>
    <w:p/>
    <w:p>
      <w:pPr>
        <w:pStyle w:val="Heading1"/>
      </w:pPr>
      <w:r>
        <w:t>STUDY POPULATION</w:t>
      </w:r>
    </w:p>
    <w:p>
      <w:r>
        <w:t>Non-diabetic patients presenting with myocardial infarction (STEMI or NSTEMI) and impaired left ventricular systolic function</w:t>
      </w:r>
    </w:p>
    <w:p/>
    <w:p>
      <w:pPr>
        <w:pStyle w:val="Heading1"/>
      </w:pPr>
      <w:r>
        <w:t>MAIN INCLUSION/EXCLUSION CRITERIA</w:t>
      </w:r>
    </w:p>
    <w:p>
      <w:r>
        <w:t>Inclusion: Age ≥18, confirmed MI within 7-10 days, impaired LV systolic function. Exclusion: Known diabetes, chronic symptomatic heart failure, severe renal disease, active malignancy</w:t>
      </w:r>
    </w:p>
    <w:p/>
    <w:p>
      <w:pPr>
        <w:pStyle w:val="Heading1"/>
      </w:pPr>
      <w:r>
        <w:t>PRIMARY ENDPOINT(S)</w:t>
      </w:r>
    </w:p>
    <w:p>
      <w:r>
        <w:t>Hierarchical composite endpoint including death, heart failure hospitalization, non-fatal MI, AF/flutter, new onset T2DM, NYHA class, and body weight decrease</w:t>
      </w:r>
    </w:p>
    <w:p/>
    <w:p>
      <w:pPr>
        <w:pStyle w:val="Heading1"/>
      </w:pPr>
      <w:r>
        <w:t>SECONDARY &amp; EXPLORATORY ENDPOINTS</w:t>
      </w:r>
    </w:p>
    <w:p>
      <w:r>
        <w:t>CV death, MI, stroke, hospitalizations, new onset diabetes, body weight changes</w:t>
      </w:r>
    </w:p>
    <w:p/>
    <w:p>
      <w:pPr>
        <w:pStyle w:val="Heading1"/>
      </w:pPr>
      <w:r>
        <w:t>STUDY DESIGN</w:t>
      </w:r>
    </w:p>
    <w:p>
      <w:r>
        <w:t>Multicentre, parallel group, randomized, double-blind, placebo-controlled registry-based trial in Sweden and UK</w:t>
      </w:r>
    </w:p>
    <w:p/>
    <w:p>
      <w:pPr>
        <w:pStyle w:val="Heading1"/>
      </w:pPr>
      <w:r>
        <w:t>SUBJECT NUMBER</w:t>
      </w:r>
    </w:p>
    <w:p>
      <w:r>
        <w:t>Approximately 4000 patients</w:t>
      </w:r>
    </w:p>
    <w:p/>
    <w:p>
      <w:pPr>
        <w:pStyle w:val="Heading1"/>
      </w:pPr>
      <w:r>
        <w:t>TREATMENT DURATION</w:t>
      </w:r>
    </w:p>
    <w:p>
      <w:r>
        <w:t>Minimum 3 months follow-up for each patient</w:t>
      </w:r>
    </w:p>
    <w:p/>
    <w:p>
      <w:pPr>
        <w:pStyle w:val="Heading1"/>
      </w:pPr>
      <w:r>
        <w:t>DURATION OF FOLLOW UP</w:t>
      </w:r>
    </w:p>
    <w:p>
      <w:r>
        <w:t>Minimum 3 months per patient</w:t>
      </w:r>
    </w:p>
    <w:p/>
    <w:p>
      <w:pPr>
        <w:pStyle w:val="Heading1"/>
      </w:pPr>
      <w:r>
        <w:t>DOSE LEVEL(S) AND DOSE JUSTIFICATION</w:t>
      </w:r>
    </w:p>
    <w:p>
      <w:r>
        <w:t>Dapagliflozin 10 mg once daily</w:t>
      </w:r>
    </w:p>
    <w:p/>
    <w:p>
      <w:pPr>
        <w:pStyle w:val="Heading1"/>
      </w:pPr>
      <w:r>
        <w:t>ROUTE OF DELIVERY</w:t>
      </w:r>
    </w:p>
    <w:p>
      <w:r>
        <w:t>Oral</w:t>
      </w:r>
    </w:p>
    <w:p/>
    <w:p>
      <w:pPr>
        <w:pStyle w:val="Heading1"/>
      </w:pPr>
      <w:r>
        <w:t>DATA AND SAFETY MONITORING PLAN (DSMP)</w:t>
      </w:r>
    </w:p>
    <w:p>
      <w:r>
        <w:t>Independent Data Monitoring Committee will review safety and conduct oversight</w:t>
      </w:r>
    </w:p>
    <w:p/>
    <w:p>
      <w:pPr>
        <w:pStyle w:val="Heading1"/>
      </w:pPr>
      <w:r>
        <w:t>STOPPING RULES</w:t>
      </w:r>
    </w:p>
    <w:p>
      <w:r>
        <w:t>Study may be terminated early if clear beneficial or harmful effect is detected</w:t>
      </w:r>
    </w:p>
    <w:p/>
    <w:p>
      <w:pPr>
        <w:pStyle w:val="Heading1"/>
      </w:pPr>
      <w:r>
        <w:t>IMMUNE MONITORING &amp; IMMUNOSUPPRESSION</w:t>
      </w:r>
    </w:p>
    <w:p>
      <w:r>
        <w:t>Not specified</w:t>
      </w:r>
    </w:p>
    <w:p/>
    <w:p>
      <w:pPr>
        <w:pStyle w:val="Heading1"/>
      </w:pPr>
      <w:r>
        <w:t>SUPPORTING STUDIES</w:t>
      </w:r>
    </w:p>
    <w:p>
      <w:r>
        <w:t>DECLARE-TIMI 58 and DAPA-HF trials</w:t>
      </w:r>
    </w:p>
    <w:p/>
    <w:p>
      <w:pPr>
        <w:pStyle w:val="Heading1"/>
      </w:pPr>
      <w:r>
        <w:t>ASSAYS/METHODOLOGIES</w:t>
      </w:r>
    </w:p>
    <w:p>
      <w:r>
        <w:t>Registry-based data collection, clinical endpoint adjudication</w:t>
      </w:r>
    </w:p>
    <w:p/>
    <w:p>
      <w:pPr>
        <w:pStyle w:val="Heading1"/>
      </w:pPr>
      <w:r>
        <w:t>STATISTICAL ANALYSIS PLAN</w:t>
      </w:r>
    </w:p>
    <w:p>
      <w:r>
        <w:t>Win-ratio method for primary endpoint, intention-to-treat analysis</w:t>
      </w:r>
    </w:p>
    <w:p/>
    <w:p>
      <w:pPr>
        <w:pStyle w:val="Heading1"/>
      </w:pPr>
      <w:r>
        <w:t>OUTCOME CRITERIA</w:t>
      </w:r>
    </w:p>
    <w:p>
      <w:r>
        <w:t>Hierarchical composite of cardiovascular and cardiometabolic outcomes</w:t>
      </w:r>
    </w:p>
    <w:p/>
    <w:p>
      <w:pPr>
        <w:pStyle w:val="Heading1"/>
      </w:pPr>
      <w:r>
        <w:t>RISKS</w:t>
      </w:r>
    </w:p>
    <w:p>
      <w:r>
        <w:t>Potential hypotension, volume depletion</w:t>
      </w:r>
    </w:p>
    <w:p/>
    <w:p>
      <w:pPr>
        <w:pStyle w:val="Heading1"/>
      </w:pPr>
      <w:r>
        <w:t>CLINICAL SITES</w:t>
      </w:r>
    </w:p>
    <w:p>
      <w:r>
        <w:t>Hospitals in Sweden and United Kingdom</w:t>
      </w:r>
    </w:p>
    <w:p/>
    <w:p>
      <w:pPr>
        <w:pStyle w:val="Heading1"/>
      </w:pPr>
      <w:r>
        <w:t>CLINICAL OPERATIONS</w:t>
      </w:r>
    </w:p>
    <w:p>
      <w:r>
        <w:t>Integrated with national clinical registries SWEDEHEART and MINAP</w:t>
      </w:r>
    </w:p>
    <w:p/>
    <w:p>
      <w:pPr>
        <w:pStyle w:val="Heading1"/>
      </w:pPr>
      <w:r>
        <w:t>ENROLLMENT</w:t>
      </w:r>
    </w:p>
    <w:p>
      <w:r>
        <w:t>Consecutive screening of MI patients in coronary care units</w:t>
      </w:r>
    </w:p>
    <w:p/>
    <w:p>
      <w:pPr>
        <w:pStyle w:val="Heading1"/>
      </w:pPr>
      <w:r>
        <w:t>LONG TERM FOLLOW UP</w:t>
      </w:r>
    </w:p>
    <w:p>
      <w:r>
        <w:t>Visits every 10 months until study closure</w:t>
      </w:r>
    </w:p>
    <w:p/>
    <w:p>
      <w:pPr>
        <w:pStyle w:val="Heading1"/>
      </w:pPr>
      <w:r>
        <w:t>TIMELINE</w:t>
      </w:r>
    </w:p>
    <w:p>
      <w:r>
        <w:t>Approximately 30 months total study duration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4"/>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