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Company Capability Statement &amp; Past Proposal Extract</w:t>
      </w:r>
    </w:p>
    <w:p>
      <w:r>
        <w:t>Vendor: Applab Technologies</w:t>
      </w:r>
    </w:p>
    <w:p>
      <w:pPr>
        <w:pStyle w:val="Heading1"/>
      </w:pPr>
      <w:r>
        <w:t>Security &amp; Compliance</w:t>
      </w:r>
    </w:p>
    <w:p>
      <w:r>
        <w:t>All customer data is encrypted at rest using AES-256 and in transit using TLS 1.3. Encryption keys are managed in a FIPS 140-2 Level 3 hardware security module with automated 90-day rotation. We are certified to ISO 27001:2022 and SOC 2 Type II.</w:t>
      </w:r>
    </w:p>
    <w:p>
      <w:pPr>
        <w:pStyle w:val="Heading1"/>
      </w:pPr>
      <w:r>
        <w:t>Security Operations</w:t>
      </w:r>
    </w:p>
    <w:p>
      <w:r>
        <w:t>Our SOC operates 24x7x365 across three geographic shifts with a follow-the-sun model. Contractual commitments: mean time to detect under 10 minutes, mean time to respond under 30 minutes for critical incidents. Breach notification is issued within 24 hours.</w:t>
      </w:r>
    </w:p>
    <w:p>
      <w:pPr>
        <w:pStyle w:val="Heading1"/>
      </w:pPr>
      <w:r>
        <w:t>Data Residency &amp; Recovery</w:t>
      </w:r>
    </w:p>
    <w:p>
      <w:r>
        <w:t>Customer data can be pinned to in-country regions with contractual residency guarantees. Backups run every 4 hours with a recovery point objective (RPO) of 4 hours and a recovery time objective (RTO) of 2 hours. We conduct quarterly penetration tests and continuous vulnerability scanning.</w:t>
      </w:r>
    </w:p>
    <w:p>
      <w:pPr>
        <w:pStyle w:val="Heading1"/>
      </w:pPr>
      <w:r>
        <w:t>Access Control</w:t>
      </w:r>
    </w:p>
    <w:p>
      <w:r>
        <w:t>Identity is governed by role-based access control with mandatory multi-factor authentication. Privileged access is brokered through just-in-time elevation with full session recording.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