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— Cloud Security &amp; Managed SOC Services</w:t>
      </w:r>
    </w:p>
    <w:p>
      <w:r>
        <w:t>RFP Reference: MOH-2026-SEC-014</w:t>
      </w:r>
    </w:p>
    <w:p>
      <w:r>
        <w:t>Issued by: Ministry of Health, Digital Infrastructure Directorate</w:t>
      </w:r>
    </w:p>
    <w:p>
      <w:r>
        <w:t>Submission deadline: 30 September 2026</w:t>
      </w:r>
    </w:p>
    <w:p/>
    <w:p>
      <w:pPr>
        <w:pStyle w:val="Heading1"/>
      </w:pPr>
      <w:r>
        <w:t>1. Introduction</w:t>
      </w:r>
    </w:p>
    <w:p>
      <w:r>
        <w:t>The Ministry of Health invites qualified vendors to submit proposals for the provision of cloud security and 24x7 managed security operations centre (SOC) services covering its national patient-records platform. Responses must address every requirement below with specific, evidence-backed answers.</w:t>
      </w:r>
    </w:p>
    <w:p>
      <w:pPr>
        <w:pStyle w:val="Heading1"/>
      </w:pPr>
      <w:r>
        <w:t>2. Mandatory Requirements</w:t>
      </w:r>
    </w:p>
    <w:p>
      <w:r>
        <w:t>2.1  Describe your data encryption approach for data at rest and data in transit, including key management and rotation policy.</w:t>
      </w:r>
    </w:p>
    <w:p>
      <w:r>
        <w:t>2.2  Detail your SOC staffing model, shift coverage, and mean time to detect (MTTD) and mean time to respond (MTTR) commitments.</w:t>
      </w:r>
    </w:p>
    <w:p>
      <w:r>
        <w:t>2.3  Describe how your solution meets ISO 27001 and the local National Data Privacy regulations. List all relevant certifications.</w:t>
      </w:r>
    </w:p>
    <w:p>
      <w:r>
        <w:t>2.4  Explain your incident response process, including escalation paths and breach notification timelines.</w:t>
      </w:r>
    </w:p>
    <w:p>
      <w:r>
        <w:t>2.5  Describe your data residency guarantees. Confirm that all patient data remains within national borders.</w:t>
      </w:r>
    </w:p>
    <w:p>
      <w:r>
        <w:t>2.6  Provide your approach to vulnerability management and penetration testing cadence.</w:t>
      </w:r>
    </w:p>
    <w:p>
      <w:r>
        <w:t>2.7  Describe your identity and access management controls, including privileged access and multi-factor authentication.</w:t>
      </w:r>
    </w:p>
    <w:p>
      <w:r>
        <w:t>2.8  Detail your backup, disaster recovery, and business continuity capabilities, including RPO and RTO targets.</w:t>
      </w:r>
    </w:p>
    <w:p>
      <w:pPr>
        <w:pStyle w:val="Heading1"/>
      </w:pPr>
      <w:r>
        <w:t>3. Commercial</w:t>
      </w:r>
    </w:p>
    <w:p>
      <w:r>
        <w:t>Provide a fully itemised price breakdown for a three-year term, including any one-time onboarding costs.</w:t>
      </w:r>
    </w:p>
    <w:p>
      <w:pPr>
        <w:pStyle w:val="Heading1"/>
      </w:pPr>
      <w:r>
        <w:t>4. Evaluation Criteria</w:t>
      </w:r>
    </w:p>
    <w:p>
      <w:r>
        <w:t>Technical compliance (50%), Security posture (30%), Commercial (20%).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