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888888"/>
          <w:sz w:val="20"/>
          <w:szCs w:val="20"/>
        </w:rPr>
        <w:t xml:space="preserve">ADR-0001</w:t>
      </w:r>
    </w:p>
    <w:p>
      <w:pPr>
        <w:spacing w:after="80"/>
      </w:pPr>
      <w:r>
        <w:rPr>
          <w:rFonts w:ascii="Arial" w:cs="Arial" w:eastAsia="Arial" w:hAnsi="Arial"/>
          <w:b/>
          <w:bCs/>
          <w:sz w:val="40"/>
          <w:szCs w:val="40"/>
        </w:rPr>
        <w:t xml:space="preserve">Memory Sidecar for Agentic Systems</w:t>
      </w:r>
    </w:p>
    <w:p>
      <w:pPr>
        <w:pBdr>
          <w:bottom w:val="single" w:color="2E75B6" w:sz="12" w:space="4"/>
        </w:pBdr>
        <w:spacing w:after="240"/>
      </w:pPr>
      <w:r>
        <w:rPr>
          <w:rFonts w:ascii="Arial" w:cs="Arial" w:eastAsia="Arial" w:hAnsi="Arial"/>
          <w:i/>
          <w:iCs/>
          <w:color w:val="666666"/>
          <w:sz w:val="22"/>
          <w:szCs w:val="22"/>
        </w:rPr>
        <w:t xml:space="preserve">Architecture Decision Record · Draft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Field</w:t>
            </w:r>
          </w:p>
        </w:tc>
        <w:tc>
          <w:tcPr>
            <w:tcW w:type="dxa" w:w="7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Value</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Status</w:t>
            </w:r>
          </w:p>
        </w:tc>
        <w:tc>
          <w:tcPr>
            <w:tcW w:type="dxa" w:w="71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Proposed</w:t>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Decision drivers</w:t>
            </w:r>
          </w:p>
        </w:tc>
        <w:tc>
          <w:tcPr>
            <w:tcW w:type="dxa" w:w="71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Self-hosted OSS; bring-your-own backends; framework-agnostic protocol</w:t>
            </w:r>
          </w:p>
        </w:tc>
      </w:tr>
      <w:t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Date</w:t>
            </w:r>
          </w:p>
        </w:tc>
        <w:tc>
          <w:tcPr>
            <w:tcW w:type="dxa" w:w="71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2026-05-11</w:t>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Supersedes</w:t>
            </w:r>
          </w:p>
        </w:tc>
        <w:tc>
          <w:tcPr>
            <w:tcW w:type="dxa" w:w="71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w:t>
            </w:r>
          </w:p>
        </w:tc>
      </w:tr>
    </w:tbl>
    <w:p>
      <w:pPr>
        <w:spacing w:after="120"/>
      </w:pPr>
      <w:r>
        <w:t xml:space="preserve"/>
      </w:r>
    </w:p>
    <w:p>
      <w:pPr>
        <w:pStyle w:val="Heading1"/>
        <w:spacing w:after="200" w:before="360"/>
      </w:pPr>
      <w:r>
        <w:rPr>
          <w:rFonts w:ascii="Arial" w:cs="Arial" w:eastAsia="Arial" w:hAnsi="Arial"/>
          <w:b/>
          <w:bCs/>
          <w:sz w:val="32"/>
          <w:szCs w:val="32"/>
        </w:rPr>
        <w:t xml:space="preserve">1. Context and problem statement</w:t>
      </w:r>
    </w:p>
    <w:p>
      <w:pPr>
        <w:spacing w:after="120" w:line="300"/>
      </w:pPr>
      <w:r>
        <w:rPr>
          <w:rFonts w:ascii="Arial" w:cs="Arial" w:eastAsia="Arial" w:hAnsi="Arial"/>
          <w:sz w:val="22"/>
          <w:szCs w:val="22"/>
        </w:rPr>
        <w:t xml:space="preserve">Agentic systems — single agents, multi-agent crews, long-running autonomous workflows — all need persistence. In practice this means a stack of disparate stores: a KV cache for tool results, a vector database for semantic recall, an append-only log for episodic history, blob storage for generated artifacts, and some form of working memory that outlives a single inference call. Every popular framework (LangGraph, CrewAI, Autogen, Mastra, bespoke stacks) re-implements this plumbing in incompatible ways.</w:t>
      </w:r>
    </w:p>
    <w:p>
      <w:pPr>
        <w:spacing w:after="120" w:line="300"/>
      </w:pPr>
      <w:r>
        <w:rPr>
          <w:rFonts w:ascii="Arial" w:cs="Arial" w:eastAsia="Arial" w:hAnsi="Arial"/>
          <w:sz w:val="22"/>
          <w:szCs w:val="22"/>
        </w:rPr>
        <w:t xml:space="preserve">The result: agent code is tightly coupled to specific backends, multi-agent memory sharing is ad-hoc, access control is either absent or framework-specific, and swapping Pinecone for Qdrant — or Redis for Postgres — means rewriting agent code. Operations teams have no uniform place to enforce retention, PII policy, encryption, or tenancy.</w:t>
      </w:r>
    </w:p>
    <w:p>
      <w:pPr>
        <w:spacing w:after="120" w:line="300"/>
      </w:pPr>
      <w:r>
        <w:rPr>
          <w:rFonts w:ascii="Arial" w:cs="Arial" w:eastAsia="Arial" w:hAnsi="Arial"/>
          <w:sz w:val="22"/>
          <w:szCs w:val="22"/>
        </w:rPr>
        <w:t xml:space="preserve">We propose a Memory Sidecar: a co-located process that exposes a small, opinionated, framework-agnostic API over pluggable backends. Agents talk to the sidecar; the sidecar talks to the substrate. The analogy is Dapr's building-block model, narrowed and specialised to memory and state for agentic workloads.</w:t>
      </w:r>
    </w:p>
    <w:p>
      <w:pPr>
        <w:pStyle w:val="Heading1"/>
        <w:spacing w:after="200" w:before="360"/>
      </w:pPr>
      <w:r>
        <w:rPr>
          <w:rFonts w:ascii="Arial" w:cs="Arial" w:eastAsia="Arial" w:hAnsi="Arial"/>
          <w:b/>
          <w:bCs/>
          <w:sz w:val="32"/>
          <w:szCs w:val="32"/>
        </w:rPr>
        <w:t xml:space="preserve">2. Design goals and non-goals</w:t>
      </w:r>
    </w:p>
    <w:p>
      <w:pPr>
        <w:pStyle w:val="Heading2"/>
        <w:spacing w:after="160" w:before="280"/>
      </w:pPr>
      <w:r>
        <w:rPr>
          <w:rFonts w:ascii="Arial" w:cs="Arial" w:eastAsia="Arial" w:hAnsi="Arial"/>
          <w:b/>
          <w:bCs/>
          <w:sz w:val="26"/>
          <w:szCs w:val="26"/>
        </w:rPr>
        <w:t xml:space="preserve">2.1 Goals</w:t>
      </w:r>
    </w:p>
    <w:p>
      <w:pPr>
        <w:pStyle w:val="ListParagraph"/>
        <w:numPr>
          <w:ilvl w:val="0"/>
          <w:numId w:val="2"/>
        </w:numPr>
        <w:spacing w:after="80" w:line="280"/>
      </w:pPr>
      <w:r>
        <w:rPr>
          <w:rFonts w:ascii="Arial" w:cs="Arial" w:eastAsia="Arial" w:hAnsi="Arial"/>
          <w:sz w:val="22"/>
          <w:szCs w:val="22"/>
        </w:rPr>
        <w:t xml:space="preserve">Self-hosted, OSS-first. Single static binary or container. No mandatory SaaS dependency.</w:t>
      </w:r>
    </w:p>
    <w:p>
      <w:pPr>
        <w:pStyle w:val="ListParagraph"/>
        <w:numPr>
          <w:ilvl w:val="0"/>
          <w:numId w:val="2"/>
        </w:numPr>
        <w:spacing w:after="80" w:line="280"/>
      </w:pPr>
      <w:r>
        <w:rPr>
          <w:rFonts w:ascii="Arial" w:cs="Arial" w:eastAsia="Arial" w:hAnsi="Arial"/>
          <w:sz w:val="22"/>
          <w:szCs w:val="22"/>
        </w:rPr>
        <w:t xml:space="preserve">Bring-your-own backends. Postgres+pgvector, Redis, S3-compatible blob stores, Qdrant, Pinecone, etc. — chosen at deployment time, not by the agent author.</w:t>
      </w:r>
    </w:p>
    <w:p>
      <w:pPr>
        <w:pStyle w:val="ListParagraph"/>
        <w:numPr>
          <w:ilvl w:val="0"/>
          <w:numId w:val="2"/>
        </w:numPr>
        <w:spacing w:after="80" w:line="280"/>
      </w:pPr>
      <w:r>
        <w:rPr>
          <w:rFonts w:ascii="Arial" w:cs="Arial" w:eastAsia="Arial" w:hAnsi="Arial"/>
          <w:sz w:val="22"/>
          <w:szCs w:val="22"/>
        </w:rPr>
        <w:t xml:space="preserve">Framework-agnostic protocol. gRPC primary, HTTP/JSON mirror. Any language with a gRPC client can target it.</w:t>
      </w:r>
    </w:p>
    <w:p>
      <w:pPr>
        <w:pStyle w:val="ListParagraph"/>
        <w:numPr>
          <w:ilvl w:val="0"/>
          <w:numId w:val="2"/>
        </w:numPr>
        <w:spacing w:after="80" w:line="280"/>
      </w:pPr>
      <w:r>
        <w:rPr>
          <w:rFonts w:ascii="Arial" w:cs="Arial" w:eastAsia="Arial" w:hAnsi="Arial"/>
          <w:sz w:val="22"/>
          <w:szCs w:val="22"/>
        </w:rPr>
        <w:t xml:space="preserve">Multi-tenant and capability-secured. Every call is scoped by an identity token; ACLs at the namespace and operation level.</w:t>
      </w:r>
    </w:p>
    <w:p>
      <w:pPr>
        <w:pStyle w:val="ListParagraph"/>
        <w:numPr>
          <w:ilvl w:val="0"/>
          <w:numId w:val="2"/>
        </w:numPr>
        <w:spacing w:after="80" w:line="280"/>
      </w:pPr>
      <w:r>
        <w:rPr>
          <w:rFonts w:ascii="Arial" w:cs="Arial" w:eastAsia="Arial" w:hAnsi="Arial"/>
          <w:sz w:val="22"/>
          <w:szCs w:val="22"/>
        </w:rPr>
        <w:t xml:space="preserve">Observable by default. Every memory operation emits structured traces, metrics, and audit events.</w:t>
      </w:r>
    </w:p>
    <w:p>
      <w:pPr>
        <w:pStyle w:val="ListParagraph"/>
        <w:numPr>
          <w:ilvl w:val="0"/>
          <w:numId w:val="2"/>
        </w:numPr>
        <w:spacing w:after="80" w:line="280"/>
      </w:pPr>
      <w:r>
        <w:rPr>
          <w:rFonts w:ascii="Arial" w:cs="Arial" w:eastAsia="Arial" w:hAnsi="Arial"/>
          <w:sz w:val="22"/>
          <w:szCs w:val="22"/>
        </w:rPr>
        <w:t xml:space="preserve">Policy at the edge. Retention, PII redaction, encryption-at-rest, tenant isolation enforced in the sidecar, not the agent.</w:t>
      </w:r>
    </w:p>
    <w:p>
      <w:pPr>
        <w:pStyle w:val="Heading2"/>
        <w:spacing w:after="160" w:before="280"/>
      </w:pPr>
      <w:r>
        <w:rPr>
          <w:rFonts w:ascii="Arial" w:cs="Arial" w:eastAsia="Arial" w:hAnsi="Arial"/>
          <w:b/>
          <w:bCs/>
          <w:sz w:val="26"/>
          <w:szCs w:val="26"/>
        </w:rPr>
        <w:t xml:space="preserve">2.2 Non-goals</w:t>
      </w:r>
    </w:p>
    <w:p>
      <w:pPr>
        <w:pStyle w:val="ListParagraph"/>
        <w:numPr>
          <w:ilvl w:val="0"/>
          <w:numId w:val="2"/>
        </w:numPr>
        <w:spacing w:after="80" w:line="280"/>
      </w:pPr>
      <w:r>
        <w:rPr>
          <w:rFonts w:ascii="Arial" w:cs="Arial" w:eastAsia="Arial" w:hAnsi="Arial"/>
          <w:sz w:val="22"/>
          <w:szCs w:val="22"/>
        </w:rPr>
        <w:t xml:space="preserve">Not an agent framework. Does not orchestrate, plan, or invoke LLMs.</w:t>
      </w:r>
    </w:p>
    <w:p>
      <w:pPr>
        <w:pStyle w:val="ListParagraph"/>
        <w:numPr>
          <w:ilvl w:val="0"/>
          <w:numId w:val="2"/>
        </w:numPr>
        <w:spacing w:after="80" w:line="280"/>
      </w:pPr>
      <w:r>
        <w:rPr>
          <w:rFonts w:ascii="Arial" w:cs="Arial" w:eastAsia="Arial" w:hAnsi="Arial"/>
          <w:sz w:val="22"/>
          <w:szCs w:val="22"/>
        </w:rPr>
        <w:t xml:space="preserve">Not an inference cache. Prompt/response caching for LLM calls is out of scope (could be a future module).</w:t>
      </w:r>
    </w:p>
    <w:p>
      <w:pPr>
        <w:pStyle w:val="ListParagraph"/>
        <w:numPr>
          <w:ilvl w:val="0"/>
          <w:numId w:val="2"/>
        </w:numPr>
        <w:spacing w:after="80" w:line="280"/>
      </w:pPr>
      <w:r>
        <w:rPr>
          <w:rFonts w:ascii="Arial" w:cs="Arial" w:eastAsia="Arial" w:hAnsi="Arial"/>
          <w:sz w:val="22"/>
          <w:szCs w:val="22"/>
        </w:rPr>
        <w:t xml:space="preserve">Not a context-window compiler. Final prompt assembly stays in the agent or framework — sidecar provides retrieval primitives only.</w:t>
      </w:r>
    </w:p>
    <w:p>
      <w:pPr>
        <w:pStyle w:val="ListParagraph"/>
        <w:numPr>
          <w:ilvl w:val="0"/>
          <w:numId w:val="2"/>
        </w:numPr>
        <w:spacing w:after="80" w:line="280"/>
      </w:pPr>
      <w:r>
        <w:rPr>
          <w:rFonts w:ascii="Arial" w:cs="Arial" w:eastAsia="Arial" w:hAnsi="Arial"/>
          <w:sz w:val="22"/>
          <w:szCs w:val="22"/>
        </w:rPr>
        <w:t xml:space="preserve">Not a vector database. It fronts vector DBs; it does not implement ANN search itself.</w:t>
      </w:r>
    </w:p>
    <w:p>
      <w:pPr>
        <w:pStyle w:val="Heading1"/>
        <w:spacing w:after="200" w:before="360"/>
      </w:pPr>
      <w:r>
        <w:rPr>
          <w:rFonts w:ascii="Arial" w:cs="Arial" w:eastAsia="Arial" w:hAnsi="Arial"/>
          <w:b/>
          <w:bCs/>
          <w:sz w:val="32"/>
          <w:szCs w:val="32"/>
        </w:rPr>
        <w:t xml:space="preserve">3. Architectural overview</w:t>
      </w:r>
    </w:p>
    <w:p>
      <w:pPr>
        <w:spacing w:after="120" w:line="300"/>
      </w:pPr>
      <w:r>
        <w:rPr>
          <w:rFonts w:ascii="Arial" w:cs="Arial" w:eastAsia="Arial" w:hAnsi="Arial"/>
          <w:sz w:val="22"/>
          <w:szCs w:val="22"/>
        </w:rPr>
        <w:t xml:space="preserve">The sidecar runs as a co-process to one or more agents — typically in the same pod (Kubernetes), the same host (VM), or the same container network (local dev). Agents make local calls over Unix domain socket or loopback gRPC; the sidecar fans out to configured backends and enforces policy on the way through.</w:t>
      </w:r>
    </w:p>
    <w:p>
      <w:pPr>
        <w:pStyle w:val="Heading3"/>
        <w:spacing w:after="120" w:before="220"/>
      </w:pPr>
      <w:r>
        <w:rPr>
          <w:rFonts w:ascii="Arial" w:cs="Arial" w:eastAsia="Arial" w:hAnsi="Arial"/>
          <w:b/>
          <w:bCs/>
          <w:sz w:val="23"/>
          <w:szCs w:val="23"/>
        </w:rPr>
        <w:t xml:space="preserve">3.1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20" w:line="260"/>
            </w:pPr>
            <w:r>
              <w:rPr>
                <w:rFonts w:ascii="Consolas" w:cs="Consolas" w:eastAsia="Consolas" w:hAnsi="Consolas"/>
                <w:sz w:val="18"/>
                <w:szCs w:val="18"/>
              </w:rPr>
              <w:t xml:space="preserve">+--------------------+         +--------------------+</w:t>
            </w:r>
          </w:p>
          <w:p>
            <w:pPr>
              <w:spacing w:after="20" w:line="260"/>
            </w:pPr>
            <w:r>
              <w:rPr>
                <w:rFonts w:ascii="Consolas" w:cs="Consolas" w:eastAsia="Consolas" w:hAnsi="Consolas"/>
                <w:sz w:val="18"/>
                <w:szCs w:val="18"/>
              </w:rPr>
              <w:t xml:space="preserve">|     Agent A        |         |     Agent B        |</w:t>
            </w:r>
          </w:p>
          <w:p>
            <w:pPr>
              <w:spacing w:after="20" w:line="260"/>
            </w:pPr>
            <w:r>
              <w:rPr>
                <w:rFonts w:ascii="Consolas" w:cs="Consolas" w:eastAsia="Consolas" w:hAnsi="Consolas"/>
                <w:sz w:val="18"/>
                <w:szCs w:val="18"/>
              </w:rPr>
              <w:t xml:space="preserve">|  (any language)    |         |  (any language)    |</w:t>
            </w:r>
          </w:p>
          <w:p>
            <w:pPr>
              <w:spacing w:after="20" w:line="260"/>
            </w:pPr>
            <w:r>
              <w:rPr>
                <w:rFonts w:ascii="Consolas" w:cs="Consolas" w:eastAsia="Consolas" w:hAnsi="Consolas"/>
                <w:sz w:val="18"/>
                <w:szCs w:val="18"/>
              </w:rPr>
              <w:t xml:space="preserve">+---------+----------+         +----------+---------+</w:t>
            </w:r>
          </w:p>
          <w:p>
            <w:pPr>
              <w:spacing w:after="20" w:line="260"/>
            </w:pPr>
            <w:r>
              <w:rPr>
                <w:rFonts w:ascii="Consolas" w:cs="Consolas" w:eastAsia="Consolas" w:hAnsi="Consolas"/>
                <w:sz w:val="18"/>
                <w:szCs w:val="18"/>
              </w:rPr>
              <w:t xml:space="preserve">          |   gRPC/uds                   |</w:t>
            </w:r>
          </w:p>
          <w:p>
            <w:pPr>
              <w:spacing w:after="20" w:line="260"/>
            </w:pPr>
            <w:r>
              <w:rPr>
                <w:rFonts w:ascii="Consolas" w:cs="Consolas" w:eastAsia="Consolas" w:hAnsi="Consolas"/>
                <w:sz w:val="18"/>
                <w:szCs w:val="18"/>
              </w:rPr>
              <w:t xml:space="preserve">          +-----------+   +--------------+</w:t>
            </w:r>
          </w:p>
          <w:p>
            <w:pPr>
              <w:spacing w:after="20" w:line="260"/>
            </w:pPr>
            <w:r>
              <w:rPr>
                <w:rFonts w:ascii="Consolas" w:cs="Consolas" w:eastAsia="Consolas" w:hAnsi="Consolas"/>
                <w:sz w:val="18"/>
                <w:szCs w:val="18"/>
              </w:rPr>
              <w:t xml:space="preserve">                      v   v</w:t>
            </w:r>
          </w:p>
          <w:p>
            <w:pPr>
              <w:spacing w:after="20" w:line="260"/>
            </w:pPr>
            <w:r>
              <w:rPr>
                <w:rFonts w:ascii="Consolas" w:cs="Consolas" w:eastAsia="Consolas" w:hAnsi="Consolas"/>
                <w:sz w:val="18"/>
                <w:szCs w:val="18"/>
              </w:rPr>
              <w:t xml:space="preserve">              +------------------+</w:t>
            </w:r>
          </w:p>
          <w:p>
            <w:pPr>
              <w:spacing w:after="20" w:line="260"/>
            </w:pPr>
            <w:r>
              <w:rPr>
                <w:rFonts w:ascii="Consolas" w:cs="Consolas" w:eastAsia="Consolas" w:hAnsi="Consolas"/>
                <w:sz w:val="18"/>
                <w:szCs w:val="18"/>
              </w:rPr>
              <w:t xml:space="preserve">              |  Memory Sidecar  |   &lt;-- per-pod or per-host</w:t>
            </w:r>
          </w:p>
          <w:p>
            <w:pPr>
              <w:spacing w:after="20" w:line="260"/>
            </w:pPr>
            <w:r>
              <w:rPr>
                <w:rFonts w:ascii="Consolas" w:cs="Consolas" w:eastAsia="Consolas" w:hAnsi="Consolas"/>
                <w:sz w:val="18"/>
                <w:szCs w:val="18"/>
              </w:rPr>
              <w:t xml:space="preserve">              |  (single binary) |</w:t>
            </w:r>
          </w:p>
          <w:p>
            <w:pPr>
              <w:spacing w:after="20" w:line="260"/>
            </w:pPr>
            <w:r>
              <w:rPr>
                <w:rFonts w:ascii="Consolas" w:cs="Consolas" w:eastAsia="Consolas" w:hAnsi="Consolas"/>
                <w:sz w:val="18"/>
                <w:szCs w:val="18"/>
              </w:rPr>
              <w:t xml:space="preserve">              +---+----+----+----+</w:t>
            </w:r>
          </w:p>
          <w:p>
            <w:pPr>
              <w:spacing w:after="20" w:line="260"/>
            </w:pPr>
            <w:r>
              <w:rPr>
                <w:rFonts w:ascii="Consolas" w:cs="Consolas" w:eastAsia="Consolas" w:hAnsi="Consolas"/>
                <w:sz w:val="18"/>
                <w:szCs w:val="18"/>
              </w:rPr>
              <w:t xml:space="preserve">                  |    |    |</w:t>
            </w:r>
          </w:p>
          <w:p>
            <w:pPr>
              <w:spacing w:after="20" w:line="260"/>
            </w:pPr>
            <w:r>
              <w:rPr>
                <w:rFonts w:ascii="Consolas" w:cs="Consolas" w:eastAsia="Consolas" w:hAnsi="Consolas"/>
                <w:sz w:val="18"/>
                <w:szCs w:val="18"/>
              </w:rPr>
              <w:t xml:space="preserve">        Postgres  |    |    |  Redis</w:t>
            </w:r>
          </w:p>
          <w:p>
            <w:pPr>
              <w:spacing w:after="20" w:line="260"/>
            </w:pPr>
            <w:r>
              <w:rPr>
                <w:rFonts w:ascii="Consolas" w:cs="Consolas" w:eastAsia="Consolas" w:hAnsi="Consolas"/>
                <w:sz w:val="18"/>
                <w:szCs w:val="18"/>
              </w:rPr>
              <w:t xml:space="preserve">        pgvector  |    |    |</w:t>
            </w:r>
          </w:p>
          <w:p>
            <w:pPr>
              <w:spacing w:after="20" w:line="260"/>
            </w:pPr>
            <w:r>
              <w:rPr>
                <w:rFonts w:ascii="Consolas" w:cs="Consolas" w:eastAsia="Consolas" w:hAnsi="Consolas"/>
                <w:sz w:val="18"/>
                <w:szCs w:val="18"/>
              </w:rPr>
              <w:t xml:space="preserve">                  v    v    v</w:t>
            </w:r>
          </w:p>
          <w:p>
            <w:pPr>
              <w:spacing w:after="20" w:line="260"/>
            </w:pPr>
            <w:r>
              <w:rPr>
                <w:rFonts w:ascii="Consolas" w:cs="Consolas" w:eastAsia="Consolas" w:hAnsi="Consolas"/>
                <w:sz w:val="18"/>
                <w:szCs w:val="18"/>
              </w:rPr>
              <w:t xml:space="preserve">              Qdrant   S3   ...   (plug-in backends)</w:t>
            </w:r>
          </w:p>
        </w:tc>
      </w:tr>
    </w:tbl>
    <w:p>
      <w:pPr>
        <w:pStyle w:val="Heading3"/>
        <w:spacing w:after="120" w:before="220"/>
      </w:pPr>
      <w:r>
        <w:rPr>
          <w:rFonts w:ascii="Arial" w:cs="Arial" w:eastAsia="Arial" w:hAnsi="Arial"/>
          <w:b/>
          <w:bCs/>
          <w:sz w:val="23"/>
          <w:szCs w:val="23"/>
        </w:rPr>
        <w:t xml:space="preserve">3.2 Core building blocks</w:t>
      </w:r>
    </w:p>
    <w:p>
      <w:pPr>
        <w:spacing w:after="120" w:line="300"/>
      </w:pPr>
      <w:r>
        <w:rPr>
          <w:rFonts w:ascii="Arial" w:cs="Arial" w:eastAsia="Arial" w:hAnsi="Arial"/>
          <w:sz w:val="22"/>
          <w:szCs w:val="22"/>
        </w:rPr>
        <w:t xml:space="preserve">The sidecar exposes five orthogonal building blocks. Each maps to one or more pluggable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Building block</w:t>
            </w:r>
          </w:p>
        </w:tc>
        <w:tc>
          <w:tcPr>
            <w:tcW w:type="dxa" w:w="3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3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Typical backend(s)</w:t>
            </w:r>
          </w:p>
        </w:tc>
      </w:tr>
      <w:tr>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kv</w:t>
            </w:r>
          </w:p>
        </w:tc>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Typed, TTL'd key-value for tool-result caching and scratchpads</w:t>
            </w:r>
          </w:p>
        </w:tc>
        <w:tc>
          <w:tcPr>
            <w:tcW w:type="dxa" w:w="39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Redis, Postgres, in-memory</w:t>
            </w:r>
          </w:p>
        </w:tc>
      </w:tr>
      <w:tr>
        <w:tc>
          <w:tcPr>
            <w:tcW w:type="dxa" w:w="1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episodic</w:t>
            </w:r>
          </w:p>
        </w:tc>
        <w:tc>
          <w:tcPr>
            <w:tcW w:type="dxa" w:w="3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Append-only log of agent events, messages, tool calls</w:t>
            </w:r>
          </w:p>
        </w:tc>
        <w:tc>
          <w:tcPr>
            <w:tcW w:type="dxa" w:w="39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Postgres, SQLite, Kafka</w:t>
            </w:r>
          </w:p>
        </w:tc>
      </w:tr>
      <w:tr>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semantic</w:t>
            </w:r>
          </w:p>
        </w:tc>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Embed-and-search over arbitrary records</w:t>
            </w:r>
          </w:p>
        </w:tc>
        <w:tc>
          <w:tcPr>
            <w:tcW w:type="dxa" w:w="39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pgvector, Qdrant, Pinecone, Weaviate</w:t>
            </w:r>
          </w:p>
        </w:tc>
      </w:tr>
      <w:tr>
        <w:tc>
          <w:tcPr>
            <w:tcW w:type="dxa" w:w="1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artifact</w:t>
            </w:r>
          </w:p>
        </w:tc>
        <w:tc>
          <w:tcPr>
            <w:tcW w:type="dxa" w:w="3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Blob storage with metadata for generated files</w:t>
            </w:r>
          </w:p>
        </w:tc>
        <w:tc>
          <w:tcPr>
            <w:tcW w:type="dxa" w:w="39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S3, MinIO, local FS</w:t>
            </w:r>
          </w:p>
        </w:tc>
      </w:tr>
      <w:tr>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lease</w:t>
            </w:r>
          </w:p>
        </w:tc>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Distributed locks and leases for shared-state coordination</w:t>
            </w:r>
          </w:p>
        </w:tc>
        <w:tc>
          <w:tcPr>
            <w:tcW w:type="dxa" w:w="39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Redis, etcd, Postgres advisory locks</w:t>
            </w:r>
          </w:p>
        </w:tc>
      </w:tr>
    </w:tbl>
    <w:p>
      <w:pPr>
        <w:pStyle w:val="Heading3"/>
        <w:spacing w:after="120" w:before="220"/>
      </w:pPr>
      <w:r>
        <w:rPr>
          <w:rFonts w:ascii="Arial" w:cs="Arial" w:eastAsia="Arial" w:hAnsi="Arial"/>
          <w:b/>
          <w:bCs/>
          <w:sz w:val="23"/>
          <w:szCs w:val="23"/>
        </w:rPr>
        <w:t xml:space="preserve">3.3 Cross-cutting concerns</w:t>
      </w:r>
    </w:p>
    <w:p>
      <w:pPr>
        <w:spacing w:after="120" w:line="300"/>
      </w:pPr>
      <w:r>
        <w:rPr>
          <w:rFonts w:ascii="Arial" w:cs="Arial" w:eastAsia="Arial" w:hAnsi="Arial"/>
          <w:sz w:val="22"/>
          <w:szCs w:val="22"/>
        </w:rPr>
        <w:t xml:space="preserve">On top of the building blocks, the sidecar enforces a uniform set of cross-cutting concerns:</w:t>
      </w:r>
    </w:p>
    <w:p>
      <w:pPr>
        <w:pStyle w:val="ListParagraph"/>
        <w:numPr>
          <w:ilvl w:val="0"/>
          <w:numId w:val="2"/>
        </w:numPr>
        <w:spacing w:after="80" w:line="280"/>
      </w:pPr>
      <w:r>
        <w:rPr>
          <w:rFonts w:ascii="Arial" w:cs="Arial" w:eastAsia="Arial" w:hAnsi="Arial"/>
          <w:b/>
          <w:bCs/>
          <w:sz w:val="22"/>
          <w:szCs w:val="22"/>
        </w:rPr>
        <w:t xml:space="preserve">Identity &amp; capability </w:t>
      </w:r>
      <w:r>
        <w:rPr>
          <w:rFonts w:ascii="Arial" w:cs="Arial" w:eastAsia="Arial" w:hAnsi="Arial"/>
          <w:sz w:val="22"/>
          <w:szCs w:val="22"/>
        </w:rPr>
        <w:t xml:space="preserve">— every request carries a token scoped to (tenant, agent, namespaces, operations).</w:t>
      </w:r>
    </w:p>
    <w:p>
      <w:pPr>
        <w:pStyle w:val="ListParagraph"/>
        <w:numPr>
          <w:ilvl w:val="0"/>
          <w:numId w:val="2"/>
        </w:numPr>
        <w:spacing w:after="80" w:line="280"/>
      </w:pPr>
      <w:r>
        <w:rPr>
          <w:rFonts w:ascii="Arial" w:cs="Arial" w:eastAsia="Arial" w:hAnsi="Arial"/>
          <w:b/>
          <w:bCs/>
          <w:sz w:val="22"/>
          <w:szCs w:val="22"/>
        </w:rPr>
        <w:t xml:space="preserve">Policy engine </w:t>
      </w:r>
      <w:r>
        <w:rPr>
          <w:rFonts w:ascii="Arial" w:cs="Arial" w:eastAsia="Arial" w:hAnsi="Arial"/>
          <w:sz w:val="22"/>
          <w:szCs w:val="22"/>
        </w:rPr>
        <w:t xml:space="preserve">— declarative rules for retention, PII redaction, encryption, rate limiting, tenant isolation.</w:t>
      </w:r>
    </w:p>
    <w:p>
      <w:pPr>
        <w:pStyle w:val="ListParagraph"/>
        <w:numPr>
          <w:ilvl w:val="0"/>
          <w:numId w:val="2"/>
        </w:numPr>
        <w:spacing w:after="80" w:line="280"/>
      </w:pPr>
      <w:r>
        <w:rPr>
          <w:rFonts w:ascii="Arial" w:cs="Arial" w:eastAsia="Arial" w:hAnsi="Arial"/>
          <w:b/>
          <w:bCs/>
          <w:sz w:val="22"/>
          <w:szCs w:val="22"/>
        </w:rPr>
        <w:t xml:space="preserve">Observability </w:t>
      </w:r>
      <w:r>
        <w:rPr>
          <w:rFonts w:ascii="Arial" w:cs="Arial" w:eastAsia="Arial" w:hAnsi="Arial"/>
          <w:sz w:val="22"/>
          <w:szCs w:val="22"/>
        </w:rPr>
        <w:t xml:space="preserve">— OpenTelemetry traces, Prometheus metrics, structured audit log.</w:t>
      </w:r>
    </w:p>
    <w:p>
      <w:pPr>
        <w:pStyle w:val="ListParagraph"/>
        <w:numPr>
          <w:ilvl w:val="0"/>
          <w:numId w:val="2"/>
        </w:numPr>
        <w:spacing w:after="80" w:line="280"/>
      </w:pPr>
      <w:r>
        <w:rPr>
          <w:rFonts w:ascii="Arial" w:cs="Arial" w:eastAsia="Arial" w:hAnsi="Arial"/>
          <w:b/>
          <w:bCs/>
          <w:sz w:val="22"/>
          <w:szCs w:val="22"/>
        </w:rPr>
        <w:t xml:space="preserve">Backend abstraction </w:t>
      </w:r>
      <w:r>
        <w:rPr>
          <w:rFonts w:ascii="Arial" w:cs="Arial" w:eastAsia="Arial" w:hAnsi="Arial"/>
          <w:sz w:val="22"/>
          <w:szCs w:val="22"/>
        </w:rPr>
        <w:t xml:space="preserve">— driver interface per building block; backends configured in YAML, hot-reloadable.</w:t>
      </w:r>
    </w:p>
    <w:p>
      <w:pPr>
        <w:pStyle w:val="Heading1"/>
        <w:spacing w:after="200" w:before="360"/>
      </w:pPr>
      <w:r>
        <w:rPr>
          <w:rFonts w:ascii="Arial" w:cs="Arial" w:eastAsia="Arial" w:hAnsi="Arial"/>
          <w:b/>
          <w:bCs/>
          <w:sz w:val="32"/>
          <w:szCs w:val="32"/>
        </w:rPr>
        <w:t xml:space="preserve">4. Required components</w:t>
      </w:r>
    </w:p>
    <w:p>
      <w:pPr>
        <w:pStyle w:val="Heading2"/>
        <w:spacing w:after="160" w:before="280"/>
      </w:pPr>
      <w:r>
        <w:rPr>
          <w:rFonts w:ascii="Arial" w:cs="Arial" w:eastAsia="Arial" w:hAnsi="Arial"/>
          <w:b/>
          <w:bCs/>
          <w:sz w:val="26"/>
          <w:szCs w:val="26"/>
        </w:rPr>
        <w:t xml:space="preserve">4.1 Protocol layer</w:t>
      </w:r>
    </w:p>
    <w:p>
      <w:pPr>
        <w:pStyle w:val="ListParagraph"/>
        <w:numPr>
          <w:ilvl w:val="0"/>
          <w:numId w:val="2"/>
        </w:numPr>
        <w:spacing w:after="80" w:line="280"/>
      </w:pPr>
      <w:r>
        <w:rPr>
          <w:rFonts w:ascii="Arial" w:cs="Arial" w:eastAsia="Arial" w:hAnsi="Arial"/>
          <w:b/>
          <w:bCs/>
          <w:sz w:val="22"/>
          <w:szCs w:val="22"/>
        </w:rPr>
        <w:t xml:space="preserve">gRPC server (primary) </w:t>
      </w:r>
      <w:r>
        <w:rPr>
          <w:rFonts w:ascii="Arial" w:cs="Arial" w:eastAsia="Arial" w:hAnsi="Arial"/>
          <w:sz w:val="22"/>
          <w:szCs w:val="22"/>
        </w:rPr>
        <w:t xml:space="preserve">with Protobuf service definitions per building block. Streaming RPCs for episodic tail and semantic search-over-stream.</w:t>
      </w:r>
    </w:p>
    <w:p>
      <w:pPr>
        <w:pStyle w:val="ListParagraph"/>
        <w:numPr>
          <w:ilvl w:val="0"/>
          <w:numId w:val="2"/>
        </w:numPr>
        <w:spacing w:after="80" w:line="280"/>
      </w:pPr>
      <w:r>
        <w:rPr>
          <w:rFonts w:ascii="Arial" w:cs="Arial" w:eastAsia="Arial" w:hAnsi="Arial"/>
          <w:b/>
          <w:bCs/>
          <w:sz w:val="22"/>
          <w:szCs w:val="22"/>
        </w:rPr>
        <w:t xml:space="preserve">HTTP/JSON gateway (secondary) </w:t>
      </w:r>
      <w:r>
        <w:rPr>
          <w:rFonts w:ascii="Arial" w:cs="Arial" w:eastAsia="Arial" w:hAnsi="Arial"/>
          <w:sz w:val="22"/>
          <w:szCs w:val="22"/>
        </w:rPr>
        <w:t xml:space="preserve">for languages without ergonomic gRPC support, generated via grpc-gateway.</w:t>
      </w:r>
    </w:p>
    <w:p>
      <w:pPr>
        <w:pStyle w:val="ListParagraph"/>
        <w:numPr>
          <w:ilvl w:val="0"/>
          <w:numId w:val="2"/>
        </w:numPr>
        <w:spacing w:after="80" w:line="280"/>
      </w:pPr>
      <w:r>
        <w:rPr>
          <w:rFonts w:ascii="Arial" w:cs="Arial" w:eastAsia="Arial" w:hAnsi="Arial"/>
          <w:b/>
          <w:bCs/>
          <w:sz w:val="22"/>
          <w:szCs w:val="22"/>
        </w:rPr>
        <w:t xml:space="preserve">Unix domain socket transport </w:t>
      </w:r>
      <w:r>
        <w:rPr>
          <w:rFonts w:ascii="Arial" w:cs="Arial" w:eastAsia="Arial" w:hAnsi="Arial"/>
          <w:sz w:val="22"/>
          <w:szCs w:val="22"/>
        </w:rPr>
        <w:t xml:space="preserve">for same-pod co-location with negligible overhead.</w:t>
      </w:r>
    </w:p>
    <w:p>
      <w:pPr>
        <w:pStyle w:val="Heading2"/>
        <w:spacing w:after="160" w:before="280"/>
      </w:pPr>
      <w:r>
        <w:rPr>
          <w:rFonts w:ascii="Arial" w:cs="Arial" w:eastAsia="Arial" w:hAnsi="Arial"/>
          <w:b/>
          <w:bCs/>
          <w:sz w:val="26"/>
          <w:szCs w:val="26"/>
        </w:rPr>
        <w:t xml:space="preserve">4.2 Auth and identity</w:t>
      </w:r>
    </w:p>
    <w:p>
      <w:pPr>
        <w:pStyle w:val="ListParagraph"/>
        <w:numPr>
          <w:ilvl w:val="0"/>
          <w:numId w:val="2"/>
        </w:numPr>
        <w:spacing w:after="80" w:line="280"/>
      </w:pPr>
      <w:r>
        <w:rPr>
          <w:rFonts w:ascii="Arial" w:cs="Arial" w:eastAsia="Arial" w:hAnsi="Arial"/>
          <w:b/>
          <w:bCs/>
          <w:sz w:val="22"/>
          <w:szCs w:val="22"/>
        </w:rPr>
        <w:t xml:space="preserve">Token issuer </w:t>
      </w:r>
      <w:r>
        <w:rPr>
          <w:rFonts w:ascii="Arial" w:cs="Arial" w:eastAsia="Arial" w:hAnsi="Arial"/>
          <w:sz w:val="22"/>
          <w:szCs w:val="22"/>
        </w:rPr>
        <w:t xml:space="preserve">— short-lived signed capability tokens (JWT or PASETO). Issued by an external IdP (OIDC) or the sidecar's own dev-mode issuer.</w:t>
      </w:r>
    </w:p>
    <w:p>
      <w:pPr>
        <w:pStyle w:val="ListParagraph"/>
        <w:numPr>
          <w:ilvl w:val="0"/>
          <w:numId w:val="2"/>
        </w:numPr>
        <w:spacing w:after="80" w:line="280"/>
      </w:pPr>
      <w:r>
        <w:rPr>
          <w:rFonts w:ascii="Arial" w:cs="Arial" w:eastAsia="Arial" w:hAnsi="Arial"/>
          <w:b/>
          <w:bCs/>
          <w:sz w:val="22"/>
          <w:szCs w:val="22"/>
        </w:rPr>
        <w:t xml:space="preserve">Capability model </w:t>
      </w:r>
      <w:r>
        <w:rPr>
          <w:rFonts w:ascii="Arial" w:cs="Arial" w:eastAsia="Arial" w:hAnsi="Arial"/>
          <w:sz w:val="22"/>
          <w:szCs w:val="22"/>
        </w:rPr>
        <w:t xml:space="preserve">— each token encodes (tenant, agent_id, namespace_pattern, allowed_ops, ttl).</w:t>
      </w:r>
    </w:p>
    <w:p>
      <w:pPr>
        <w:pStyle w:val="ListParagraph"/>
        <w:numPr>
          <w:ilvl w:val="0"/>
          <w:numId w:val="2"/>
        </w:numPr>
        <w:spacing w:after="80" w:line="280"/>
      </w:pPr>
      <w:r>
        <w:rPr>
          <w:rFonts w:ascii="Arial" w:cs="Arial" w:eastAsia="Arial" w:hAnsi="Arial"/>
          <w:b/>
          <w:bCs/>
          <w:sz w:val="22"/>
          <w:szCs w:val="22"/>
        </w:rPr>
        <w:t xml:space="preserve">Mutual TLS </w:t>
      </w:r>
      <w:r>
        <w:rPr>
          <w:rFonts w:ascii="Arial" w:cs="Arial" w:eastAsia="Arial" w:hAnsi="Arial"/>
          <w:sz w:val="22"/>
          <w:szCs w:val="22"/>
        </w:rPr>
        <w:t xml:space="preserve">— optional, for cross-host topologies.</w:t>
      </w:r>
    </w:p>
    <w:p>
      <w:pPr>
        <w:pStyle w:val="Heading2"/>
        <w:spacing w:after="160" w:before="280"/>
      </w:pPr>
      <w:r>
        <w:rPr>
          <w:rFonts w:ascii="Arial" w:cs="Arial" w:eastAsia="Arial" w:hAnsi="Arial"/>
          <w:b/>
          <w:bCs/>
          <w:sz w:val="26"/>
          <w:szCs w:val="26"/>
        </w:rPr>
        <w:t xml:space="preserve">4.3 Policy engine</w:t>
      </w:r>
    </w:p>
    <w:p>
      <w:pPr>
        <w:pStyle w:val="ListParagraph"/>
        <w:numPr>
          <w:ilvl w:val="0"/>
          <w:numId w:val="2"/>
        </w:numPr>
        <w:spacing w:after="80" w:line="280"/>
      </w:pPr>
      <w:r>
        <w:rPr>
          <w:rFonts w:ascii="Arial" w:cs="Arial" w:eastAsia="Arial" w:hAnsi="Arial"/>
          <w:sz w:val="22"/>
          <w:szCs w:val="22"/>
        </w:rPr>
        <w:t xml:space="preserve">Declarative YAML or Rego (OPA) policies.</w:t>
      </w:r>
    </w:p>
    <w:p>
      <w:pPr>
        <w:pStyle w:val="ListParagraph"/>
        <w:numPr>
          <w:ilvl w:val="0"/>
          <w:numId w:val="2"/>
        </w:numPr>
        <w:spacing w:after="80" w:line="280"/>
      </w:pPr>
      <w:r>
        <w:rPr>
          <w:rFonts w:ascii="Arial" w:cs="Arial" w:eastAsia="Arial" w:hAnsi="Arial"/>
          <w:sz w:val="22"/>
          <w:szCs w:val="22"/>
        </w:rPr>
        <w:t xml:space="preserve">Hook points: pre-write (validation, redaction), pre-read (filtering), post-read (audit), on-eviction (retention).</w:t>
      </w:r>
    </w:p>
    <w:p>
      <w:pPr>
        <w:pStyle w:val="ListParagraph"/>
        <w:numPr>
          <w:ilvl w:val="0"/>
          <w:numId w:val="2"/>
        </w:numPr>
        <w:spacing w:after="80" w:line="280"/>
      </w:pPr>
      <w:r>
        <w:rPr>
          <w:rFonts w:ascii="Arial" w:cs="Arial" w:eastAsia="Arial" w:hAnsi="Arial"/>
          <w:sz w:val="22"/>
          <w:szCs w:val="22"/>
        </w:rPr>
        <w:t xml:space="preserve">PII detection via pluggable detectors (regex, Presidio, model-based) with configurable actions: redact, refuse, tag.</w:t>
      </w:r>
    </w:p>
    <w:p>
      <w:pPr>
        <w:pStyle w:val="Heading2"/>
        <w:spacing w:after="160" w:before="280"/>
      </w:pPr>
      <w:r>
        <w:rPr>
          <w:rFonts w:ascii="Arial" w:cs="Arial" w:eastAsia="Arial" w:hAnsi="Arial"/>
          <w:b/>
          <w:bCs/>
          <w:sz w:val="26"/>
          <w:szCs w:val="26"/>
        </w:rPr>
        <w:t xml:space="preserve">4.4 Backend drivers</w:t>
      </w:r>
    </w:p>
    <w:p>
      <w:pPr>
        <w:spacing w:after="120" w:line="300"/>
      </w:pPr>
      <w:r>
        <w:rPr>
          <w:rFonts w:ascii="Arial" w:cs="Arial" w:eastAsia="Arial" w:hAnsi="Arial"/>
          <w:sz w:val="22"/>
          <w:szCs w:val="22"/>
        </w:rPr>
        <w:t xml:space="preserve">Each building block defines a Go interface; backends implement it. A minimal v1 driver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Block</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Reference driver</w:t>
            </w:r>
          </w:p>
        </w:tc>
        <w:tc>
          <w:tcPr>
            <w:tcW w:type="dxa" w:w="4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Optional drivers</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kv</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Redis</w:t>
            </w:r>
          </w:p>
        </w:tc>
        <w:tc>
          <w:tcPr>
            <w:tcW w:type="dxa" w:w="47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Postgres, in-memory, Memcached</w:t>
            </w:r>
          </w:p>
        </w:tc>
      </w:tr>
      <w:tr>
        <w:tc>
          <w:tcPr>
            <w:tcW w:type="dxa" w:w="1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episodic</w:t>
            </w:r>
          </w:p>
        </w:tc>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Postgres</w:t>
            </w:r>
          </w:p>
        </w:tc>
        <w:tc>
          <w:tcPr>
            <w:tcW w:type="dxa" w:w="47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SQLite (dev), Kafka (stream)</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semantic</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pgvector</w:t>
            </w:r>
          </w:p>
        </w:tc>
        <w:tc>
          <w:tcPr>
            <w:tcW w:type="dxa" w:w="47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Qdrant, Pinecone, Weaviate, Milvus</w:t>
            </w:r>
          </w:p>
        </w:tc>
      </w:tr>
      <w:tr>
        <w:tc>
          <w:tcPr>
            <w:tcW w:type="dxa" w:w="1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artifact</w:t>
            </w:r>
          </w:p>
        </w:tc>
        <w:tc>
          <w:tcPr>
            <w:tcW w:type="dxa" w:w="3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S3 (MinIO-compatible)</w:t>
            </w:r>
          </w:p>
        </w:tc>
        <w:tc>
          <w:tcPr>
            <w:tcW w:type="dxa" w:w="47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Local filesystem, Azure Blob, GCS</w:t>
            </w:r>
          </w:p>
        </w:tc>
      </w:tr>
      <w:tr>
        <w:tc>
          <w:tcPr>
            <w:tcW w:type="dxa" w:w="16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lease</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Postgres advisory locks</w:t>
            </w:r>
          </w:p>
        </w:tc>
        <w:tc>
          <w:tcPr>
            <w:tcW w:type="dxa" w:w="47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Redis, etcd</w:t>
            </w:r>
          </w:p>
        </w:tc>
      </w:tr>
    </w:tbl>
    <w:p>
      <w:pPr>
        <w:pStyle w:val="Heading2"/>
        <w:spacing w:after="160" w:before="280"/>
      </w:pPr>
      <w:r>
        <w:rPr>
          <w:rFonts w:ascii="Arial" w:cs="Arial" w:eastAsia="Arial" w:hAnsi="Arial"/>
          <w:b/>
          <w:bCs/>
          <w:sz w:val="26"/>
          <w:szCs w:val="26"/>
        </w:rPr>
        <w:t xml:space="preserve">4.5 Embedding service abstraction</w:t>
      </w:r>
    </w:p>
    <w:p>
      <w:pPr>
        <w:spacing w:after="120" w:line="300"/>
      </w:pPr>
      <w:r>
        <w:rPr>
          <w:rFonts w:ascii="Arial" w:cs="Arial" w:eastAsia="Arial" w:hAnsi="Arial"/>
          <w:sz w:val="22"/>
          <w:szCs w:val="22"/>
        </w:rPr>
        <w:t xml:space="preserve">Semantic operations need an embedder. Rather than baking one in, the sidecar defines an embedder interface and ships adapters for common providers (OpenAI, Voyage, Cohere, local via Ollama or llama.cpp). Embedding model choice is part of the namespace configuration, so the same record stored under different namespaces can be embedded by different models.</w:t>
      </w:r>
    </w:p>
    <w:p>
      <w:pPr>
        <w:pStyle w:val="Heading2"/>
        <w:spacing w:after="160" w:before="280"/>
      </w:pPr>
      <w:r>
        <w:rPr>
          <w:rFonts w:ascii="Arial" w:cs="Arial" w:eastAsia="Arial" w:hAnsi="Arial"/>
          <w:b/>
          <w:bCs/>
          <w:sz w:val="26"/>
          <w:szCs w:val="26"/>
        </w:rPr>
        <w:t xml:space="preserve">4.6 Configuration</w:t>
      </w:r>
    </w:p>
    <w:p>
      <w:pPr>
        <w:pStyle w:val="ListParagraph"/>
        <w:numPr>
          <w:ilvl w:val="0"/>
          <w:numId w:val="2"/>
        </w:numPr>
        <w:spacing w:after="80" w:line="280"/>
      </w:pPr>
      <w:r>
        <w:rPr>
          <w:rFonts w:ascii="Arial" w:cs="Arial" w:eastAsia="Arial" w:hAnsi="Arial"/>
          <w:sz w:val="22"/>
          <w:szCs w:val="22"/>
        </w:rPr>
        <w:t xml:space="preserve">Single YAML file (or directory) describing backends, namespaces, policies, and tenants.</w:t>
      </w:r>
    </w:p>
    <w:p>
      <w:pPr>
        <w:pStyle w:val="ListParagraph"/>
        <w:numPr>
          <w:ilvl w:val="0"/>
          <w:numId w:val="2"/>
        </w:numPr>
        <w:spacing w:after="80" w:line="280"/>
      </w:pPr>
      <w:r>
        <w:rPr>
          <w:rFonts w:ascii="Arial" w:cs="Arial" w:eastAsia="Arial" w:hAnsi="Arial"/>
          <w:sz w:val="22"/>
          <w:szCs w:val="22"/>
        </w:rPr>
        <w:t xml:space="preserve">Hot-reload via SIGHUP or filesystem watch. Backend connection pools recycle on change.</w:t>
      </w:r>
    </w:p>
    <w:p>
      <w:pPr>
        <w:pStyle w:val="ListParagraph"/>
        <w:numPr>
          <w:ilvl w:val="0"/>
          <w:numId w:val="2"/>
        </w:numPr>
        <w:spacing w:after="80" w:line="280"/>
      </w:pPr>
      <w:r>
        <w:rPr>
          <w:rFonts w:ascii="Arial" w:cs="Arial" w:eastAsia="Arial" w:hAnsi="Arial"/>
          <w:sz w:val="22"/>
          <w:szCs w:val="22"/>
        </w:rPr>
        <w:t xml:space="preserve">Secrets resolved via env vars, file paths, or external secret managers (Vault, AWS Secrets Manager).</w:t>
      </w:r>
    </w:p>
    <w:p>
      <w:pPr>
        <w:pStyle w:val="Heading2"/>
        <w:spacing w:after="160" w:before="280"/>
      </w:pPr>
      <w:r>
        <w:rPr>
          <w:rFonts w:ascii="Arial" w:cs="Arial" w:eastAsia="Arial" w:hAnsi="Arial"/>
          <w:b/>
          <w:bCs/>
          <w:sz w:val="26"/>
          <w:szCs w:val="26"/>
        </w:rPr>
        <w:t xml:space="preserve">4.7 Observability</w:t>
      </w:r>
    </w:p>
    <w:p>
      <w:pPr>
        <w:pStyle w:val="ListParagraph"/>
        <w:numPr>
          <w:ilvl w:val="0"/>
          <w:numId w:val="2"/>
        </w:numPr>
        <w:spacing w:after="80" w:line="280"/>
      </w:pPr>
      <w:r>
        <w:rPr>
          <w:rFonts w:ascii="Arial" w:cs="Arial" w:eastAsia="Arial" w:hAnsi="Arial"/>
          <w:sz w:val="22"/>
          <w:szCs w:val="22"/>
        </w:rPr>
        <w:t xml:space="preserve">OpenTelemetry tracing on every request, with span attributes for namespace, op, tenant, backend latency.</w:t>
      </w:r>
    </w:p>
    <w:p>
      <w:pPr>
        <w:pStyle w:val="ListParagraph"/>
        <w:numPr>
          <w:ilvl w:val="0"/>
          <w:numId w:val="2"/>
        </w:numPr>
        <w:spacing w:after="80" w:line="280"/>
      </w:pPr>
      <w:r>
        <w:rPr>
          <w:rFonts w:ascii="Arial" w:cs="Arial" w:eastAsia="Arial" w:hAnsi="Arial"/>
          <w:sz w:val="22"/>
          <w:szCs w:val="22"/>
        </w:rPr>
        <w:t xml:space="preserve">Prometheus metrics: per-op latency histograms, error counts, backend health, token-bucket state.</w:t>
      </w:r>
    </w:p>
    <w:p>
      <w:pPr>
        <w:pStyle w:val="ListParagraph"/>
        <w:numPr>
          <w:ilvl w:val="0"/>
          <w:numId w:val="2"/>
        </w:numPr>
        <w:spacing w:after="80" w:line="280"/>
      </w:pPr>
      <w:r>
        <w:rPr>
          <w:rFonts w:ascii="Arial" w:cs="Arial" w:eastAsia="Arial" w:hAnsi="Arial"/>
          <w:sz w:val="22"/>
          <w:szCs w:val="22"/>
        </w:rPr>
        <w:t xml:space="preserve">Structured audit log (JSON) to stdout or a configured sink — every mutation is recorded.</w:t>
      </w:r>
    </w:p>
    <w:p>
      <w:pPr>
        <w:pStyle w:val="Heading2"/>
        <w:spacing w:after="160" w:before="280"/>
      </w:pPr>
      <w:r>
        <w:rPr>
          <w:rFonts w:ascii="Arial" w:cs="Arial" w:eastAsia="Arial" w:hAnsi="Arial"/>
          <w:b/>
          <w:bCs/>
          <w:sz w:val="26"/>
          <w:szCs w:val="26"/>
        </w:rPr>
        <w:t xml:space="preserve">4.8 Admin surface</w:t>
      </w:r>
    </w:p>
    <w:p>
      <w:pPr>
        <w:pStyle w:val="ListParagraph"/>
        <w:numPr>
          <w:ilvl w:val="0"/>
          <w:numId w:val="2"/>
        </w:numPr>
        <w:spacing w:after="80" w:line="280"/>
      </w:pPr>
      <w:r>
        <w:rPr>
          <w:rFonts w:ascii="Arial" w:cs="Arial" w:eastAsia="Arial" w:hAnsi="Arial"/>
          <w:sz w:val="22"/>
          <w:szCs w:val="22"/>
        </w:rPr>
        <w:t xml:space="preserve">Admin gRPC/HTTP API for namespace CRUD, token issuance, policy management, backend health.</w:t>
      </w:r>
    </w:p>
    <w:p>
      <w:pPr>
        <w:pStyle w:val="ListParagraph"/>
        <w:numPr>
          <w:ilvl w:val="0"/>
          <w:numId w:val="2"/>
        </w:numPr>
        <w:spacing w:after="80" w:line="280"/>
      </w:pPr>
      <w:r>
        <w:rPr>
          <w:rFonts w:ascii="Arial" w:cs="Arial" w:eastAsia="Arial" w:hAnsi="Arial"/>
          <w:sz w:val="22"/>
          <w:szCs w:val="22"/>
        </w:rPr>
        <w:t xml:space="preserve">CLI (memctl) for operations: list namespaces, dump policies, rotate tokens, run migrations.</w:t>
      </w:r>
    </w:p>
    <w:p>
      <w:pPr>
        <w:pStyle w:val="ListParagraph"/>
        <w:numPr>
          <w:ilvl w:val="0"/>
          <w:numId w:val="2"/>
        </w:numPr>
        <w:spacing w:after="80" w:line="280"/>
      </w:pPr>
      <w:r>
        <w:rPr>
          <w:rFonts w:ascii="Arial" w:cs="Arial" w:eastAsia="Arial" w:hAnsi="Arial"/>
          <w:sz w:val="22"/>
          <w:szCs w:val="22"/>
        </w:rPr>
        <w:t xml:space="preserve">Optional minimal web UI for inspection (not authoring) — read-only by default.</w:t>
      </w:r>
    </w:p>
    <w:p>
      <w:pPr>
        <w:pStyle w:val="Heading1"/>
        <w:spacing w:after="200" w:before="360"/>
      </w:pPr>
      <w:r>
        <w:rPr>
          <w:rFonts w:ascii="Arial" w:cs="Arial" w:eastAsia="Arial" w:hAnsi="Arial"/>
          <w:b/>
          <w:bCs/>
          <w:sz w:val="32"/>
          <w:szCs w:val="32"/>
        </w:rPr>
        <w:t xml:space="preserve">5. API surface (illustrative)</w:t>
      </w:r>
    </w:p>
    <w:p>
      <w:pPr>
        <w:spacing w:after="120" w:line="300"/>
      </w:pPr>
      <w:r>
        <w:rPr>
          <w:rFonts w:ascii="Arial" w:cs="Arial" w:eastAsia="Arial" w:hAnsi="Arial"/>
          <w:sz w:val="22"/>
          <w:szCs w:val="22"/>
        </w:rPr>
        <w:t xml:space="preserve">The following Protobuf sketch shows the shape of the building-block services. It is illustrative, not normative — final naming and field choices belong to the v0.1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20" w:line="260"/>
            </w:pPr>
            <w:r>
              <w:rPr>
                <w:rFonts w:ascii="Consolas" w:cs="Consolas" w:eastAsia="Consolas" w:hAnsi="Consolas"/>
                <w:sz w:val="18"/>
                <w:szCs w:val="18"/>
              </w:rPr>
              <w:t xml:space="preserve">service KV {</w:t>
            </w:r>
          </w:p>
          <w:p>
            <w:pPr>
              <w:spacing w:after="20" w:line="260"/>
            </w:pPr>
            <w:r>
              <w:rPr>
                <w:rFonts w:ascii="Consolas" w:cs="Consolas" w:eastAsia="Consolas" w:hAnsi="Consolas"/>
                <w:sz w:val="18"/>
                <w:szCs w:val="18"/>
              </w:rPr>
              <w:t xml:space="preserve">  rpc Get(GetRequest) returns (Value);</w:t>
            </w:r>
          </w:p>
          <w:p>
            <w:pPr>
              <w:spacing w:after="20" w:line="260"/>
            </w:pPr>
            <w:r>
              <w:rPr>
                <w:rFonts w:ascii="Consolas" w:cs="Consolas" w:eastAsia="Consolas" w:hAnsi="Consolas"/>
                <w:sz w:val="18"/>
                <w:szCs w:val="18"/>
              </w:rPr>
              <w:t xml:space="preserve">  rpc Put(PutRequest) returns (PutResponse);   // with TTL, CAS</w:t>
            </w:r>
          </w:p>
          <w:p>
            <w:pPr>
              <w:spacing w:after="20" w:line="260"/>
            </w:pPr>
            <w:r>
              <w:rPr>
                <w:rFonts w:ascii="Consolas" w:cs="Consolas" w:eastAsia="Consolas" w:hAnsi="Consolas"/>
                <w:sz w:val="18"/>
                <w:szCs w:val="18"/>
              </w:rPr>
              <w:t xml:space="preserve">  rpc Delete(DeleteRequest) returns (Ack);</w:t>
            </w:r>
          </w:p>
          <w:p>
            <w:pPr>
              <w:spacing w:after="20" w:line="260"/>
            </w:pPr>
            <w:r>
              <w:rPr>
                <w:rFonts w:ascii="Consolas" w:cs="Consolas" w:eastAsia="Consolas" w:hAnsi="Consolas"/>
                <w:sz w:val="18"/>
                <w:szCs w:val="18"/>
              </w:rPr>
              <w:t xml:space="preserve">  rpc Scan(ScanRequest) returns (stream KVItem);</w:t>
            </w:r>
          </w:p>
          <w:p>
            <w:pPr>
              <w:spacing w:after="20" w:line="260"/>
            </w:pPr>
            <w:r>
              <w:rPr>
                <w:rFonts w:ascii="Consolas" w:cs="Consolas" w:eastAsia="Consolas" w:hAnsi="Consolas"/>
                <w:sz w:val="18"/>
                <w:szCs w:val="18"/>
              </w:rPr>
              <w:t xml:space="preserve">}</w:t>
            </w:r>
          </w:p>
          <w:p>
            <w:pPr>
              <w:spacing w:after="20" w:line="260"/>
            </w:pPr>
            <w:r>
              <w:rPr>
                <w:rFonts w:ascii="Consolas" w:cs="Consolas" w:eastAsia="Consolas" w:hAnsi="Consolas"/>
                <w:sz w:val="18"/>
                <w:szCs w:val="18"/>
              </w:rPr>
              <w:t xml:space="preserve"> </w:t>
            </w:r>
          </w:p>
          <w:p>
            <w:pPr>
              <w:spacing w:after="20" w:line="260"/>
            </w:pPr>
            <w:r>
              <w:rPr>
                <w:rFonts w:ascii="Consolas" w:cs="Consolas" w:eastAsia="Consolas" w:hAnsi="Consolas"/>
                <w:sz w:val="18"/>
                <w:szCs w:val="18"/>
              </w:rPr>
              <w:t xml:space="preserve">service Episodic {</w:t>
            </w:r>
          </w:p>
          <w:p>
            <w:pPr>
              <w:spacing w:after="20" w:line="260"/>
            </w:pPr>
            <w:r>
              <w:rPr>
                <w:rFonts w:ascii="Consolas" w:cs="Consolas" w:eastAsia="Consolas" w:hAnsi="Consolas"/>
                <w:sz w:val="18"/>
                <w:szCs w:val="18"/>
              </w:rPr>
              <w:t xml:space="preserve">  rpc Append(AppendRequest) returns (Cursor);</w:t>
            </w:r>
          </w:p>
          <w:p>
            <w:pPr>
              <w:spacing w:after="20" w:line="260"/>
            </w:pPr>
            <w:r>
              <w:rPr>
                <w:rFonts w:ascii="Consolas" w:cs="Consolas" w:eastAsia="Consolas" w:hAnsi="Consolas"/>
                <w:sz w:val="18"/>
                <w:szCs w:val="18"/>
              </w:rPr>
              <w:t xml:space="preserve">  rpc Range(RangeRequest) returns (stream Event);</w:t>
            </w:r>
          </w:p>
          <w:p>
            <w:pPr>
              <w:spacing w:after="20" w:line="260"/>
            </w:pPr>
            <w:r>
              <w:rPr>
                <w:rFonts w:ascii="Consolas" w:cs="Consolas" w:eastAsia="Consolas" w:hAnsi="Consolas"/>
                <w:sz w:val="18"/>
                <w:szCs w:val="18"/>
              </w:rPr>
              <w:t xml:space="preserve">  rpc Tail(TailRequest) returns (stream Event);  // server-stream live</w:t>
            </w:r>
          </w:p>
          <w:p>
            <w:pPr>
              <w:spacing w:after="20" w:line="260"/>
            </w:pPr>
            <w:r>
              <w:rPr>
                <w:rFonts w:ascii="Consolas" w:cs="Consolas" w:eastAsia="Consolas" w:hAnsi="Consolas"/>
                <w:sz w:val="18"/>
                <w:szCs w:val="18"/>
              </w:rPr>
              <w:t xml:space="preserve">}</w:t>
            </w:r>
          </w:p>
          <w:p>
            <w:pPr>
              <w:spacing w:after="20" w:line="260"/>
            </w:pPr>
            <w:r>
              <w:rPr>
                <w:rFonts w:ascii="Consolas" w:cs="Consolas" w:eastAsia="Consolas" w:hAnsi="Consolas"/>
                <w:sz w:val="18"/>
                <w:szCs w:val="18"/>
              </w:rPr>
              <w:t xml:space="preserve"> </w:t>
            </w:r>
          </w:p>
          <w:p>
            <w:pPr>
              <w:spacing w:after="20" w:line="260"/>
            </w:pPr>
            <w:r>
              <w:rPr>
                <w:rFonts w:ascii="Consolas" w:cs="Consolas" w:eastAsia="Consolas" w:hAnsi="Consolas"/>
                <w:sz w:val="18"/>
                <w:szCs w:val="18"/>
              </w:rPr>
              <w:t xml:space="preserve">service Semantic {</w:t>
            </w:r>
          </w:p>
          <w:p>
            <w:pPr>
              <w:spacing w:after="20" w:line="260"/>
            </w:pPr>
            <w:r>
              <w:rPr>
                <w:rFonts w:ascii="Consolas" w:cs="Consolas" w:eastAsia="Consolas" w:hAnsi="Consolas"/>
                <w:sz w:val="18"/>
                <w:szCs w:val="18"/>
              </w:rPr>
              <w:t xml:space="preserve">  rpc Upsert(UpsertRequest) returns (UpsertResponse);</w:t>
            </w:r>
          </w:p>
          <w:p>
            <w:pPr>
              <w:spacing w:after="20" w:line="260"/>
            </w:pPr>
            <w:r>
              <w:rPr>
                <w:rFonts w:ascii="Consolas" w:cs="Consolas" w:eastAsia="Consolas" w:hAnsi="Consolas"/>
                <w:sz w:val="18"/>
                <w:szCs w:val="18"/>
              </w:rPr>
              <w:t xml:space="preserve">  rpc Search(SearchRequest) returns (SearchResponse);</w:t>
            </w:r>
          </w:p>
          <w:p>
            <w:pPr>
              <w:spacing w:after="20" w:line="260"/>
            </w:pPr>
            <w:r>
              <w:rPr>
                <w:rFonts w:ascii="Consolas" w:cs="Consolas" w:eastAsia="Consolas" w:hAnsi="Consolas"/>
                <w:sz w:val="18"/>
                <w:szCs w:val="18"/>
              </w:rPr>
              <w:t xml:space="preserve">  rpc Delete(DeleteRequest) returns (Ack);</w:t>
            </w:r>
          </w:p>
          <w:p>
            <w:pPr>
              <w:spacing w:after="20" w:line="260"/>
            </w:pPr>
            <w:r>
              <w:rPr>
                <w:rFonts w:ascii="Consolas" w:cs="Consolas" w:eastAsia="Consolas" w:hAnsi="Consolas"/>
                <w:sz w:val="18"/>
                <w:szCs w:val="18"/>
              </w:rPr>
              <w:t xml:space="preserve">}</w:t>
            </w:r>
          </w:p>
          <w:p>
            <w:pPr>
              <w:spacing w:after="20" w:line="260"/>
            </w:pPr>
            <w:r>
              <w:rPr>
                <w:rFonts w:ascii="Consolas" w:cs="Consolas" w:eastAsia="Consolas" w:hAnsi="Consolas"/>
                <w:sz w:val="18"/>
                <w:szCs w:val="18"/>
              </w:rPr>
              <w:t xml:space="preserve"> </w:t>
            </w:r>
          </w:p>
          <w:p>
            <w:pPr>
              <w:spacing w:after="20" w:line="260"/>
            </w:pPr>
            <w:r>
              <w:rPr>
                <w:rFonts w:ascii="Consolas" w:cs="Consolas" w:eastAsia="Consolas" w:hAnsi="Consolas"/>
                <w:sz w:val="18"/>
                <w:szCs w:val="18"/>
              </w:rPr>
              <w:t xml:space="preserve">service Artifact {</w:t>
            </w:r>
          </w:p>
          <w:p>
            <w:pPr>
              <w:spacing w:after="20" w:line="260"/>
            </w:pPr>
            <w:r>
              <w:rPr>
                <w:rFonts w:ascii="Consolas" w:cs="Consolas" w:eastAsia="Consolas" w:hAnsi="Consolas"/>
                <w:sz w:val="18"/>
                <w:szCs w:val="18"/>
              </w:rPr>
              <w:t xml:space="preserve">  rpc Put(stream PutChunk) returns (ArtifactRef);  // client-stream</w:t>
            </w:r>
          </w:p>
          <w:p>
            <w:pPr>
              <w:spacing w:after="20" w:line="260"/>
            </w:pPr>
            <w:r>
              <w:rPr>
                <w:rFonts w:ascii="Consolas" w:cs="Consolas" w:eastAsia="Consolas" w:hAnsi="Consolas"/>
                <w:sz w:val="18"/>
                <w:szCs w:val="18"/>
              </w:rPr>
              <w:t xml:space="preserve">  rpc Get(GetRequest) returns (stream Chunk);</w:t>
            </w:r>
          </w:p>
          <w:p>
            <w:pPr>
              <w:spacing w:after="20" w:line="260"/>
            </w:pPr>
            <w:r>
              <w:rPr>
                <w:rFonts w:ascii="Consolas" w:cs="Consolas" w:eastAsia="Consolas" w:hAnsi="Consolas"/>
                <w:sz w:val="18"/>
                <w:szCs w:val="18"/>
              </w:rPr>
              <w:t xml:space="preserve">  rpc Stat(StatRequest) returns (ArtifactMeta);</w:t>
            </w:r>
          </w:p>
          <w:p>
            <w:pPr>
              <w:spacing w:after="20" w:line="260"/>
            </w:pPr>
            <w:r>
              <w:rPr>
                <w:rFonts w:ascii="Consolas" w:cs="Consolas" w:eastAsia="Consolas" w:hAnsi="Consolas"/>
                <w:sz w:val="18"/>
                <w:szCs w:val="18"/>
              </w:rPr>
              <w:t xml:space="preserve">}</w:t>
            </w:r>
          </w:p>
          <w:p>
            <w:pPr>
              <w:spacing w:after="20" w:line="260"/>
            </w:pPr>
            <w:r>
              <w:rPr>
                <w:rFonts w:ascii="Consolas" w:cs="Consolas" w:eastAsia="Consolas" w:hAnsi="Consolas"/>
                <w:sz w:val="18"/>
                <w:szCs w:val="18"/>
              </w:rPr>
              <w:t xml:space="preserve"> </w:t>
            </w:r>
          </w:p>
          <w:p>
            <w:pPr>
              <w:spacing w:after="20" w:line="260"/>
            </w:pPr>
            <w:r>
              <w:rPr>
                <w:rFonts w:ascii="Consolas" w:cs="Consolas" w:eastAsia="Consolas" w:hAnsi="Consolas"/>
                <w:sz w:val="18"/>
                <w:szCs w:val="18"/>
              </w:rPr>
              <w:t xml:space="preserve">service Lease {</w:t>
            </w:r>
          </w:p>
          <w:p>
            <w:pPr>
              <w:spacing w:after="20" w:line="260"/>
            </w:pPr>
            <w:r>
              <w:rPr>
                <w:rFonts w:ascii="Consolas" w:cs="Consolas" w:eastAsia="Consolas" w:hAnsi="Consolas"/>
                <w:sz w:val="18"/>
                <w:szCs w:val="18"/>
              </w:rPr>
              <w:t xml:space="preserve">  rpc Acquire(AcquireRequest) returns (LeaseHandle);</w:t>
            </w:r>
          </w:p>
          <w:p>
            <w:pPr>
              <w:spacing w:after="20" w:line="260"/>
            </w:pPr>
            <w:r>
              <w:rPr>
                <w:rFonts w:ascii="Consolas" w:cs="Consolas" w:eastAsia="Consolas" w:hAnsi="Consolas"/>
                <w:sz w:val="18"/>
                <w:szCs w:val="18"/>
              </w:rPr>
              <w:t xml:space="preserve">  rpc Renew(RenewRequest) returns (LeaseHandle);</w:t>
            </w:r>
          </w:p>
          <w:p>
            <w:pPr>
              <w:spacing w:after="20" w:line="260"/>
            </w:pPr>
            <w:r>
              <w:rPr>
                <w:rFonts w:ascii="Consolas" w:cs="Consolas" w:eastAsia="Consolas" w:hAnsi="Consolas"/>
                <w:sz w:val="18"/>
                <w:szCs w:val="18"/>
              </w:rPr>
              <w:t xml:space="preserve">  rpc Release(ReleaseRequest) returns (Ack);</w:t>
            </w:r>
          </w:p>
          <w:p>
            <w:pPr>
              <w:spacing w:after="20" w:line="260"/>
            </w:pPr>
            <w:r>
              <w:rPr>
                <w:rFonts w:ascii="Consolas" w:cs="Consolas" w:eastAsia="Consolas" w:hAnsi="Consolas"/>
                <w:sz w:val="18"/>
                <w:szCs w:val="18"/>
              </w:rPr>
              <w:t xml:space="preserve">}</w:t>
            </w:r>
          </w:p>
        </w:tc>
      </w:tr>
    </w:tbl>
    <w:p>
      <w:pPr>
        <w:spacing w:after="120" w:line="300"/>
      </w:pPr>
      <w:r>
        <w:rPr>
          <w:rFonts w:ascii="Arial" w:cs="Arial" w:eastAsia="Arial" w:hAnsi="Arial"/>
          <w:sz w:val="22"/>
          <w:szCs w:val="22"/>
        </w:rPr>
        <w:t xml:space="preserve">Every request carries a Capability header containing the bearer token. The sidecar validates, decodes the scope, and rejects out-of-scope namespace or operation access before the backend driver is touched.</w:t>
      </w:r>
    </w:p>
    <w:p>
      <w:pPr>
        <w:pStyle w:val="Heading1"/>
        <w:spacing w:after="200" w:before="360"/>
      </w:pPr>
      <w:r>
        <w:rPr>
          <w:rFonts w:ascii="Arial" w:cs="Arial" w:eastAsia="Arial" w:hAnsi="Arial"/>
          <w:b/>
          <w:bCs/>
          <w:sz w:val="32"/>
          <w:szCs w:val="32"/>
        </w:rPr>
        <w:t xml:space="preserve">6. Data model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Concept</w:t>
            </w:r>
          </w:p>
        </w:tc>
        <w:tc>
          <w:tcPr>
            <w:tcW w:type="dxa" w:w="7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Definition</w:t>
            </w:r>
          </w:p>
        </w:tc>
      </w:tr>
      <w:tr>
        <w:tc>
          <w:tcPr>
            <w:tcW w:type="dxa" w:w="2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Tenant</w:t>
            </w:r>
          </w:p>
        </w:tc>
        <w:tc>
          <w:tcPr>
            <w:tcW w:type="dxa" w:w="7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Top-level isolation boundary. Tenants cannot read each other's data. Maps to a database, schema, prefix, or index depending on backend.</w:t>
            </w:r>
          </w:p>
        </w:tc>
      </w:tr>
      <w:tr>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Namespace</w:t>
            </w:r>
          </w:p>
        </w:tc>
        <w:tc>
          <w:tcPr>
            <w:tcW w:type="dxa" w:w="73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Logical grouping within a tenant, scoped to one building block. E.g. tenant=acme, block=semantic, namespace=customer-notes.</w:t>
            </w:r>
          </w:p>
        </w:tc>
      </w:tr>
      <w:tr>
        <w:tc>
          <w:tcPr>
            <w:tcW w:type="dxa" w:w="2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Record</w:t>
            </w:r>
          </w:p>
        </w:tc>
        <w:tc>
          <w:tcPr>
            <w:tcW w:type="dxa" w:w="7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A unit of data within a namespace. Always has (id, created_at, metadata). Block-specific payload otherwise.</w:t>
            </w:r>
          </w:p>
        </w:tc>
      </w:tr>
      <w:tr>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Capability</w:t>
            </w:r>
          </w:p>
        </w:tc>
        <w:tc>
          <w:tcPr>
            <w:tcW w:type="dxa" w:w="73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Signed bearer asserting (tenant, agent, ns_pattern, ops, ttl). Carried on every RPC.</w:t>
            </w:r>
          </w:p>
        </w:tc>
      </w:tr>
      <w:tr>
        <w:tc>
          <w:tcPr>
            <w:tcW w:type="dxa" w:w="2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Policy</w:t>
            </w:r>
          </w:p>
        </w:tc>
        <w:tc>
          <w:tcPr>
            <w:tcW w:type="dxa" w:w="7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Rule attached to a namespace or tenant. Evaluated at hook points around each operation.</w:t>
            </w:r>
          </w:p>
        </w:tc>
      </w:tr>
    </w:tbl>
    <w:p>
      <w:pPr>
        <w:pStyle w:val="Heading1"/>
        <w:spacing w:after="200" w:before="360"/>
      </w:pPr>
      <w:r>
        <w:rPr>
          <w:rFonts w:ascii="Arial" w:cs="Arial" w:eastAsia="Arial" w:hAnsi="Arial"/>
          <w:b/>
          <w:bCs/>
          <w:sz w:val="32"/>
          <w:szCs w:val="32"/>
        </w:rPr>
        <w:t xml:space="preserve">7.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Option</w:t>
            </w:r>
          </w:p>
        </w:tc>
        <w:tc>
          <w:tcPr>
            <w:tcW w:type="dxa" w:w="6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Why rejected as primary</w:t>
            </w:r>
          </w:p>
        </w:tc>
      </w:tr>
      <w:tr>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Library, not sidecar</w:t>
            </w:r>
          </w:p>
        </w:tc>
        <w:tc>
          <w:tcPr>
            <w:tcW w:type="dxa" w:w="69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Forces every agent runtime to embed it. Loses central policy enforcement and per-deploy backend swap. Library SDKs will still ship — but as thin clients to the sidecar.</w:t>
            </w:r>
          </w:p>
        </w:tc>
      </w:tr>
      <w:tr>
        <w:tc>
          <w:tcPr>
            <w:tcW w:type="dxa" w:w="2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Use Dapr directly</w:t>
            </w:r>
          </w:p>
        </w:tc>
        <w:tc>
          <w:tcPr>
            <w:tcW w:type="dxa" w:w="69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Dapr state API has no semantic-search primitive, no agent-shaped episodic log, no embedder abstraction. Wrapping Dapr adds a hop with little gain.</w:t>
            </w:r>
          </w:p>
        </w:tc>
      </w:tr>
      <w:tr>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Adopt Letta / mem0 / Zep as-is</w:t>
            </w:r>
          </w:p>
        </w:tc>
        <w:tc>
          <w:tcPr>
            <w:tcW w:type="dxa" w:w="69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All three bake in an opinionated memory model and are framework-coupled or SaaS-leaning. Goal here is unopinionated infrastructure.</w:t>
            </w:r>
          </w:p>
        </w:tc>
      </w:tr>
      <w:tr>
        <w:tc>
          <w:tcPr>
            <w:tcW w:type="dxa" w:w="2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Build on top of one vector DB's API</w:t>
            </w:r>
          </w:p>
        </w:tc>
        <w:tc>
          <w:tcPr>
            <w:tcW w:type="dxa" w:w="69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Locks users into that vendor. Same problem we are trying to solve.</w:t>
            </w:r>
          </w:p>
        </w:tc>
      </w:tr>
    </w:tbl>
    <w:p>
      <w:pPr>
        <w:pStyle w:val="Heading1"/>
        <w:spacing w:after="200" w:before="360"/>
      </w:pPr>
      <w:r>
        <w:rPr>
          <w:rFonts w:ascii="Arial" w:cs="Arial" w:eastAsia="Arial" w:hAnsi="Arial"/>
          <w:b/>
          <w:bCs/>
          <w:sz w:val="32"/>
          <w:szCs w:val="32"/>
        </w:rPr>
        <w:t xml:space="preserve">8. Risks and open questions</w:t>
      </w:r>
    </w:p>
    <w:p>
      <w:pPr>
        <w:pStyle w:val="ListParagraph"/>
        <w:numPr>
          <w:ilvl w:val="0"/>
          <w:numId w:val="2"/>
        </w:numPr>
        <w:spacing w:after="80" w:line="280"/>
      </w:pPr>
      <w:r>
        <w:rPr>
          <w:rFonts w:ascii="Arial" w:cs="Arial" w:eastAsia="Arial" w:hAnsi="Arial"/>
          <w:b/>
          <w:bCs/>
          <w:sz w:val="22"/>
          <w:szCs w:val="22"/>
        </w:rPr>
        <w:t xml:space="preserve">Latency budget. </w:t>
      </w:r>
      <w:r>
        <w:rPr>
          <w:rFonts w:ascii="Arial" w:cs="Arial" w:eastAsia="Arial" w:hAnsi="Arial"/>
          <w:sz w:val="22"/>
          <w:szCs w:val="22"/>
        </w:rPr>
        <w:t xml:space="preserve">Every memory op adds a hop. Mitigations: uds transport, request batching, client-side caching for read-mostly KV.</w:t>
      </w:r>
    </w:p>
    <w:p>
      <w:pPr>
        <w:pStyle w:val="ListParagraph"/>
        <w:numPr>
          <w:ilvl w:val="0"/>
          <w:numId w:val="2"/>
        </w:numPr>
        <w:spacing w:after="80" w:line="280"/>
      </w:pPr>
      <w:r>
        <w:rPr>
          <w:rFonts w:ascii="Arial" w:cs="Arial" w:eastAsia="Arial" w:hAnsi="Arial"/>
          <w:b/>
          <w:bCs/>
          <w:sz w:val="22"/>
          <w:szCs w:val="22"/>
        </w:rPr>
        <w:t xml:space="preserve">Context assembly boundary. </w:t>
      </w:r>
      <w:r>
        <w:rPr>
          <w:rFonts w:ascii="Arial" w:cs="Arial" w:eastAsia="Arial" w:hAnsi="Arial"/>
          <w:sz w:val="22"/>
          <w:szCs w:val="22"/>
        </w:rPr>
        <w:t xml:space="preserve">Where does retrieval stop and prompt construction begin? Risk of scope creep into framework territory.</w:t>
      </w:r>
    </w:p>
    <w:p>
      <w:pPr>
        <w:pStyle w:val="ListParagraph"/>
        <w:numPr>
          <w:ilvl w:val="0"/>
          <w:numId w:val="2"/>
        </w:numPr>
        <w:spacing w:after="80" w:line="280"/>
      </w:pPr>
      <w:r>
        <w:rPr>
          <w:rFonts w:ascii="Arial" w:cs="Arial" w:eastAsia="Arial" w:hAnsi="Arial"/>
          <w:b/>
          <w:bCs/>
          <w:sz w:val="22"/>
          <w:szCs w:val="22"/>
        </w:rPr>
        <w:t xml:space="preserve">Embedding model drift. </w:t>
      </w:r>
      <w:r>
        <w:rPr>
          <w:rFonts w:ascii="Arial" w:cs="Arial" w:eastAsia="Arial" w:hAnsi="Arial"/>
          <w:sz w:val="22"/>
          <w:szCs w:val="22"/>
        </w:rPr>
        <w:t xml:space="preserve">Changing the embedder on a namespace invalidates existing vectors. Need a migration story.</w:t>
      </w:r>
    </w:p>
    <w:p>
      <w:pPr>
        <w:pStyle w:val="ListParagraph"/>
        <w:numPr>
          <w:ilvl w:val="0"/>
          <w:numId w:val="2"/>
        </w:numPr>
        <w:spacing w:after="80" w:line="280"/>
      </w:pPr>
      <w:r>
        <w:rPr>
          <w:rFonts w:ascii="Arial" w:cs="Arial" w:eastAsia="Arial" w:hAnsi="Arial"/>
          <w:b/>
          <w:bCs/>
          <w:sz w:val="22"/>
          <w:szCs w:val="22"/>
        </w:rPr>
        <w:t xml:space="preserve">Multi-agent consistency. </w:t>
      </w:r>
      <w:r>
        <w:rPr>
          <w:rFonts w:ascii="Arial" w:cs="Arial" w:eastAsia="Arial" w:hAnsi="Arial"/>
          <w:sz w:val="22"/>
          <w:szCs w:val="22"/>
        </w:rPr>
        <w:t xml:space="preserve">Concurrent writes from cooperating agents — last-write-wins, CRDTs, or explicit leases? v0.1 says leases for shared state, LWW elsewhere.</w:t>
      </w:r>
    </w:p>
    <w:p>
      <w:pPr>
        <w:pStyle w:val="ListParagraph"/>
        <w:numPr>
          <w:ilvl w:val="0"/>
          <w:numId w:val="2"/>
        </w:numPr>
        <w:spacing w:after="80" w:line="280"/>
      </w:pPr>
      <w:r>
        <w:rPr>
          <w:rFonts w:ascii="Arial" w:cs="Arial" w:eastAsia="Arial" w:hAnsi="Arial"/>
          <w:b/>
          <w:bCs/>
          <w:sz w:val="22"/>
          <w:szCs w:val="22"/>
        </w:rPr>
        <w:t xml:space="preserve">Policy expressiveness vs. simplicity. </w:t>
      </w:r>
      <w:r>
        <w:rPr>
          <w:rFonts w:ascii="Arial" w:cs="Arial" w:eastAsia="Arial" w:hAnsi="Arial"/>
          <w:sz w:val="22"/>
          <w:szCs w:val="22"/>
        </w:rPr>
        <w:t xml:space="preserve">Rego is powerful but heavy; YAML rules are simple but limited. Likely ship YAML + opt-in Rego.</w:t>
      </w:r>
    </w:p>
    <w:p>
      <w:pPr>
        <w:pStyle w:val="ListParagraph"/>
        <w:numPr>
          <w:ilvl w:val="0"/>
          <w:numId w:val="2"/>
        </w:numPr>
        <w:spacing w:after="80" w:line="280"/>
      </w:pPr>
      <w:r>
        <w:rPr>
          <w:rFonts w:ascii="Arial" w:cs="Arial" w:eastAsia="Arial" w:hAnsi="Arial"/>
          <w:b/>
          <w:bCs/>
          <w:sz w:val="22"/>
          <w:szCs w:val="22"/>
        </w:rPr>
        <w:t xml:space="preserve">Competitive positioning. </w:t>
      </w:r>
      <w:r>
        <w:rPr>
          <w:rFonts w:ascii="Arial" w:cs="Arial" w:eastAsia="Arial" w:hAnsi="Arial"/>
          <w:sz w:val="22"/>
          <w:szCs w:val="22"/>
        </w:rPr>
        <w:t xml:space="preserve">Letta/Zep/mem0 may add OSS sidecar modes. Differentiation must be: unopinionated, BYO-backend, multi-tenant capability auth.</w:t>
      </w:r>
    </w:p>
    <w:p>
      <w:pPr>
        <w:pStyle w:val="Heading1"/>
        <w:spacing w:after="200" w:before="360"/>
      </w:pPr>
      <w:r>
        <w:rPr>
          <w:rFonts w:ascii="Arial" w:cs="Arial" w:eastAsia="Arial" w:hAnsi="Arial"/>
          <w:b/>
          <w:bCs/>
          <w:sz w:val="32"/>
          <w:szCs w:val="32"/>
        </w:rPr>
        <w:t xml:space="preserve">9. Decision</w:t>
      </w:r>
    </w:p>
    <w:p>
      <w:pPr>
        <w:spacing w:after="120" w:line="300"/>
      </w:pPr>
      <w:r>
        <w:rPr>
          <w:rFonts w:ascii="Arial" w:cs="Arial" w:eastAsia="Arial" w:hAnsi="Arial"/>
          <w:sz w:val="22"/>
          <w:szCs w:val="22"/>
        </w:rPr>
        <w:t xml:space="preserve">Build a self-hosted, OSS, framework-agnostic Memory Sidecar implementing the five building blocks (kv, episodic, semantic, artifact, lease) over pluggable backends, with capability-based auth and a policy engine. Ship a v0.1 reference distribution with Postgres + pgvector + S3-compatible blob store as the default substrate. Provide thin client SDKs in Python and TypeScript; rely on gRPC and HTTP for everything else.</w:t>
      </w:r>
    </w:p>
    <w:p>
      <w:pPr>
        <w:pStyle w:val="Heading1"/>
        <w:spacing w:after="200" w:before="360"/>
      </w:pPr>
      <w:r>
        <w:rPr>
          <w:rFonts w:ascii="Arial" w:cs="Arial" w:eastAsia="Arial" w:hAnsi="Arial"/>
          <w:b/>
          <w:bCs/>
          <w:sz w:val="32"/>
          <w:szCs w:val="32"/>
        </w:rPr>
        <w:t xml:space="preserve">10. Roadmap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Milestone</w:t>
            </w:r>
          </w:p>
        </w:tc>
        <w:tc>
          <w:tcPr>
            <w:tcW w:type="dxa" w:w="7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rFonts w:ascii="Arial" w:cs="Arial" w:eastAsia="Arial" w:hAnsi="Arial"/>
                <w:b/>
                <w:bCs/>
                <w:sz w:val="22"/>
                <w:szCs w:val="22"/>
              </w:rPr>
              <w:t xml:space="preserve">Scope</w:t>
            </w:r>
          </w:p>
        </w:tc>
      </w:tr>
      <w:tr>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v0.1 (MVP)</w:t>
            </w:r>
          </w:p>
        </w:tc>
        <w:tc>
          <w:tcPr>
            <w:tcW w:type="dxa" w:w="75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kv + episodic + semantic; pgvector + Postgres backends; capability tokens; YAML policy; Python SDK; OTel traces.</w:t>
            </w:r>
          </w:p>
        </w:tc>
      </w:tr>
      <w:tr>
        <w:tc>
          <w:tcPr>
            <w:tcW w:type="dxa" w:w="1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v0.2</w:t>
            </w:r>
          </w:p>
        </w:tc>
        <w:tc>
          <w:tcPr>
            <w:tcW w:type="dxa" w:w="75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artifact + lease blocks; S3 driver; Qdrant driver; TypeScript SDK; admin CLI; hot-reload config.</w:t>
            </w:r>
          </w:p>
        </w:tc>
      </w:tr>
      <w:tr>
        <w:tc>
          <w:tcPr>
            <w:tcW w:type="dxa" w:w="18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v0.3</w:t>
            </w:r>
          </w:p>
        </w:tc>
        <w:tc>
          <w:tcPr>
            <w:tcW w:type="dxa" w:w="75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40" w:line="280"/>
            </w:pPr>
            <w:r>
              <w:rPr>
                <w:rFonts w:ascii="Arial" w:cs="Arial" w:eastAsia="Arial" w:hAnsi="Arial"/>
                <w:sz w:val="21"/>
                <w:szCs w:val="21"/>
              </w:rPr>
              <w:t xml:space="preserve">Multi-tenant hardening; Rego policy support; second embedder providers; reference Helm chart; Grafana dashboards.</w:t>
            </w:r>
          </w:p>
        </w:tc>
      </w:tr>
      <w:tr>
        <w:tc>
          <w:tcPr>
            <w:tcW w:type="dxa" w:w="1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v0.4</w:t>
            </w:r>
          </w:p>
        </w:tc>
        <w:tc>
          <w:tcPr>
            <w:tcW w:type="dxa" w:w="75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tcPr>
          <w:p>
            <w:pPr>
              <w:spacing w:after="40" w:line="280"/>
            </w:pPr>
            <w:r>
              <w:rPr>
                <w:rFonts w:ascii="Arial" w:cs="Arial" w:eastAsia="Arial" w:hAnsi="Arial"/>
                <w:sz w:val="21"/>
                <w:szCs w:val="21"/>
              </w:rPr>
              <w:t xml:space="preserve">Streaming primitives (Kafka episodic); CRDT-backed shared working memory experiment; framework integrations (LangGraph, CrewAI adapters).</w:t>
            </w:r>
          </w:p>
        </w:tc>
      </w:tr>
    </w:tbl>
    <w:p>
      <w:pPr>
        <w:pStyle w:val="Heading1"/>
        <w:spacing w:after="200" w:before="360"/>
      </w:pPr>
      <w:r>
        <w:rPr>
          <w:rFonts w:ascii="Arial" w:cs="Arial" w:eastAsia="Arial" w:hAnsi="Arial"/>
          <w:b/>
          <w:bCs/>
          <w:sz w:val="32"/>
          <w:szCs w:val="32"/>
        </w:rPr>
        <w:t xml:space="preserve">11. Open decisions to resolve before v0.1</w:t>
      </w:r>
    </w:p>
    <w:p>
      <w:pPr>
        <w:pStyle w:val="ListParagraph"/>
        <w:numPr>
          <w:ilvl w:val="0"/>
          <w:numId w:val="2"/>
        </w:numPr>
        <w:spacing w:after="80" w:line="280"/>
      </w:pPr>
      <w:r>
        <w:rPr>
          <w:rFonts w:ascii="Arial" w:cs="Arial" w:eastAsia="Arial" w:hAnsi="Arial"/>
          <w:sz w:val="22"/>
          <w:szCs w:val="22"/>
        </w:rPr>
        <w:t xml:space="preserve">Implementation language. Go is the obvious default for sidecar-class software; Rust is the alternative. Both viable; preference to confirm.</w:t>
      </w:r>
    </w:p>
    <w:p>
      <w:pPr>
        <w:pStyle w:val="ListParagraph"/>
        <w:numPr>
          <w:ilvl w:val="0"/>
          <w:numId w:val="2"/>
        </w:numPr>
        <w:spacing w:after="80" w:line="280"/>
      </w:pPr>
      <w:r>
        <w:rPr>
          <w:rFonts w:ascii="Arial" w:cs="Arial" w:eastAsia="Arial" w:hAnsi="Arial"/>
          <w:sz w:val="22"/>
          <w:szCs w:val="22"/>
        </w:rPr>
        <w:t xml:space="preserve">Capability token format. JWT (ecosystem) vs PASETO (safer defaults). Lean PASETO unless ecosystem pressure says JWT.</w:t>
      </w:r>
    </w:p>
    <w:p>
      <w:pPr>
        <w:pStyle w:val="ListParagraph"/>
        <w:numPr>
          <w:ilvl w:val="0"/>
          <w:numId w:val="2"/>
        </w:numPr>
        <w:spacing w:after="80" w:line="280"/>
      </w:pPr>
      <w:r>
        <w:rPr>
          <w:rFonts w:ascii="Arial" w:cs="Arial" w:eastAsia="Arial" w:hAnsi="Arial"/>
          <w:sz w:val="22"/>
          <w:szCs w:val="22"/>
        </w:rPr>
        <w:t xml:space="preserve">Default embedding provider for dev. Local (Ollama) for zero-cost onboarding, or OpenAI for quality? Probably ship both; default depends on environment detection.</w:t>
      </w:r>
    </w:p>
    <w:p>
      <w:pPr>
        <w:pStyle w:val="ListParagraph"/>
        <w:numPr>
          <w:ilvl w:val="0"/>
          <w:numId w:val="2"/>
        </w:numPr>
        <w:spacing w:after="80" w:line="280"/>
      </w:pPr>
      <w:r>
        <w:rPr>
          <w:rFonts w:ascii="Arial" w:cs="Arial" w:eastAsia="Arial" w:hAnsi="Arial"/>
          <w:sz w:val="22"/>
          <w:szCs w:val="22"/>
        </w:rPr>
        <w:t xml:space="preserve">Naming. Working title only — the project needs a real name before public OSS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666666"/>
        <w:sz w:val="18"/>
        <w:szCs w:val="18"/>
      </w:rPr>
      <w:t xml:space="preserve">ADR-0001 · Memory Sidecar</w:t>
    </w:r>
    <w:r>
      <w:rPr>
        <w:rFonts w:ascii="Arial" w:cs="Arial" w:eastAsia="Arial" w:hAnsi="Arial"/>
        <w:color w:val="666666"/>
        <w:sz w:val="18"/>
        <w:szCs w:val="18"/>
      </w:rPr>
      <w:t xml:space="preserve">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ADR-0001: Memory Sidecar for Agentic Systems</dc:title>
  <dc:creator>Memory Sidecar Working Notes</dc:creator>
  <cp:lastModifiedBy>Un-named</cp:lastModifiedBy>
  <cp:revision>1</cp:revision>
  <dcterms:created xsi:type="dcterms:W3CDTF">2026-05-11T12:13:17.402Z</dcterms:created>
  <dcterms:modified xsi:type="dcterms:W3CDTF">2026-05-11T12:13:17.419Z</dcterms:modified>
</cp:coreProperties>
</file>

<file path=docProps/custom.xml><?xml version="1.0" encoding="utf-8"?>
<Properties xmlns="http://schemas.openxmlformats.org/officeDocument/2006/custom-properties" xmlns:vt="http://schemas.openxmlformats.org/officeDocument/2006/docPropsVTypes"/>
</file>