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  <w:bookmarkStart w:id="0" w:name="_GoBack"/>
      <w:bookmarkEnd w:id="0"/>
    </w:p>
    <w:sdt>
      <w:sdtPr>
        <w:id w:val="-1547140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Pr="00DB367E">
              <w:rPr>
                <w:rStyle w:val="Hyperlink"/>
                <w:noProof/>
              </w:rPr>
              <w:t>B. Execute the oDeClouder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Pr="00DB367E">
              <w:rPr>
                <w:rStyle w:val="Hyperlink"/>
                <w:noProof/>
              </w:rPr>
              <w:t>C. Configure the DocCentral’s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Pr="00DB367E">
              <w:rPr>
                <w:rStyle w:val="Hyperlink"/>
                <w:noProof/>
              </w:rPr>
              <w:t>D. Catalog Server and Extended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Pr="00DB367E">
              <w:rPr>
                <w:rStyle w:val="Hyperlink"/>
                <w:noProof/>
              </w:rPr>
              <w:t>E. Property files &amp;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Pr="00DB367E">
              <w:rPr>
                <w:rStyle w:val="Hyperlink"/>
                <w:noProof/>
              </w:rPr>
              <w:t>E.1.  Commons.properties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Pr="00DB367E">
              <w:rPr>
                <w:rStyle w:val="Hyperlink"/>
                <w:noProof/>
              </w:rPr>
              <w:t>E.2. client.properties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Pr="00DB367E">
              <w:rPr>
                <w:rStyle w:val="Hyperlink"/>
                <w:noProof/>
              </w:rPr>
              <w:t>E.3. commonSysComponents.properties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Pr="00DB367E">
              <w:rPr>
                <w:rStyle w:val="Hyperlink"/>
                <w:noProof/>
              </w:rPr>
              <w:t>E.4. 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Pr="00DB367E">
              <w:rPr>
                <w:rStyle w:val="Hyperlink"/>
                <w:noProof/>
              </w:rPr>
              <w:t>E.5. extdCtlgSrvrForDeckerLite.properties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Pr="00DB367E">
              <w:rPr>
                <w:rStyle w:val="Hyperlink"/>
                <w:noProof/>
              </w:rPr>
              <w:t>E.6. PulishedRoots.xml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Pr="00DB367E">
              <w:rPr>
                <w:rStyle w:val="Hyperlink"/>
                <w:noProof/>
              </w:rPr>
              <w:t>E.7. Set up to access googledrive based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Pr="00DB367E">
              <w:rPr>
                <w:rStyle w:val="Hyperlink"/>
                <w:noProof/>
              </w:rPr>
              <w:t>E.8. Additional set up WebDAV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Pr="00DB367E">
              <w:rPr>
                <w:rStyle w:val="Hyperlink"/>
                <w:noProof/>
              </w:rPr>
              <w:t>F. Orchestrators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Pr="00DB367E">
              <w:rPr>
                <w:rStyle w:val="Hyperlink"/>
                <w:noProof/>
              </w:rPr>
              <w:t>F.1. ClientOrchestrator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Pr="00DB367E">
              <w:rPr>
                <w:rStyle w:val="Hyperlink"/>
                <w:noProof/>
              </w:rPr>
              <w:t>F.2. 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901E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Pr="00DB367E">
              <w:rPr>
                <w:rStyle w:val="Hyperlink"/>
                <w:noProof/>
              </w:rPr>
              <w:t>F.3. ExtendedServerOrchestrator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901E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Pr="00DB367E">
              <w:rPr>
                <w:rStyle w:val="Hyperlink"/>
                <w:noProof/>
              </w:rPr>
              <w:t>G. UI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1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1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2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2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36DDC61D" w14:textId="77777777" w:rsidR="004C0618" w:rsidRDefault="004C0618" w:rsidP="004C0618">
      <w:pPr>
        <w:pStyle w:val="Heading2"/>
      </w:pPr>
    </w:p>
    <w:p w14:paraId="77781F94" w14:textId="558336B9" w:rsidR="004C0618" w:rsidRDefault="004C0618" w:rsidP="004C0618">
      <w:pPr>
        <w:pStyle w:val="Heading2"/>
      </w:pPr>
      <w:bookmarkStart w:id="3" w:name="_Toc29244578"/>
      <w:r>
        <w:t xml:space="preserve">C. Configure the </w:t>
      </w:r>
      <w:proofErr w:type="spellStart"/>
      <w:r>
        <w:t>DocCentral</w:t>
      </w:r>
      <w:r w:rsidR="006C71D0">
        <w:t>’s</w:t>
      </w:r>
      <w:bookmarkEnd w:id="3"/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4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4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5" w:name="_Toc29244580"/>
      <w:r>
        <w:lastRenderedPageBreak/>
        <w:t>E</w:t>
      </w:r>
      <w:r w:rsidR="002E4A90">
        <w:t>. Property files &amp; xml</w:t>
      </w:r>
      <w:bookmarkEnd w:id="5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6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6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7" w:name="_Hlk28379038"/>
      <w:r w:rsidR="00DD08E7" w:rsidRPr="00DD08E7">
        <w:rPr>
          <w:sz w:val="20"/>
          <w:szCs w:val="20"/>
        </w:rPr>
        <w:t>On all machines.</w:t>
      </w:r>
      <w:bookmarkEnd w:id="7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8" w:name="_Hlk27036831"/>
      <w:bookmarkStart w:id="9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0197D6AF" w14:textId="77777777" w:rsidR="00D462AA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D462A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. </w:t>
      </w:r>
    </w:p>
    <w:p w14:paraId="5B3E9CD9" w14:textId="6922576C" w:rsidR="00AD4148" w:rsidRPr="006B5D75" w:rsidRDefault="00D462AA" w:rsidP="00D462AA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B050"/>
          <w:sz w:val="20"/>
          <w:szCs w:val="20"/>
          <w:highlight w:val="yellow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When stable, keep it YES to speed up</w:t>
      </w:r>
      <w:r w:rsidR="00AD414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9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50F10D06" w:rsidR="00030827" w:rsidRDefault="00851BB8" w:rsidP="00F47751">
      <w:pPr>
        <w:pStyle w:val="Heading3"/>
      </w:pPr>
      <w:bookmarkStart w:id="11" w:name="_Toc29244583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34F5F686" w:rsidR="00291F7E" w:rsidRDefault="00851BB8" w:rsidP="00F47751">
      <w:pPr>
        <w:pStyle w:val="Heading3"/>
      </w:pPr>
      <w:bookmarkStart w:id="14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lastRenderedPageBreak/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6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29244588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29244590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29244591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lastRenderedPageBreak/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244593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51949"/>
    <w:rsid w:val="0005670E"/>
    <w:rsid w:val="000818E9"/>
    <w:rsid w:val="000A1C68"/>
    <w:rsid w:val="000D4A11"/>
    <w:rsid w:val="000D617E"/>
    <w:rsid w:val="000D76D4"/>
    <w:rsid w:val="000E42EA"/>
    <w:rsid w:val="0010048E"/>
    <w:rsid w:val="00112AA9"/>
    <w:rsid w:val="0011653B"/>
    <w:rsid w:val="00121FA1"/>
    <w:rsid w:val="00132217"/>
    <w:rsid w:val="00136F62"/>
    <w:rsid w:val="001428CE"/>
    <w:rsid w:val="00146D17"/>
    <w:rsid w:val="0015044D"/>
    <w:rsid w:val="0015196C"/>
    <w:rsid w:val="001643B4"/>
    <w:rsid w:val="001A1A75"/>
    <w:rsid w:val="001A1C2E"/>
    <w:rsid w:val="001C1AE0"/>
    <w:rsid w:val="001F1AB7"/>
    <w:rsid w:val="00213B30"/>
    <w:rsid w:val="00217E4B"/>
    <w:rsid w:val="00256BC5"/>
    <w:rsid w:val="00261A38"/>
    <w:rsid w:val="00271AE0"/>
    <w:rsid w:val="002840A0"/>
    <w:rsid w:val="00291F7E"/>
    <w:rsid w:val="002A5A11"/>
    <w:rsid w:val="002C617D"/>
    <w:rsid w:val="002D7A78"/>
    <w:rsid w:val="002E4A90"/>
    <w:rsid w:val="002E54F6"/>
    <w:rsid w:val="002F587B"/>
    <w:rsid w:val="003009A5"/>
    <w:rsid w:val="0031158A"/>
    <w:rsid w:val="00312449"/>
    <w:rsid w:val="003164BE"/>
    <w:rsid w:val="00353920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3F6FEB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7737"/>
    <w:rsid w:val="00533E01"/>
    <w:rsid w:val="0054049A"/>
    <w:rsid w:val="005744A3"/>
    <w:rsid w:val="00574D16"/>
    <w:rsid w:val="005966C5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52D5C"/>
    <w:rsid w:val="00686ADB"/>
    <w:rsid w:val="006905FC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32EE4"/>
    <w:rsid w:val="00742D78"/>
    <w:rsid w:val="0074472A"/>
    <w:rsid w:val="007518FD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934CC"/>
    <w:rsid w:val="008A00AE"/>
    <w:rsid w:val="008A530A"/>
    <w:rsid w:val="008E149A"/>
    <w:rsid w:val="008F7D78"/>
    <w:rsid w:val="00901E63"/>
    <w:rsid w:val="00942DCF"/>
    <w:rsid w:val="009434F3"/>
    <w:rsid w:val="00951B2B"/>
    <w:rsid w:val="00954FD3"/>
    <w:rsid w:val="0096359F"/>
    <w:rsid w:val="009740BF"/>
    <w:rsid w:val="00985D9E"/>
    <w:rsid w:val="00994D4D"/>
    <w:rsid w:val="00996781"/>
    <w:rsid w:val="009A11B5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67C4"/>
    <w:rsid w:val="00D133B5"/>
    <w:rsid w:val="00D13DA6"/>
    <w:rsid w:val="00D144C6"/>
    <w:rsid w:val="00D25F1A"/>
    <w:rsid w:val="00D462AA"/>
    <w:rsid w:val="00D627B3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B526E-241E-403B-A396-E1172144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162</cp:revision>
  <dcterms:created xsi:type="dcterms:W3CDTF">2019-12-14T08:01:00Z</dcterms:created>
  <dcterms:modified xsi:type="dcterms:W3CDTF">2020-01-06T18:09:00Z</dcterms:modified>
</cp:coreProperties>
</file>