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before="0" w:after="80" w:line="330" w:lineRule="auto"/>
      </w:pPr>
      <w:r>
        <w:rPr>
          <w:color w:val="123A52"/>
          <w:sz w:val="34"/>
          <w:szCs w:val="34"/>
        </w:rPr>
        <w:t xml:space="preserve">SupplyChainsAI SEO/GEO 状态更新与 14/28 天跟进计划</w:t>
      </w:r>
    </w:p>
    <w:p>
      <w:pPr>
        <w:spacing w:before="0" w:after="180" w:line="330" w:lineRule="auto"/>
      </w:pPr>
      <w:r>
        <w:rPr>
          <w:color w:val="64748B"/>
          <w:sz w:val="18"/>
          <w:szCs w:val="18"/>
        </w:rPr>
        <w:t xml:space="preserve">基于《网站修正与升级方案 v1.2》更新｜证据日期：2026-08-13｜文档性质：状态与规划，不修改页面</w:t>
      </w:r>
    </w:p>
    <w:p>
      <w:pPr>
        <w:spacing w:before="80" w:after="160" w:line="330" w:lineRule="auto"/>
        <w:shd w:val="clear" w:color="auto" w:fill="EEF7F8"/>
        <w:pBdr>
          <w:left w:val="single" w:sz="24" w:space="8" w:color="27869A"/>
        </w:pBdr>
      </w:pPr>
      <w:r>
        <w:rPr>
          <w:sz w:val="20"/>
          <w:szCs w:val="20"/>
        </w:rPr>
        <w:t xml:space="preserve">结论：SEO 技术基础已经完成大部分，但 v1.2 中的 SEO/GEO 项目并非全部完成。当前已具备可抓取、规范 URL、基础结构化数据、页面元数据、图片语义与布局稳定性；仍待完成的重点是 Search Console/Bing 监控、OG/Twitter、可信 lastmod、页面级 Schema，以及需要审批的 CDN/跳转安全配置。Headphones 内容增强属于客户内容决策，本阶段只列建议，不修改内容、结构或 UI。</w:t>
      </w:r>
    </w:p>
    <w:p>
      <w:pPr>
        <w:pStyle w:val="Heading1"/>
        <w:spacing w:before="260" w:after="90" w:line="330" w:lineRule="auto"/>
      </w:pPr>
      <w:r>
        <w:rPr>
          <w:color w:val="175C72"/>
          <w:sz w:val="27"/>
          <w:szCs w:val="27"/>
        </w:rPr>
        <w:t xml:space="preserve">一、图片稳定性与 CDN 的关系</w:t>
      </w:r>
    </w:p>
    <w:p>
      <w:pPr>
        <w:spacing w:before="0" w:after="120" w:line="330" w:lineRule="auto"/>
      </w:pPr>
      <w:r>
        <w:rPr>
          <w:sz w:val="20"/>
          <w:szCs w:val="20"/>
        </w:rPr>
        <w:t xml:space="preserve">本轮通过真实 width/height、正确 alt、标准 &lt;img src&gt; 和自动回归测试，做到：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图片下载前浏览器已经知道宽高比，可预留空间，降低布局跳动（CLS）。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Google 与辅助技术可以从 alt 和附近正文理解图片内容。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44 张首页业务图片的声明尺寸与真实文件尺寸一致，避免错误占位。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即使图片加载慢，文字和页面结构也不会因图片尺寸未知而大幅移动。</w:t>
      </w:r>
    </w:p>
    <w:p>
      <w:pPr>
        <w:spacing w:before="0" w:after="120" w:line="330" w:lineRule="auto"/>
      </w:pPr>
      <w:r>
        <w:rPr>
          <w:sz w:val="20"/>
          <w:szCs w:val="20"/>
        </w:rPr>
        <w:t xml:space="preserve">CDN 不是以上能力的前提。CDN 主要通过就近传输、压缩和缓存改善首屏加载速度并降低服务器负载；它不会替代图片说明文字、首选网址声明、正文质量或真实图片尺寸。</w:t>
      </w:r>
    </w:p>
    <w:p>
      <w:pPr>
        <w:spacing w:before="80" w:after="160" w:line="330" w:lineRule="auto"/>
        <w:shd w:val="clear" w:color="auto" w:fill="FFF8E7"/>
        <w:pBdr>
          <w:left w:val="single" w:sz="24" w:space="8" w:color="D59B2D"/>
        </w:pBdr>
      </w:pPr>
      <w:r>
        <w:rPr>
          <w:sz w:val="20"/>
          <w:szCs w:val="20"/>
        </w:rPr>
        <w:t xml:space="preserve">当前线上网页正文（约 94 KB）与主样式文件（约 80 KB）未使用常见网页压缩格式，带版本号的样式文件仍只缓存 5 分钟。CDN/缓存优化有价值，但涉及 CloudBase 费用、域名结构、缓存更新和回滚，必须单独审批后实施。</w:t>
      </w:r>
    </w:p>
    <w:p>
      <w:pPr>
        <w:pStyle w:val="Heading1"/>
        <w:spacing w:before="260" w:after="90" w:line="330" w:lineRule="auto"/>
      </w:pPr>
      <w:r>
        <w:rPr>
          <w:color w:val="175C72"/>
          <w:sz w:val="27"/>
          <w:szCs w:val="27"/>
        </w:rPr>
        <w:t xml:space="preserve">二、v1.2 SEO/GEO 项目最新状态</w:t>
      </w:r>
    </w:p>
    <w:tbl>
      <w:tblPr>
        <w:tblW w:w="0" w:type="auto"/>
        <w:tblLayout w:type="fixed"/>
        <w:tblBorders>
          <w:top w:val="single" w:sz="4" w:color="B8C6CC"/>
          <w:left w:val="single" w:sz="4" w:color="B8C6CC"/>
          <w:bottom w:val="single" w:sz="4" w:color="B8C6CC"/>
          <w:right w:val="single" w:sz="4" w:color="B8C6CC"/>
          <w:insideH w:val="single" w:sz="4" w:color="B8C6CC"/>
          <w:insideV w:val="single" w:sz="4" w:color="B8C6CC"/>
        </w:tblBorders>
      </w:tblPr>
      <w:tblGrid>
        <w:gridCol w:w="2500"/>
        <w:gridCol w:w="1700"/>
        <w:gridCol w:w="5200"/>
      </w:tblGrid>
      <w:tr>
        <w:trPr>
          <w:tblHeader/>
        </w:trPr>
        <w:tc>
          <w:tcPr>
            <w:tcW w:w="25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v1.2 项目</w:t>
            </w:r>
          </w:p>
        </w:tc>
        <w:tc>
          <w:tcPr>
            <w:tcW w:w="17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最新状态</w:t>
            </w:r>
          </w:p>
        </w:tc>
        <w:tc>
          <w:tcPr>
            <w:tcW w:w="52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已验证结果 / 剩余条件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基础 JSON-LD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已完成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公开页已有 Organization、WebSite、WebPage；页面级 Article/Product/Breadcrumb 尚未实施。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OG / Twitter Card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待完成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四个公开页目前均未观察到 og:title、og:image、twitter:card；需要获批的 1200×630 位图与共享布局协调。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Title / Meta Description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已完成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首页、OEM、Portfolio、Headphones 唯一且在审查长度内；已验证真实传入页面布局。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Canonical URL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已完成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四个公开页与 sitemap 一致；Headphones 尾斜杠已上线。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HTML lang / Viewport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已完成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英文站点语言与移动 viewport 已设置；未发布多语言前不添加 hreflang。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Sitemap / Robots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基础完成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robots.txt 为 200；sitemap 当前包含 4 个公开 URL并排除私有页。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Sitemap 内容更新时间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等待可信数据源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当前没有内容更新时间；不能把程序构建日期伪装成页面更新时间，需要内容负责人和经确认的更新时间字段。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H1 与标题层级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公开页完成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四个可索引页面均为一个 H1；明确不参与搜索收录的私有页面不作为搜索落地页优化。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图片 alt 与尺寸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已完成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构建路由所有图片都有 alt/width/height；44 张首页业务图尺寸与真实文件一致。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/headphones 可抓取性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基础完成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核心 OEM、MOQ、Bluetooth、Inquiry 文本在静态 HTML 中；产品目录在浏览器加载后可用。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Search Console / Bing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状态未验证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需由账号负责人确认是否已有站点、权限和 sitemap提交记录；只补缺失项，不重复创建。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Article / Product / Breadcrumb Schema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未实施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只对页面可见、可证明的字段实施；不为获得富结果而编造数据。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llms.txt / GEO 可提取内容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待后续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llms.txt 当前 404；问答、来源标注、可引用事实需要客户确认内容和 owner。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品牌统一为 SupplyChainsAI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客户决策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线上标题仍使用 Diversity Technology Limited；涉及公开品牌与法定公司名策略，不作纯 SEO 修改。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邮箱切换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与 v1.2 目标不同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线上为 info@supplychainsai.com，不是 v1.2 的 hello@supplychainsai.com；需确认邮箱负责人和收信能力。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FB / IG / YT 页脚链接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待客户确认链接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线上页脚未发现相关社媒链接。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独立认证佐证页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未实施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首页/Portfolio 已有认证图片，但 v1.2 描述的独立证据页和逐项佐证未实施。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Success Stories Article Schema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未实施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当前为 Portfolio 汇总页和 WebPage Schema；案例日期、作者、来源需先确认。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301 / HSTS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需基础设施批准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HTTP、www 当前均返回 200且无 HSTS；canonical 已缓解重复信号，但 301/HSTS 需明确主域和回滚入口。</w:t>
            </w:r>
          </w:p>
        </w:tc>
      </w:tr>
    </w:tbl>
    <w:p>
      <w:pPr>
        <w:spacing w:before="0" w:after="80" w:line="330" w:lineRule="auto"/>
      </w:pPr>
      <w:r>
        <w:t xml:space="preserve"/>
      </w:r>
    </w:p>
    <w:p>
      <w:pPr>
        <w:pStyle w:val="Heading1"/>
        <w:spacing w:before="260" w:after="90" w:line="330" w:lineRule="auto"/>
      </w:pPr>
      <w:r>
        <w:rPr>
          <w:color w:val="175C72"/>
          <w:sz w:val="27"/>
          <w:szCs w:val="27"/>
        </w:rPr>
        <w:t xml:space="preserve">三、页面质量与客户内容机会</w:t>
      </w:r>
    </w:p>
    <w:tbl>
      <w:tblPr>
        <w:tblW w:w="0" w:type="auto"/>
        <w:tblLayout w:type="fixed"/>
        <w:tblBorders>
          <w:top w:val="single" w:sz="4" w:color="B8C6CC"/>
          <w:left w:val="single" w:sz="4" w:color="B8C6CC"/>
          <w:bottom w:val="single" w:sz="4" w:color="B8C6CC"/>
          <w:right w:val="single" w:sz="4" w:color="B8C6CC"/>
          <w:insideH w:val="single" w:sz="4" w:color="B8C6CC"/>
          <w:insideV w:val="single" w:sz="4" w:color="B8C6CC"/>
        </w:tblBorders>
      </w:tblPr>
      <w:tblGrid>
        <w:gridCol w:w="2500"/>
        <w:gridCol w:w="1700"/>
        <w:gridCol w:w="5200"/>
      </w:tblGrid>
      <w:tr>
        <w:trPr>
          <w:tblHeader/>
        </w:trPr>
        <w:tc>
          <w:tcPr>
            <w:tcW w:w="25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页面</w:t>
            </w:r>
          </w:p>
        </w:tc>
        <w:tc>
          <w:tcPr>
            <w:tcW w:w="17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当前技术/内容基础</w:t>
            </w:r>
          </w:p>
        </w:tc>
        <w:tc>
          <w:tcPr>
            <w:tcW w:w="52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下一阶段可讨论内容（本阶段不实施）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首页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强：流程、工厂、团队、质量、认证图片与客户参考信息均可见。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补充可公开产能、设备、交期范围和正文内部链接；所有数字需客户证据。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/oem/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强：能力、流程、优势、工厂与询盘闭环明确。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材料、工艺、打样周期、质量标准、可公开案例链接。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/portfolio/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中上：案例、客户、认证和专利资料丰富。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选择 3–5 个案例制作独立详情；补问题、过程、结果、日期、作者和审核负责人。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/headphones/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技术合格但内容深度最弱：主题明确，静态核心内容可抓取。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客户选择并提供：产品类型、材料、驱动单元、测试、定制、合规范围、MOQ/交期、采购 FAQ。未确认前不扩写。</w:t>
            </w:r>
          </w:p>
        </w:tc>
      </w:tr>
    </w:tbl>
    <w:p>
      <w:pPr>
        <w:spacing w:before="0" w:after="80" w:line="330" w:lineRule="auto"/>
      </w:pPr>
      <w:r>
        <w:t xml:space="preserve"/>
      </w:r>
    </w:p>
    <w:p>
      <w:pPr>
        <w:pStyle w:val="Heading1"/>
        <w:spacing w:before="260" w:after="90" w:line="330" w:lineRule="auto"/>
      </w:pPr>
      <w:r>
        <w:rPr>
          <w:color w:val="175C72"/>
          <w:sz w:val="27"/>
          <w:szCs w:val="27"/>
        </w:rPr>
        <w:t xml:space="preserve">四、监控与决策时间表</w:t>
      </w:r>
    </w:p>
    <w:p>
      <w:pPr>
        <w:spacing w:before="0" w:after="120" w:line="330" w:lineRule="auto"/>
      </w:pPr>
      <w:r>
        <w:rPr>
          <w:sz w:val="20"/>
          <w:szCs w:val="20"/>
        </w:rPr>
        <w:t xml:space="preserve">不建议等到第 14 天才开始监控。但当前无法确认 Search Console/Bing 是否已接入。先由账号负责人核实；将“权限可用且首次完整基线记录完成”的日期定义为 D0，后续日期从真实 D0 顺延。</w:t>
      </w:r>
    </w:p>
    <w:tbl>
      <w:tblPr>
        <w:tblW w:w="0" w:type="auto"/>
        <w:tblLayout w:type="fixed"/>
        <w:tblBorders>
          <w:top w:val="single" w:sz="4" w:color="B8C6CC"/>
          <w:left w:val="single" w:sz="4" w:color="B8C6CC"/>
          <w:bottom w:val="single" w:sz="4" w:color="B8C6CC"/>
          <w:right w:val="single" w:sz="4" w:color="B8C6CC"/>
          <w:insideH w:val="single" w:sz="4" w:color="B8C6CC"/>
          <w:insideV w:val="single" w:sz="4" w:color="B8C6CC"/>
        </w:tblBorders>
      </w:tblPr>
      <w:tblGrid>
        <w:gridCol w:w="2500"/>
        <w:gridCol w:w="1700"/>
        <w:gridCol w:w="5200"/>
      </w:tblGrid>
      <w:tr>
        <w:trPr>
          <w:tblHeader/>
        </w:trPr>
        <w:tc>
          <w:tcPr>
            <w:tcW w:w="25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时间</w:t>
            </w:r>
          </w:p>
        </w:tc>
        <w:tc>
          <w:tcPr>
            <w:tcW w:w="17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动作</w:t>
            </w:r>
          </w:p>
        </w:tc>
        <w:tc>
          <w:tcPr>
            <w:tcW w:w="52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判断范围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确认与 D0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核实 Search Console/Bing 现有站点、权限、sitemap和历史数据；只补缺失项。完成首次完整基线记录的日期为 D0。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建立观测，不做排名结论。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D+14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第一次健康检查：Google是否重抓、canonical是否被采纳、是否出现“已抓取未索引”、结构化数据错误、页面体验异常。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只修确定的技术错误；不因两周排名波动改内容。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D+28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第一轮绩效分析：页面/查询曝光、点击、点击率、平均位置；识别已有曝光但表现不足或被错误页面承接的查询。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形成第一批优化建议；任何 CDN、跳转和内容项仍走各自审批门。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D+56</w:t>
            </w:r>
          </w:p>
        </w:tc>
        <w:tc>
          <w:tcPr>
            <w:tcW w:w="17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复核趋势，比较两个 28 天窗口；评估已批准优化的效果。</w:t>
            </w:r>
          </w:p>
        </w:tc>
        <w:tc>
          <w:tcPr>
            <w:tcW w:w="5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判断是否扩大内容建设、外链和 GEO 工作。</w:t>
            </w:r>
          </w:p>
        </w:tc>
      </w:tr>
    </w:tbl>
    <w:p>
      <w:pPr>
        <w:spacing w:before="0" w:after="80" w:line="330" w:lineRule="auto"/>
      </w:pPr>
      <w:r>
        <w:t xml:space="preserve"/>
      </w:r>
    </w:p>
    <w:p>
      <w:pPr>
        <w:pStyle w:val="Heading1"/>
        <w:spacing w:before="260" w:after="90" w:line="330" w:lineRule="auto"/>
      </w:pPr>
      <w:r>
        <w:rPr>
          <w:color w:val="175C72"/>
          <w:sz w:val="27"/>
          <w:szCs w:val="27"/>
        </w:rPr>
        <w:t xml:space="preserve">五、D+28 前可以准备但不应盲目上线的技术项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1. Search Console/Bing 状态核对清单、URL检查记录和月度报告模板。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2. CDN 压缩、带版本号资源的长期缓存、缓存更新与回滚设计；获费用和域名结构批准后才实施。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3. HTTP→HTTPS、www→主域 301与HSTS设计；获主域/回滚批准后才实施。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4. 可信内容更新时间模型设计；有明确内容负责人后实施。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5. OG/Twitter技术方案；获批 1200×630图片且并发工作合并后实施。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6. 页面级结构化数据字段清单与 Google 富结果测试计划；只标记可见事实。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7. 图片 sitemap、响应式图片与压缩候选审计；先用 Google 速度实验室数据与真实用户数据确定瓶颈。</w:t>
      </w:r>
    </w:p>
    <w:p>
      <w:pPr>
        <w:pStyle w:val="Heading1"/>
        <w:spacing w:before="260" w:after="90" w:line="330" w:lineRule="auto"/>
      </w:pPr>
      <w:r>
        <w:rPr>
          <w:color w:val="175C72"/>
          <w:sz w:val="27"/>
          <w:szCs w:val="27"/>
        </w:rPr>
        <w:t xml:space="preserve">六、本阶段边界与客户需要提供的内容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本阶段不修改 Slogan、Hero、页面结构、导航、UI、产品范围或文案。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不创建未经确认的 FAQ、认证范围、交期、MOQ、产能或案例结果。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客户后续可选择提供：Headphones规格/测试/定制资料、案例详情与日期、认证适用范围、品牌名称策略、社媒链接、邮箱负责人、OG分享图。</w:t>
      </w:r>
    </w:p>
    <w:p>
      <w:pPr>
        <w:spacing w:before="0" w:after="65" w:line="330" w:lineRule="auto"/>
        <w:ind w:left="480" w:hanging="240"/>
      </w:pPr>
      <w:r>
        <w:rPr>
          <w:sz w:val="20"/>
          <w:szCs w:val="20"/>
        </w:rPr>
        <w:t xml:space="preserve">• 下一次实施以 D+14/D+28数据和客户选择为输入，从最新生产分支新开，不直接在本规划分支改代码。</w:t>
      </w:r>
    </w:p>
    <w:p>
      <w:pPr>
        <w:pStyle w:val="Heading1"/>
        <w:spacing w:before="260" w:after="90" w:line="330" w:lineRule="auto"/>
      </w:pPr>
      <w:r>
        <w:rPr>
          <w:color w:val="175C72"/>
          <w:sz w:val="27"/>
          <w:szCs w:val="27"/>
        </w:rPr>
        <w:t xml:space="preserve">七、客户确认清单</w:t>
      </w:r>
    </w:p>
    <w:tbl>
      <w:tblPr>
        <w:tblW w:w="0" w:type="auto"/>
        <w:tblLayout w:type="fixed"/>
        <w:tblBorders>
          <w:top w:val="single" w:sz="4" w:color="B8C6CC"/>
          <w:left w:val="single" w:sz="4" w:color="B8C6CC"/>
          <w:bottom w:val="single" w:sz="4" w:color="B8C6CC"/>
          <w:right w:val="single" w:sz="4" w:color="B8C6CC"/>
          <w:insideH w:val="single" w:sz="4" w:color="B8C6CC"/>
          <w:insideV w:val="single" w:sz="4" w:color="B8C6CC"/>
        </w:tblBorders>
      </w:tblPr>
      <w:tblGrid>
        <w:gridCol w:w="2500"/>
        <w:gridCol w:w="1900"/>
        <w:gridCol w:w="1800"/>
        <w:gridCol w:w="3200"/>
      </w:tblGrid>
      <w:tr>
        <w:trPr>
          <w:tblHeader/>
        </w:trPr>
        <w:tc>
          <w:tcPr>
            <w:tcW w:w="25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需要确认</w:t>
            </w:r>
          </w:p>
        </w:tc>
        <w:tc>
          <w:tcPr>
            <w:tcW w:w="19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建议负责人</w:t>
            </w:r>
          </w:p>
        </w:tc>
        <w:tc>
          <w:tcPr>
            <w:tcW w:w="18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需要时间</w:t>
            </w:r>
          </w:p>
        </w:tc>
        <w:tc>
          <w:tcPr>
            <w:tcW w:w="3200" w:type="dxa"/>
            <w:shd w:val="clear" w:color="auto" w:fill="DFEFF2"/>
            <w:vAlign w:val="top"/>
          </w:tcPr>
          <w:p>
            <w:pPr>
              <w:spacing w:before="0" w:after="40" w:line="330" w:lineRule="auto"/>
            </w:pPr>
            <w:r>
              <w:rPr>
                <w:b/>
                <w:sz w:val="19"/>
                <w:szCs w:val="19"/>
              </w:rPr>
              <w:t xml:space="preserve">不确认的影响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Search Console/Bing 是否已有站点、权限和 sitemap</w:t>
            </w:r>
          </w:p>
        </w:tc>
        <w:tc>
          <w:tcPr>
            <w:tcW w:w="19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网站/营销账号负责人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尽快，用于确定 D0</w:t>
            </w:r>
          </w:p>
        </w:tc>
        <w:tc>
          <w:tcPr>
            <w:tcW w:w="3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无法建立可靠的 14/28 天基线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公开品牌名与法定公司名策略</w:t>
            </w:r>
          </w:p>
        </w:tc>
        <w:tc>
          <w:tcPr>
            <w:tcW w:w="19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客户管理层/品牌负责人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D+28 内容决策前</w:t>
            </w:r>
          </w:p>
        </w:tc>
        <w:tc>
          <w:tcPr>
            <w:tcW w:w="3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保持现有 Diversity Technology Limited 展示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官方邮箱与 FB/IG/YT 链接</w:t>
            </w:r>
          </w:p>
        </w:tc>
        <w:tc>
          <w:tcPr>
            <w:tcW w:w="19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品牌/运营负责人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D+28 前</w:t>
            </w:r>
          </w:p>
        </w:tc>
        <w:tc>
          <w:tcPr>
            <w:tcW w:w="3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不修改页脚联系方式和社媒入口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OG 分享图（1200×630）</w:t>
            </w:r>
          </w:p>
        </w:tc>
        <w:tc>
          <w:tcPr>
            <w:tcW w:w="19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品牌/设计负责人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OG实施前</w:t>
            </w:r>
          </w:p>
        </w:tc>
        <w:tc>
          <w:tcPr>
            <w:tcW w:w="3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OG/Twitter继续等待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CDN费用、域名和回滚方案</w:t>
            </w:r>
          </w:p>
        </w:tc>
        <w:tc>
          <w:tcPr>
            <w:tcW w:w="19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技术/财务/域名负责人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性能实施前</w:t>
            </w:r>
          </w:p>
        </w:tc>
        <w:tc>
          <w:tcPr>
            <w:tcW w:w="3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仅保留设计，不启用压缩/长缓存</w:t>
            </w:r>
          </w:p>
        </w:tc>
      </w:tr>
      <w:tr>
        <w:tc>
          <w:tcPr>
            <w:tcW w:w="25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Headphones与案例可公开事实</w:t>
            </w:r>
          </w:p>
        </w:tc>
        <w:tc>
          <w:tcPr>
            <w:tcW w:w="19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产品/销售/质量负责人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D+28 决策时</w:t>
            </w:r>
          </w:p>
        </w:tc>
        <w:tc>
          <w:tcPr>
            <w:tcW w:w="3200" w:type="dxa"/>
            <w:shd w:val="clear" w:color="auto" w:fill="FFFFFF"/>
            <w:vAlign w:val="top"/>
          </w:tcPr>
          <w:p>
            <w:pPr>
              <w:spacing w:before="0" w:after="40" w:line="330" w:lineRule="auto"/>
            </w:pPr>
            <w:r>
              <w:rPr>
                <w:sz w:val="19"/>
                <w:szCs w:val="19"/>
              </w:rPr>
              <w:t xml:space="preserve">不扩写页面内容，不新增 FAQ/案例详情</w:t>
            </w:r>
          </w:p>
        </w:tc>
      </w:tr>
    </w:tbl>
    <w:p>
      <w:pPr>
        <w:spacing w:before="0" w:after="80" w:line="330" w:lineRule="auto"/>
      </w:pPr>
      <w:r>
        <w:t xml:space="preserve"/>
      </w:r>
    </w:p>
    <w:p>
      <w:pPr>
        <w:spacing w:before="0" w:after="120" w:line="330" w:lineRule="auto"/>
      </w:pPr>
      <w:r>
        <w:rPr>
          <w:sz w:val="20"/>
          <w:szCs w:val="20"/>
        </w:rPr>
        <w:t xml:space="preserve">术语说明：JSON-LD 是提供给搜索引擎的结构化页面说明；canonical 是页面声明的首选网址；sitemap 是提交给搜索引擎的公开页面清单；OG/Twitter Card 是社交平台分享预览信息；HSTS 是浏览器会记忆一段时间的强制 HTTPS策略。Google通常需要数天到数周重抓和重处理页面；请求抓取不保证立即或一定收录。D+14用于健康检查，D+28用于第一轮数据决策，不构成排名或流量承诺。</w:t>
      </w:r>
    </w:p>
    <w:sectPr>
      <w:pgSz w:w="11906" w:h="16838"/>
      <w:pgMar w:top="900" w:right="720" w:bottom="900" w:left="720" w:header="360" w:footer="36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lang w:val="en-US" w:eastAsia="zh-CN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qFormat/>
  </w:style>
  <w:style w:type="paragraph" w:styleId="Heading1">
    <w:name w:val="heading 1"/>
    <w:basedOn w:val="Normal"/>
    <w:outlineLvl w:val="0"/>
    <w:qFormat/>
  </w:style>
  <w:style w:type="paragraph" w:styleId="Heading2">
    <w:name w:val="heading 2"/>
    <w:basedOn w:val="Normal"/>
    <w:outlineLvl w:val="1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