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Vendas — Política de Senhas (Modelo)</w:t>
      </w:r>
    </w:p>
    <w:p>
      <w:r>
        <w:t>1. TAMANHO MÍNIMO: 12 caracteres</w:t>
        <w:br/>
        <w:t>2. COMPLEXIDADE: maiúsculas, minúsculas, números, símbolos</w:t>
        <w:br/>
        <w:t>3. VALIDADE: troca a cada 90 dias ou em vazamento</w:t>
        <w:br/>
        <w:t>4. PROIBIDO: reutilizar senha em serviços diferentes</w:t>
        <w:br/>
        <w:t>5. COFRE: senhas guardadas em Bitwarden/KeePass</w:t>
        <w:br/>
        <w:t>6. 2FA OBRIGATÓRIO para acesso administrativo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