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Smart Warehouse IoT: Technical Requirements Document</w:t>
      </w:r>
    </w:p>
    <w:p>
      <w:pPr/>
      <w:r>
        <w:t xml:space="preserve">Draft v1. Supersedes the AWS plan: the whole cloud side runs on Supabase. </w:t>
      </w:r>
      <w:r>
        <w:rPr>
          <w:b/>
        </w:rPr>
        <w:t xml:space="preserve">[DECISION]</w:t>
      </w:r>
      <w:r>
        <w:t xml:space="preserve"> marks a call the team must make. </w:t>
      </w:r>
      <w:r>
        <w:rPr>
          <w:b/>
        </w:rPr>
        <w:t xml:space="preserve">[VERIFY]</w:t>
      </w:r>
      <w:r>
        <w:t xml:space="preserve"> marks something not yet confirmed.</w:t>
      </w:r>
    </w:p>
    <w:p>
      <w:pPr>
        <w:pStyle w:val="Heading2"/>
      </w:pPr>
      <w:r>
        <w:t xml:space="preserve">1. Purpose and inputs</w:t>
      </w:r>
    </w:p>
    <w:p>
      <w:pPr/>
      <w:r>
        <w:t xml:space="preserve">This TRD turns the PRD into a build plan. It is based on the PRD, the circuit diagram, and a read-only inspection of the project folder. It is written so each section can be handed to Hermes agent as the source of truth for one workstream.</w:t>
      </w:r>
    </w:p>
    <w:p>
      <w:pPr>
        <w:pStyle w:val="Heading2"/>
      </w:pPr>
      <w:r>
        <w:t xml:space="preserve">2. What the repo inspection found</w:t>
      </w:r>
    </w:p>
    <w:tbl>
      <w:tblPr>
        <w:tblStyle w:val="TableGrid"/>
        <w:tblW w:w="0" w:type="auto"/>
        <w:tblLayout w:type="fixed"/>
        <w:tblLook w:val="04A0" w:firstRow="1" w:lastRow="0" w:firstColumn="0" w:lastColumn="0" w:noHBand="0" w:noVBand="1"/>
      </w:tblPr>
      <w:tblGrid>
        <w:gridCol w:w="1740"/>
        <w:gridCol w:w="4920"/>
        <w:gridCol w:w="2700"/>
      </w:tblGrid>
      <w:tr>
        <w:trPr>
          <w:tblHeader/>
        </w:trPr>
        <w:tc>
          <w:tcPr>
            <w:tcW w:w="1740" w:type="dxa"/>
            <w:shd w:val="clear" w:color="auto" w:fill="F2F2F2"/>
          </w:tcPr>
          <w:p>
            <w:pPr/>
            <w:r>
              <w:t xml:space="preserve">Area</w:t>
            </w:r>
          </w:p>
        </w:tc>
        <w:tc>
          <w:tcPr>
            <w:tcW w:w="4920" w:type="dxa"/>
            <w:shd w:val="clear" w:color="auto" w:fill="F2F2F2"/>
          </w:tcPr>
          <w:p>
            <w:pPr/>
            <w:r>
              <w:t xml:space="preserve">Finding</w:t>
            </w:r>
          </w:p>
        </w:tc>
        <w:tc>
          <w:tcPr>
            <w:tcW w:w="2700" w:type="dxa"/>
            <w:shd w:val="clear" w:color="auto" w:fill="F2F2F2"/>
          </w:tcPr>
          <w:p>
            <w:pPr/>
            <w:r>
              <w:t xml:space="preserve">Consequence</w:t>
            </w:r>
          </w:p>
        </w:tc>
      </w:tr>
      <w:tr>
        <w:tc>
          <w:tcPr>
            <w:tcW w:w="1740" w:type="dxa"/>
          </w:tcPr>
          <w:p>
            <w:pPr/>
            <w:r>
              <w:t xml:space="preserve">Fusion scripts</w:t>
            </w:r>
          </w:p>
        </w:tc>
        <w:tc>
          <w:tcPr>
            <w:tcW w:w="4920" w:type="dxa"/>
          </w:tcPr>
          <w:p>
            <w:pPr/>
            <w:r>
              <w:t xml:space="preserve">Two Fusion Python scripts: a conveyor generator that stores CargoWeight, ConveyorL, ConveyorH, ConveyorW and RollerD as Fusion attributes, and an animation that routes cargo using a 10 kg threshold. No item name, category, shelf life or tag UID exists. No HTTP, file or database output exists.</w:t>
            </w:r>
          </w:p>
        </w:tc>
        <w:tc>
          <w:tcPr>
            <w:tcW w:w="2700" w:type="dxa"/>
          </w:tcPr>
          <w:p>
            <w:pPr/>
            <w:r>
              <w:t xml:space="preserve">The item data feed to the cloud must be built new.</w:t>
            </w:r>
          </w:p>
        </w:tc>
      </w:tr>
      <w:tr>
        <w:tc>
          <w:tcPr>
            <w:tcW w:w="1740" w:type="dxa"/>
          </w:tcPr>
          <w:p>
            <w:pPr/>
            <w:r>
              <w:t xml:space="preserve">Units</w:t>
            </w:r>
          </w:p>
        </w:tc>
        <w:tc>
          <w:tcPr>
            <w:tcW w:w="4920" w:type="dxa"/>
          </w:tcPr>
          <w:p>
            <w:pPr/>
            <w:r>
              <w:t xml:space="preserve">Fusion stores dimensions in cm while its UI shows mm.</w:t>
            </w:r>
          </w:p>
        </w:tc>
        <w:tc>
          <w:tcPr>
            <w:tcW w:w="2700" w:type="dxa"/>
          </w:tcPr>
          <w:p>
            <w:pPr/>
            <w:r>
              <w:t xml:space="preserve">Only weight (kg) is needed for the demo, so avoid sending dimensions.</w:t>
            </w:r>
          </w:p>
        </w:tc>
      </w:tr>
      <w:tr>
        <w:tc>
          <w:tcPr>
            <w:tcW w:w="1740" w:type="dxa"/>
          </w:tcPr>
          <w:p>
            <w:pPr/>
            <w:r>
              <w:t xml:space="preserve">Forecaster</w:t>
            </w:r>
          </w:p>
        </w:tc>
        <w:tc>
          <w:tcPr>
            <w:tcW w:w="4920" w:type="dxa"/>
          </w:tcPr>
          <w:p>
            <w:pPr/>
            <w:r>
              <w:t xml:space="preserve">LightGBM quantile regression (p10, p50, p90) on one synthetic daily series. It trains on every run, keeps results in memory only (the last 90 rows), saves no model or data, and has unpinned dependencies. It was not executed during inspection.</w:t>
            </w:r>
          </w:p>
        </w:tc>
        <w:tc>
          <w:tcPr>
            <w:tcW w:w="2700" w:type="dxa"/>
          </w:tcPr>
          <w:p>
            <w:pPr/>
            <w:r>
              <w:t xml:space="preserve">It needs per-product series, a forward horizon, and a persistence step.</w:t>
            </w:r>
          </w:p>
        </w:tc>
      </w:tr>
      <w:tr>
        <w:tc>
          <w:tcPr>
            <w:tcW w:w="1740" w:type="dxa"/>
          </w:tcPr>
          <w:p>
            <w:pPr/>
            <w:r>
              <w:t xml:space="preserve">Data</w:t>
            </w:r>
          </w:p>
        </w:tc>
        <w:tc>
          <w:tcPr>
            <w:tcW w:w="4920" w:type="dxa"/>
          </w:tcPr>
          <w:p>
            <w:pPr/>
            <w:r>
              <w:t xml:space="preserve">No sample datasets exist.</w:t>
            </w:r>
          </w:p>
        </w:tc>
        <w:tc>
          <w:tcPr>
            <w:tcW w:w="2700" w:type="dxa"/>
          </w:tcPr>
          <w:p>
            <w:pPr/>
            <w:r>
              <w:t xml:space="preserve">Demo data must be created.</w:t>
            </w:r>
          </w:p>
        </w:tc>
      </w:tr>
      <w:tr>
        <w:tc>
          <w:tcPr>
            <w:tcW w:w="1740" w:type="dxa"/>
          </w:tcPr>
          <w:p>
            <w:pPr/>
            <w:r>
              <w:t xml:space="preserve">Secrets</w:t>
            </w:r>
          </w:p>
        </w:tc>
        <w:tc>
          <w:tcPr>
            <w:tcW w:w="4920" w:type="dxa"/>
          </w:tcPr>
          <w:p>
            <w:pPr/>
            <w:r>
              <w:t xml:space="preserve">.env files exist in both Fusion script folders (contents not inspected).</w:t>
            </w:r>
          </w:p>
        </w:tc>
        <w:tc>
          <w:tcPr>
            <w:tcW w:w="2700" w:type="dxa"/>
          </w:tcPr>
          <w:p>
            <w:pPr/>
            <w:r>
              <w:t xml:space="preserve">They must never be committed or shown to agents (see section 11).</w:t>
            </w:r>
          </w:p>
        </w:tc>
      </w:tr>
      <w:tr>
        <w:tc>
          <w:tcPr>
            <w:tcW w:w="1740" w:type="dxa"/>
          </w:tcPr>
          <w:p>
            <w:pPr/>
            <w:r>
              <w:t xml:space="preserve">Error handling</w:t>
            </w:r>
          </w:p>
        </w:tc>
        <w:tc>
          <w:tcPr>
            <w:tcW w:w="4920" w:type="dxa"/>
          </w:tcPr>
          <w:p>
            <w:pPr/>
            <w:r>
              <w:t xml:space="preserve">Broad exception handlers swallow errors in the Fusion scripts.</w:t>
            </w:r>
          </w:p>
        </w:tc>
        <w:tc>
          <w:tcPr>
            <w:tcW w:w="2700" w:type="dxa"/>
          </w:tcPr>
          <w:p>
            <w:pPr/>
            <w:r>
              <w:t xml:space="preserve">New code must log failures visibly.</w:t>
            </w:r>
          </w:p>
        </w:tc>
      </w:tr>
    </w:tbl>
    <w:p>
      <w:pPr/>
      <w:r>
        <w:t xml:space="preserve">The forecaster returns a range (p10 to p90) as well as a median. The dashboard should show that range, which makes the forecast more credible than a single number.</w:t>
      </w:r>
    </w:p>
    <w:p>
      <w:pPr>
        <w:pStyle w:val="Heading2"/>
      </w:pPr>
      <w:r>
        <w:t xml:space="preserve">3. Architecture</w:t>
      </w:r>
    </w:p>
    <w:p>
      <w:pPr/>
      <w:r>
        <w:t xml:space="preserve">Four actors, one database.</w:t>
      </w:r>
    </w:p>
    <w:p>
      <w:pPr>
        <w:pStyle w:val="ListParagraph"/>
        <w:numPr>
          <w:ilvl w:val="0"/>
          <w:numId w:val="2"/>
        </w:numPr>
      </w:pPr>
      <w:r>
        <w:rPr>
          <w:b/>
        </w:rPr>
        <w:t xml:space="preserve">Fusion PC (or replay script)</w:t>
      </w:r>
      <w:r>
        <w:t xml:space="preserve"> registers an expected parcel (tag UID, weight, product) with the cloud.</w:t>
      </w:r>
    </w:p>
    <w:p>
      <w:pPr>
        <w:pStyle w:val="ListParagraph"/>
        <w:numPr>
          <w:ilvl w:val="0"/>
          <w:numId w:val="2"/>
        </w:numPr>
      </w:pPr>
      <w:r>
        <w:rPr>
          <w:b/>
        </w:rPr>
        <w:t xml:space="preserve">ESP32 station</w:t>
      </w:r>
      <w:r>
        <w:t xml:space="preserve"> reports a scan and receives what to display.</w:t>
      </w:r>
    </w:p>
    <w:p>
      <w:pPr>
        <w:pStyle w:val="ListParagraph"/>
        <w:numPr>
          <w:ilvl w:val="0"/>
          <w:numId w:val="2"/>
        </w:numPr>
      </w:pPr>
      <w:r>
        <w:rPr>
          <w:b/>
        </w:rPr>
        <w:t xml:space="preserve">Forecaster batch job</w:t>
      </w:r>
      <w:r>
        <w:t xml:space="preserve"> writes per-product daily forecasts into the database.</w:t>
      </w:r>
    </w:p>
    <w:p>
      <w:pPr>
        <w:pStyle w:val="ListParagraph"/>
        <w:numPr>
          <w:ilvl w:val="0"/>
          <w:numId w:val="2"/>
        </w:numPr>
      </w:pPr>
      <w:r>
        <w:rPr>
          <w:b/>
        </w:rPr>
        <w:t xml:space="preserve">Owner app</w:t>
      </w:r>
      <w:r>
        <w:t xml:space="preserve"> reads from the database and receives live updates.</w:t>
      </w:r>
    </w:p>
    <w:p>
      <w:pPr/>
      <w:r>
        <w:t xml:space="preserve">All device and PC writes go through Supabase Edge Functions. Only the forecaster loader and Edge Functions use the privileged service key. The app and the ESP32 never hold it.</w:t>
      </w:r>
    </w:p>
    <w:p>
      <w:pPr/>
      <w:r>
        <w:rPr>
          <w:b/>
        </w:rPr>
        <w:t xml:space="preserve">Scan flow:</w:t>
      </w:r>
      <w:r>
        <w:t xml:space="preserve"> register-parcel creates a pending parcel. The ESP32 reads the tag and calls scan. Scan turns the pending parcel into a batch with a simulated expiry, writes an arrival event, recomputes sell estimates for that product, and returns the display payload. The app updates through Realtime.</w:t>
      </w:r>
    </w:p>
    <w:p>
      <w:pPr>
        <w:pStyle w:val="Heading2"/>
      </w:pPr>
      <w:r>
        <w:t xml:space="preserve">4. Supabase data model</w:t>
      </w:r>
    </w:p>
    <w:tbl>
      <w:tblPr>
        <w:tblStyle w:val="TableGrid"/>
        <w:tblW w:w="0" w:type="auto"/>
        <w:tblLayout w:type="fixed"/>
        <w:tblLook w:val="04A0" w:firstRow="1" w:lastRow="0" w:firstColumn="0" w:lastColumn="0" w:noHBand="0" w:noVBand="1"/>
      </w:tblPr>
      <w:tblGrid>
        <w:gridCol w:w="2607"/>
        <w:gridCol w:w="6752"/>
      </w:tblGrid>
      <w:tr>
        <w:trPr>
          <w:tblHeader/>
        </w:trPr>
        <w:tc>
          <w:tcPr>
            <w:tcW w:w="2607" w:type="dxa"/>
            <w:shd w:val="clear" w:color="auto" w:fill="F2F2F2"/>
          </w:tcPr>
          <w:p>
            <w:pPr/>
            <w:r>
              <w:t xml:space="preserve">Table</w:t>
            </w:r>
          </w:p>
        </w:tc>
        <w:tc>
          <w:tcPr>
            <w:tcW w:w="6752" w:type="dxa"/>
            <w:shd w:val="clear" w:color="auto" w:fill="F2F2F2"/>
          </w:tcPr>
          <w:p>
            <w:pPr/>
            <w:r>
              <w:t xml:space="preserve">Key fields</w:t>
            </w:r>
          </w:p>
        </w:tc>
      </w:tr>
      <w:tr>
        <w:tc>
          <w:tcPr>
            <w:tcW w:w="2607" w:type="dxa"/>
          </w:tcPr>
          <w:p>
            <w:pPr/>
            <w:r>
              <w:t xml:space="preserve">products</w:t>
            </w:r>
          </w:p>
        </w:tc>
        <w:tc>
          <w:tcPr>
            <w:tcW w:w="6752" w:type="dxa"/>
          </w:tcPr>
          <w:p>
            <w:pPr/>
            <w:r>
              <w:t xml:space="preserve">id, name, category, weight_kg (distinct per demo product), shelf_life_days</w:t>
            </w:r>
          </w:p>
        </w:tc>
      </w:tr>
      <w:tr>
        <w:tc>
          <w:tcPr>
            <w:tcW w:w="2607" w:type="dxa"/>
          </w:tcPr>
          <w:p>
            <w:pPr/>
            <w:r>
              <w:t xml:space="preserve">pending_parcels</w:t>
            </w:r>
          </w:p>
        </w:tc>
        <w:tc>
          <w:tcPr>
            <w:tcW w:w="6752" w:type="dxa"/>
          </w:tcPr>
          <w:p>
            <w:pPr/>
            <w:r>
              <w:t xml:space="preserve">id, tag_uid, product_id, weight_kg, registered_at, status (pending or received)</w:t>
            </w:r>
          </w:p>
        </w:tc>
      </w:tr>
      <w:tr>
        <w:tc>
          <w:tcPr>
            <w:tcW w:w="2607" w:type="dxa"/>
          </w:tcPr>
          <w:p>
            <w:pPr/>
            <w:r>
              <w:t xml:space="preserve">batches</w:t>
            </w:r>
          </w:p>
        </w:tc>
        <w:tc>
          <w:tcPr>
            <w:tcW w:w="6752" w:type="dxa"/>
          </w:tcPr>
          <w:p>
            <w:pPr/>
            <w:r>
              <w:t xml:space="preserve">id, product_id, tag_uid, quantity, simulated_mfg_date, simulated_expiry_date, arrived_at</w:t>
            </w:r>
          </w:p>
        </w:tc>
      </w:tr>
      <w:tr>
        <w:tc>
          <w:tcPr>
            <w:tcW w:w="2607" w:type="dxa"/>
          </w:tcPr>
          <w:p>
            <w:pPr/>
            <w:r>
              <w:t xml:space="preserve">arrival_events</w:t>
            </w:r>
          </w:p>
        </w:tc>
        <w:tc>
          <w:tcPr>
            <w:tcW w:w="6752" w:type="dxa"/>
          </w:tcPr>
          <w:p>
            <w:pPr/>
            <w:r>
              <w:t xml:space="preserve">id, device_id, tag_uid, batch_id, result (ok, unknown_tag, duplicate), created_at</w:t>
            </w:r>
          </w:p>
        </w:tc>
      </w:tr>
      <w:tr>
        <w:tc>
          <w:tcPr>
            <w:tcW w:w="2607" w:type="dxa"/>
          </w:tcPr>
          <w:p>
            <w:pPr/>
            <w:r>
              <w:t xml:space="preserve">forecasts</w:t>
            </w:r>
          </w:p>
        </w:tc>
        <w:tc>
          <w:tcPr>
            <w:tcW w:w="6752" w:type="dxa"/>
          </w:tcPr>
          <w:p>
            <w:pPr/>
            <w:r>
              <w:t xml:space="preserve">forecast_date, product_id, p10, p50, p90, generated_at (unique on date and product)</w:t>
            </w:r>
          </w:p>
        </w:tc>
      </w:tr>
      <w:tr>
        <w:tc>
          <w:tcPr>
            <w:tcW w:w="2607" w:type="dxa"/>
          </w:tcPr>
          <w:p>
            <w:pPr/>
            <w:r>
              <w:t xml:space="preserve">sell_estimates</w:t>
            </w:r>
          </w:p>
        </w:tc>
        <w:tc>
          <w:tcPr>
            <w:tcW w:w="6752" w:type="dxa"/>
          </w:tcPr>
          <w:p>
            <w:pPr/>
            <w:r>
              <w:t xml:space="preserve">batch_id, estimated_sell_date, expiry_risk, computed_at</w:t>
            </w:r>
          </w:p>
        </w:tc>
      </w:tr>
    </w:tbl>
    <w:p>
      <w:pPr/>
      <w:r>
        <w:t xml:space="preserve">Rules:</w:t>
      </w:r>
    </w:p>
    <w:p>
      <w:pPr>
        <w:pStyle w:val="ListParagraph"/>
        <w:numPr>
          <w:ilvl w:val="0"/>
          <w:numId w:val="3"/>
        </w:numPr>
      </w:pPr>
      <w:r>
        <w:t xml:space="preserve">Row-level security: the app's public key gets read-only access to products, batches, arrival_events, forecasts and sell_estimates. No public writes.</w:t>
      </w:r>
    </w:p>
    <w:p>
      <w:pPr>
        <w:pStyle w:val="ListParagraph"/>
        <w:numPr>
          <w:ilvl w:val="0"/>
          <w:numId w:val="3"/>
        </w:numPr>
      </w:pPr>
      <w:r>
        <w:t xml:space="preserve">Enable Realtime on arrival_events, batches and sell_estimates.</w:t>
      </w:r>
    </w:p>
    <w:p>
      <w:pPr>
        <w:pStyle w:val="ListParagraph"/>
        <w:numPr>
          <w:ilvl w:val="0"/>
          <w:numId w:val="3"/>
        </w:numPr>
      </w:pPr>
      <w:r>
        <w:t xml:space="preserve">Every expiry date, weight and forecast value is simulated and labeled so in the app.</w:t>
      </w:r>
    </w:p>
    <w:p>
      <w:pPr>
        <w:pStyle w:val="Heading2"/>
      </w:pPr>
      <w:r>
        <w:t xml:space="preserve">5. API contract (Edge Functions)</w:t>
      </w:r>
    </w:p>
    <w:tbl>
      <w:tblPr>
        <w:tblStyle w:val="TableGrid"/>
        <w:tblW w:w="0" w:type="auto"/>
        <w:tblLayout w:type="fixed"/>
        <w:tblLook w:val="04A0" w:firstRow="1" w:lastRow="0" w:firstColumn="0" w:lastColumn="0" w:noHBand="0" w:noVBand="1"/>
      </w:tblPr>
      <w:tblGrid>
        <w:gridCol w:w="1741"/>
        <w:gridCol w:w="1248"/>
        <w:gridCol w:w="1779"/>
        <w:gridCol w:w="4591"/>
      </w:tblGrid>
      <w:tr>
        <w:trPr>
          <w:tblHeader/>
        </w:trPr>
        <w:tc>
          <w:tcPr>
            <w:tcW w:w="1741" w:type="dxa"/>
            <w:shd w:val="clear" w:color="auto" w:fill="F2F2F2"/>
          </w:tcPr>
          <w:p>
            <w:pPr/>
            <w:r>
              <w:t xml:space="preserve">Function</w:t>
            </w:r>
          </w:p>
        </w:tc>
        <w:tc>
          <w:tcPr>
            <w:tcW w:w="1248" w:type="dxa"/>
            <w:shd w:val="clear" w:color="auto" w:fill="F2F2F2"/>
          </w:tcPr>
          <w:p>
            <w:pPr/>
            <w:r>
              <w:t xml:space="preserve">Caller</w:t>
            </w:r>
          </w:p>
        </w:tc>
        <w:tc>
          <w:tcPr>
            <w:tcW w:w="1779" w:type="dxa"/>
            <w:shd w:val="clear" w:color="auto" w:fill="F2F2F2"/>
          </w:tcPr>
          <w:p>
            <w:pPr/>
            <w:r>
              <w:t xml:space="preserve">Input</w:t>
            </w:r>
          </w:p>
        </w:tc>
        <w:tc>
          <w:tcPr>
            <w:tcW w:w="4591" w:type="dxa"/>
            <w:shd w:val="clear" w:color="auto" w:fill="F2F2F2"/>
          </w:tcPr>
          <w:p>
            <w:pPr/>
            <w:r>
              <w:t xml:space="preserve">Output</w:t>
            </w:r>
          </w:p>
        </w:tc>
      </w:tr>
      <w:tr>
        <w:tc>
          <w:tcPr>
            <w:tcW w:w="1741" w:type="dxa"/>
          </w:tcPr>
          <w:p>
            <w:pPr/>
            <w:r>
              <w:t xml:space="preserve">register-parcel</w:t>
            </w:r>
          </w:p>
        </w:tc>
        <w:tc>
          <w:tcPr>
            <w:tcW w:w="1248" w:type="dxa"/>
          </w:tcPr>
          <w:p>
            <w:pPr/>
            <w:r>
              <w:t xml:space="preserve">Fusion PC or replay script</w:t>
            </w:r>
          </w:p>
        </w:tc>
        <w:tc>
          <w:tcPr>
            <w:tcW w:w="1779" w:type="dxa"/>
          </w:tcPr>
          <w:p>
            <w:pPr/>
            <w:r>
              <w:t xml:space="preserve">tag_uid, product_id (or weight_kg and type)</w:t>
            </w:r>
          </w:p>
        </w:tc>
        <w:tc>
          <w:tcPr>
            <w:tcW w:w="4591" w:type="dxa"/>
          </w:tcPr>
          <w:p>
            <w:pPr/>
            <w:r>
              <w:t xml:space="preserve">Parcel id. Rejects a tag that is already pending.</w:t>
            </w:r>
          </w:p>
        </w:tc>
      </w:tr>
      <w:tr>
        <w:tc>
          <w:tcPr>
            <w:tcW w:w="1741" w:type="dxa"/>
          </w:tcPr>
          <w:p>
            <w:pPr/>
            <w:r>
              <w:t xml:space="preserve">scan</w:t>
            </w:r>
          </w:p>
        </w:tc>
        <w:tc>
          <w:tcPr>
            <w:tcW w:w="1248" w:type="dxa"/>
          </w:tcPr>
          <w:p>
            <w:pPr/>
            <w:r>
              <w:t xml:space="preserve">ESP32</w:t>
            </w:r>
          </w:p>
        </w:tc>
        <w:tc>
          <w:tcPr>
            <w:tcW w:w="1779" w:type="dxa"/>
          </w:tcPr>
          <w:p>
            <w:pPr/>
            <w:r>
              <w:t xml:space="preserve">device_id, tag_uid</w:t>
            </w:r>
          </w:p>
        </w:tc>
        <w:tc>
          <w:tcPr>
            <w:tcW w:w="4591" w:type="dxa"/>
          </w:tcPr>
          <w:p>
            <w:pPr/>
            <w:r>
              <w:t xml:space="preserve">Result code, product name, category, weight_kg, simulated expiry, estimated sell date, short display lines</w:t>
            </w:r>
          </w:p>
        </w:tc>
      </w:tr>
      <w:tr>
        <w:tc>
          <w:tcPr>
            <w:tcW w:w="1741" w:type="dxa"/>
          </w:tcPr>
          <w:p>
            <w:pPr/>
            <w:r>
              <w:t xml:space="preserve">health</w:t>
            </w:r>
          </w:p>
        </w:tc>
        <w:tc>
          <w:tcPr>
            <w:tcW w:w="1248" w:type="dxa"/>
          </w:tcPr>
          <w:p>
            <w:pPr/>
            <w:r>
              <w:t xml:space="preserve">Anyone</w:t>
            </w:r>
          </w:p>
        </w:tc>
        <w:tc>
          <w:tcPr>
            <w:tcW w:w="1779" w:type="dxa"/>
          </w:tcPr>
          <w:p>
            <w:pPr/>
            <w:r>
              <w:t xml:space="preserve">none</w:t>
            </w:r>
          </w:p>
        </w:tc>
        <w:tc>
          <w:tcPr>
            <w:tcW w:w="4591" w:type="dxa"/>
          </w:tcPr>
          <w:p>
            <w:pPr/>
            <w:r>
              <w:t xml:space="preserve">ok (used to warm up before the demo)</w:t>
            </w:r>
          </w:p>
        </w:tc>
      </w:tr>
    </w:tbl>
    <w:p>
      <w:pPr/>
      <w:r>
        <w:t xml:space="preserve">Rules:</w:t>
      </w:r>
    </w:p>
    <w:p>
      <w:pPr>
        <w:pStyle w:val="ListParagraph"/>
        <w:numPr>
          <w:ilvl w:val="0"/>
          <w:numId w:val="4"/>
        </w:numPr>
      </w:pPr>
      <w:r>
        <w:t xml:space="preserve">Callers authenticate with a key in a request header. The ESP32 key may only call scan.</w:t>
      </w:r>
    </w:p>
    <w:p>
      <w:pPr>
        <w:pStyle w:val="ListParagraph"/>
        <w:numPr>
          <w:ilvl w:val="0"/>
          <w:numId w:val="4"/>
        </w:numPr>
      </w:pPr>
      <w:r>
        <w:t xml:space="preserve">Responses stay under about 1 KB so the ESP32 handles them easily.</w:t>
      </w:r>
    </w:p>
    <w:p>
      <w:pPr>
        <w:pStyle w:val="ListParagraph"/>
        <w:numPr>
          <w:ilvl w:val="0"/>
          <w:numId w:val="4"/>
        </w:numPr>
      </w:pPr>
      <w:r>
        <w:t xml:space="preserve">A repeat scan of the same tag within about 10 seconds returns duplicate and creates nothing </w:t>
      </w:r>
      <w:r>
        <w:rPr>
          <w:b/>
        </w:rPr>
        <w:t xml:space="preserve">[proposal]</w:t>
      </w:r>
      <w:r>
        <w:t xml:space="preserve">.</w:t>
      </w:r>
    </w:p>
    <w:p>
      <w:pPr>
        <w:pStyle w:val="ListParagraph"/>
        <w:numPr>
          <w:ilvl w:val="0"/>
          <w:numId w:val="4"/>
        </w:numPr>
      </w:pPr>
      <w:r>
        <w:t xml:space="preserve">Unknown tag returns unknown_tag with a clear display message.</w:t>
      </w:r>
    </w:p>
    <w:p>
      <w:pPr>
        <w:pStyle w:val="ListParagraph"/>
        <w:numPr>
          <w:ilvl w:val="0"/>
          <w:numId w:val="4"/>
        </w:numPr>
      </w:pPr>
      <w:r>
        <w:t xml:space="preserve">Simulated expiry = assumed manufacturing date + the product's shelf life, with small random variation per batch.</w:t>
      </w:r>
    </w:p>
    <w:p>
      <w:pPr>
        <w:pStyle w:val="Heading2"/>
      </w:pPr>
      <w:r>
        <w:t xml:space="preserve">6. Sell-date logic </w:t>
      </w:r>
      <w:r>
        <w:rPr>
          <w:b/>
        </w:rPr>
        <w:t xml:space="preserve">[proposal, confirm with AI teammate]</w:t>
      </w:r>
    </w:p>
    <w:p>
      <w:pPr/>
      <w:r>
        <w:t xml:space="preserve">For each product, on every scan:</w:t>
      </w:r>
    </w:p>
    <w:p>
      <w:pPr>
        <w:pStyle w:val="ListParagraph"/>
        <w:numPr>
          <w:ilvl w:val="0"/>
          <w:numId w:val="5"/>
        </w:numPr>
      </w:pPr>
      <w:r>
        <w:t xml:space="preserve">Sort that product's batches oldest first.</w:t>
      </w:r>
    </w:p>
    <w:p>
      <w:pPr>
        <w:pStyle w:val="ListParagraph"/>
        <w:numPr>
          <w:ilvl w:val="0"/>
          <w:numId w:val="5"/>
        </w:numPr>
      </w:pPr>
      <w:r>
        <w:t xml:space="preserve">Walk forward through the forecast days, subtracting each day's median (p50) demand from the oldest batch first.</w:t>
      </w:r>
    </w:p>
    <w:p>
      <w:pPr>
        <w:pStyle w:val="ListParagraph"/>
        <w:numPr>
          <w:ilvl w:val="0"/>
          <w:numId w:val="5"/>
        </w:numPr>
      </w:pPr>
      <w:r>
        <w:t xml:space="preserve">A batch's estimated sell date is the day its quantity runs out.</w:t>
      </w:r>
    </w:p>
    <w:p>
      <w:pPr>
        <w:pStyle w:val="ListParagraph"/>
        <w:numPr>
          <w:ilvl w:val="0"/>
          <w:numId w:val="5"/>
        </w:numPr>
      </w:pPr>
      <w:r>
        <w:t xml:space="preserve">If a batch outlasts the forecast horizon, mark it beyond horizon.</w:t>
      </w:r>
    </w:p>
    <w:p>
      <w:pPr>
        <w:pStyle w:val="ListParagraph"/>
        <w:numPr>
          <w:ilvl w:val="0"/>
          <w:numId w:val="5"/>
        </w:numPr>
      </w:pPr>
      <w:r>
        <w:t xml:space="preserve">Set expiry_risk when the estimated sell date is later than the simulated expiry date.</w:t>
      </w:r>
    </w:p>
    <w:p>
      <w:pPr>
        <w:pStyle w:val="ListParagraph"/>
        <w:numPr>
          <w:ilvl w:val="0"/>
          <w:numId w:val="5"/>
        </w:numPr>
      </w:pPr>
      <w:r>
        <w:t xml:space="preserve">Optional: use p90 demand for an earliest date and p10 for a latest date, to show a range.</w:t>
      </w:r>
    </w:p>
    <w:p>
      <w:pPr/>
      <w:r>
        <w:rPr>
          <w:b/>
        </w:rPr>
        <w:t xml:space="preserve">[DECISION]</w:t>
      </w:r>
      <w:r>
        <w:t xml:space="preserve"> Batch quantity must be units per box (for example 40), and the forecast's demand scale must match. If the forecast says 120 units a day and a box holds 1, every sell date is today and the feature looks broken.</w:t>
      </w:r>
    </w:p>
    <w:p>
      <w:pPr>
        <w:pStyle w:val="Heading2"/>
      </w:pPr>
      <w:r>
        <w:t xml:space="preserve">7. Forecaster integration</w:t>
      </w:r>
    </w:p>
    <w:p>
      <w:pPr/>
      <w:r>
        <w:t xml:space="preserve">Required changes to the existing code:</w:t>
      </w:r>
    </w:p>
    <w:p>
      <w:pPr>
        <w:pStyle w:val="ListParagraph"/>
        <w:numPr>
          <w:ilvl w:val="0"/>
          <w:numId w:val="6"/>
        </w:numPr>
      </w:pPr>
      <w:r>
        <w:t xml:space="preserve">Produce one daily series per demo product (3 to 5 products with distinct weights), instead of one aggregate series.</w:t>
      </w:r>
    </w:p>
    <w:p>
      <w:pPr>
        <w:pStyle w:val="ListParagraph"/>
        <w:numPr>
          <w:ilvl w:val="0"/>
          <w:numId w:val="6"/>
        </w:numPr>
      </w:pPr>
      <w:r>
        <w:t xml:space="preserve">Predict forward for a horizon of 7 to 14 days, rather than only the held-out last 90 rows. Keep p10, p50 and p90.</w:t>
      </w:r>
    </w:p>
    <w:p>
      <w:pPr>
        <w:pStyle w:val="ListParagraph"/>
        <w:numPr>
          <w:ilvl w:val="0"/>
          <w:numId w:val="6"/>
        </w:numPr>
      </w:pPr>
      <w:r>
        <w:t xml:space="preserve">Persist results to the forecasts table through a loader step. The service key comes from a local environment variable on the laptop.</w:t>
      </w:r>
    </w:p>
    <w:p>
      <w:pPr>
        <w:pStyle w:val="ListParagraph"/>
        <w:numPr>
          <w:ilvl w:val="0"/>
          <w:numId w:val="6"/>
        </w:numPr>
      </w:pPr>
      <w:r>
        <w:t xml:space="preserve">Pin dependency versions.</w:t>
      </w:r>
    </w:p>
    <w:p>
      <w:pPr>
        <w:pStyle w:val="ListParagraph"/>
        <w:numPr>
          <w:ilvl w:val="0"/>
          <w:numId w:val="6"/>
        </w:numPr>
      </w:pPr>
      <w:r>
        <w:t xml:space="preserve">Accept simple options for horizon and target.</w:t>
      </w:r>
    </w:p>
    <w:p>
      <w:pPr>
        <w:pStyle w:val="ListParagraph"/>
        <w:numPr>
          <w:ilvl w:val="0"/>
          <w:numId w:val="6"/>
        </w:numPr>
      </w:pPr>
      <w:r>
        <w:t xml:space="preserve">Define the meaning of the forecast: expected units to arrive per day. The PRD's parcels equal boxes of N units </w:t>
      </w:r>
      <w:r>
        <w:rPr>
          <w:b/>
        </w:rPr>
        <w:t xml:space="preserve">[DECISION]</w:t>
      </w:r>
      <w:r>
        <w:t xml:space="preserve">.</w:t>
      </w:r>
    </w:p>
    <w:p>
      <w:pPr>
        <w:pStyle w:val="ListParagraph"/>
        <w:numPr>
          <w:ilvl w:val="0"/>
          <w:numId w:val="6"/>
        </w:numPr>
      </w:pPr>
      <w:r>
        <w:t xml:space="preserve">Measure runtime before relying on train-every-run </w:t>
      </w:r>
      <w:r>
        <w:rPr>
          <w:b/>
        </w:rPr>
        <w:t xml:space="preserve">[VERIFY]</w:t>
      </w:r>
      <w:r>
        <w:t xml:space="preserve">.</w:t>
      </w:r>
    </w:p>
    <w:p>
      <w:pPr/>
      <w:r>
        <w:t xml:space="preserve">Done when: the forecasts table has a row for every product and every day in the horizon, and the app reads them.</w:t>
      </w:r>
    </w:p>
    <w:p>
      <w:pPr/>
      <w:r>
        <w:t xml:space="preserve">Because demand data is synthetic, the dashboard labels the forecast as simulated.</w:t>
      </w:r>
    </w:p>
    <w:p>
      <w:pPr>
        <w:pStyle w:val="Heading2"/>
      </w:pPr>
      <w:r>
        <w:t xml:space="preserve">8. Fusion integration</w:t>
      </w:r>
    </w:p>
    <w:p>
      <w:pPr>
        <w:pStyle w:val="ListParagraph"/>
        <w:numPr>
          <w:ilvl w:val="0"/>
          <w:numId w:val="7"/>
        </w:numPr>
      </w:pPr>
      <w:r>
        <w:rPr>
          <w:b/>
        </w:rPr>
        <w:t xml:space="preserve">Priority 1:</w:t>
      </w:r>
      <w:r>
        <w:t xml:space="preserve"> a replay script outside Fusion. It reads a JSON file of demo items and calls register-parcel. This has the same contract as the live path and cannot fail because of Fusion.</w:t>
      </w:r>
    </w:p>
    <w:p>
      <w:pPr>
        <w:pStyle w:val="ListParagraph"/>
        <w:numPr>
          <w:ilvl w:val="0"/>
          <w:numId w:val="7"/>
        </w:numPr>
      </w:pPr>
      <w:r>
        <w:rPr>
          <w:b/>
        </w:rPr>
        <w:t xml:space="preserve">Priority 2:</w:t>
      </w:r>
      <w:r>
        <w:t xml:space="preserve"> add an outbound call to the Fusion script that registers a parcel when cargo is generated or animated </w:t>
      </w:r>
      <w:r>
        <w:rPr>
          <w:b/>
        </w:rPr>
        <w:t xml:space="preserve">[VERIFY: Fusion's embedded Python can make outbound HTTPS requests]</w:t>
      </w:r>
      <w:r>
        <w:t xml:space="preserve">. Failures must be logged visibly, not swallowed.</w:t>
      </w:r>
    </w:p>
    <w:p>
      <w:pPr>
        <w:pStyle w:val="ListParagraph"/>
        <w:numPr>
          <w:ilvl w:val="0"/>
          <w:numId w:val="7"/>
        </w:numPr>
      </w:pPr>
      <w:r>
        <w:t xml:space="preserve">Source of weight: the CargoWeight attribute. Source of name, category, shelf life and tag UID: a demo catalog file, because Fusion does not hold them.</w:t>
      </w:r>
    </w:p>
    <w:p>
      <w:pPr>
        <w:pStyle w:val="ListParagraph"/>
        <w:numPr>
          <w:ilvl w:val="0"/>
          <w:numId w:val="7"/>
        </w:numPr>
      </w:pPr>
      <w:r>
        <w:t xml:space="preserve">The animation's 10 kg routing stays purely visual. Nothing depends on it.</w:t>
      </w:r>
    </w:p>
    <w:p>
      <w:pPr>
        <w:pStyle w:val="ListParagraph"/>
        <w:numPr>
          <w:ilvl w:val="0"/>
          <w:numId w:val="7"/>
        </w:numPr>
      </w:pPr>
      <w:r>
        <w:t xml:space="preserve">Change the existing scripts as little as possible: add the call, leave the geometry code alone.</w:t>
      </w:r>
    </w:p>
    <w:p>
      <w:pPr>
        <w:pStyle w:val="Heading2"/>
      </w:pPr>
      <w:r>
        <w:t xml:space="preserve">9. ESP32 firmware specification</w:t>
      </w:r>
    </w:p>
    <w:p>
      <w:pPr/>
      <w:r>
        <w:rPr>
          <w:b/>
        </w:rPr>
        <w:t xml:space="preserve">Behavior:</w:t>
      </w:r>
      <w:r>
        <w:t xml:space="preserve"> idle, trigger, read tag, request scan, show result, cooldown, back to idle.</w:t>
      </w:r>
    </w:p>
    <w:p>
      <w:pPr>
        <w:pStyle w:val="ListParagraph"/>
        <w:numPr>
          <w:ilvl w:val="0"/>
          <w:numId w:val="8"/>
        </w:numPr>
      </w:pPr>
      <w:r>
        <w:rPr>
          <w:b/>
        </w:rPr>
        <w:t xml:space="preserve">Trigger:</w:t>
      </w:r>
      <w:r>
        <w:t xml:space="preserve"> one digital input. It works with the push button in the circuit or with an IR module output </w:t>
      </w:r>
      <w:r>
        <w:rPr>
          <w:b/>
        </w:rPr>
        <w:t xml:space="preserve">[DECISION, open from PRD: button or IR]</w:t>
      </w:r>
      <w:r>
        <w:t xml:space="preserve">.</w:t>
      </w:r>
    </w:p>
    <w:p>
      <w:pPr>
        <w:pStyle w:val="ListParagraph"/>
        <w:numPr>
          <w:ilvl w:val="0"/>
          <w:numId w:val="8"/>
        </w:numPr>
      </w:pPr>
      <w:r>
        <w:rPr>
          <w:b/>
        </w:rPr>
        <w:t xml:space="preserve">RFID read:</w:t>
      </w:r>
      <w:r>
        <w:t xml:space="preserve"> time out after about 3 seconds with an error signal.</w:t>
      </w:r>
    </w:p>
    <w:p>
      <w:pPr>
        <w:pStyle w:val="ListParagraph"/>
        <w:numPr>
          <w:ilvl w:val="0"/>
          <w:numId w:val="8"/>
        </w:numPr>
      </w:pPr>
      <w:r>
        <w:rPr>
          <w:b/>
        </w:rPr>
        <w:t xml:space="preserve">Network:</w:t>
      </w:r>
      <w:r>
        <w:t xml:space="preserve"> two stored Wi-Fi credentials (venue and phone hotspot), automatic reconnect, request timeout of about 5 seconds.</w:t>
      </w:r>
    </w:p>
    <w:p>
      <w:pPr>
        <w:pStyle w:val="ListParagraph"/>
        <w:numPr>
          <w:ilvl w:val="0"/>
          <w:numId w:val="8"/>
        </w:numPr>
      </w:pPr>
      <w:r>
        <w:rPr>
          <w:b/>
        </w:rPr>
        <w:t xml:space="preserve">HTTPS:</w:t>
      </w:r>
      <w:r>
        <w:t xml:space="preserve"> requires a certificate decision </w:t>
      </w:r>
      <w:r>
        <w:rPr>
          <w:b/>
        </w:rPr>
        <w:t xml:space="preserve">[DECISION: validate with a root certificate, or skip validation for the hackathon and accept the security tradeoff]</w:t>
      </w:r>
      <w:r>
        <w:t xml:space="preserve">.</w:t>
      </w:r>
    </w:p>
    <w:p>
      <w:pPr>
        <w:pStyle w:val="ListParagraph"/>
        <w:numPr>
          <w:ilvl w:val="0"/>
          <w:numId w:val="8"/>
        </w:numPr>
      </w:pPr>
      <w:r>
        <w:rPr>
          <w:b/>
        </w:rPr>
        <w:t xml:space="preserve">Product type:</w:t>
      </w:r>
      <w:r>
        <w:t xml:space="preserve"> the cloud returns it. The ESP32 keeps the hard-coded weight-to-type table only as an offline fallback </w:t>
      </w:r>
      <w:r>
        <w:rPr>
          <w:b/>
        </w:rPr>
        <w:t xml:space="preserve">[DECISION: this differs from the teammate's plan to hard-code the mapping on the ESP32]</w:t>
      </w:r>
      <w:r>
        <w:t xml:space="preserve">.</w:t>
      </w:r>
    </w:p>
    <w:p>
      <w:pPr>
        <w:pStyle w:val="ListParagraph"/>
        <w:numPr>
          <w:ilvl w:val="0"/>
          <w:numId w:val="8"/>
        </w:numPr>
      </w:pPr>
      <w:r>
        <w:rPr>
          <w:b/>
        </w:rPr>
        <w:t xml:space="preserve">Offline fallback:</w:t>
      </w:r>
      <w:r>
        <w:t xml:space="preserve"> a small on-device table of known tags. The result shows as OFFLINE and the event is queued and sent when the network returns </w:t>
      </w:r>
      <w:r>
        <w:rPr>
          <w:b/>
        </w:rPr>
        <w:t xml:space="preserve">[proposal]</w:t>
      </w:r>
      <w:r>
        <w:t xml:space="preserve">.</w:t>
      </w:r>
    </w:p>
    <w:p>
      <w:pPr>
        <w:pStyle w:val="ListParagraph"/>
        <w:numPr>
          <w:ilvl w:val="0"/>
          <w:numId w:val="8"/>
        </w:numPr>
      </w:pPr>
      <w:r>
        <w:rPr>
          <w:b/>
        </w:rPr>
        <w:t xml:space="preserve">Feedback:</w:t>
      </w:r>
      <w:r>
        <w:t xml:space="preserve"> the OLED shows product, weight (simulated), expiry (simulated) and status. Green LED means success, red means error, yellow means busy or offline </w:t>
      </w:r>
      <w:r>
        <w:rPr>
          <w:b/>
        </w:rPr>
        <w:t xml:space="preserve">[assumed meanings]</w:t>
      </w:r>
      <w:r>
        <w:t xml:space="preserve">. The buzzer gives a short beep for success and a long one for error.</w:t>
      </w:r>
    </w:p>
    <w:p>
      <w:pPr>
        <w:pStyle w:val="ListParagraph"/>
        <w:numPr>
          <w:ilvl w:val="0"/>
          <w:numId w:val="8"/>
        </w:numPr>
      </w:pPr>
      <w:r>
        <w:rPr>
          <w:b/>
        </w:rPr>
        <w:t xml:space="preserve">Duplicate guard:</w:t>
      </w:r>
      <w:r>
        <w:t xml:space="preserve"> ignore the same tag for a short cooldown.</w:t>
      </w:r>
    </w:p>
    <w:p>
      <w:pPr>
        <w:pStyle w:val="ListParagraph"/>
        <w:numPr>
          <w:ilvl w:val="0"/>
          <w:numId w:val="8"/>
        </w:numPr>
      </w:pPr>
      <w:r>
        <w:rPr>
          <w:b/>
        </w:rPr>
        <w:t xml:space="preserve">Servo:</w:t>
      </w:r>
      <w:r>
        <w:t xml:space="preserve"> optional and last in the sequence. It moves to a left or right indicator position by the 10 kg rule after the result is displayed. A servo fault must never block the flow.</w:t>
      </w:r>
    </w:p>
    <w:p>
      <w:pPr>
        <w:pStyle w:val="ListParagraph"/>
        <w:numPr>
          <w:ilvl w:val="0"/>
          <w:numId w:val="8"/>
        </w:numPr>
      </w:pPr>
      <w:r>
        <w:rPr>
          <w:b/>
        </w:rPr>
        <w:t xml:space="preserve">Pins:</w:t>
      </w:r>
      <w:r>
        <w:t xml:space="preserve"> taken from the circuit project file, not defined here.</w:t>
      </w:r>
    </w:p>
    <w:p>
      <w:pPr>
        <w:pStyle w:val="ListParagraph"/>
        <w:numPr>
          <w:ilvl w:val="0"/>
          <w:numId w:val="8"/>
        </w:numPr>
      </w:pPr>
      <w:r>
        <w:rPr>
          <w:b/>
        </w:rPr>
        <w:t xml:space="preserve">Config:</w:t>
      </w:r>
      <w:r>
        <w:t xml:space="preserve"> Wi-Fi details, device id, server address and device key live in one config file, separate from the logic.</w:t>
      </w:r>
    </w:p>
    <w:p>
      <w:pPr>
        <w:pStyle w:val="Heading2"/>
      </w:pPr>
      <w:r>
        <w:t xml:space="preserve">10. Owner app</w:t>
      </w:r>
    </w:p>
    <w:tbl>
      <w:tblPr>
        <w:tblStyle w:val="TableGrid"/>
        <w:tblW w:w="0" w:type="auto"/>
        <w:tblLayout w:type="fixed"/>
        <w:tblLook w:val="04A0" w:firstRow="1" w:lastRow="0" w:firstColumn="0" w:lastColumn="0" w:noHBand="0" w:noVBand="1"/>
      </w:tblPr>
      <w:tblGrid>
        <w:gridCol w:w="1865"/>
        <w:gridCol w:w="7494"/>
      </w:tblGrid>
      <w:tr>
        <w:trPr>
          <w:tblHeader/>
        </w:trPr>
        <w:tc>
          <w:tcPr>
            <w:tcW w:w="1865" w:type="dxa"/>
            <w:shd w:val="clear" w:color="auto" w:fill="F2F2F2"/>
          </w:tcPr>
          <w:p>
            <w:pPr/>
            <w:r>
              <w:t xml:space="preserve">Screen</w:t>
            </w:r>
          </w:p>
        </w:tc>
        <w:tc>
          <w:tcPr>
            <w:tcW w:w="7494" w:type="dxa"/>
            <w:shd w:val="clear" w:color="auto" w:fill="F2F2F2"/>
          </w:tcPr>
          <w:p>
            <w:pPr/>
            <w:r>
              <w:t xml:space="preserve">Content</w:t>
            </w:r>
          </w:p>
        </w:tc>
      </w:tr>
      <w:tr>
        <w:tc>
          <w:tcPr>
            <w:tcW w:w="1865" w:type="dxa"/>
          </w:tcPr>
          <w:p>
            <w:pPr/>
            <w:r>
              <w:t xml:space="preserve">Today</w:t>
            </w:r>
          </w:p>
        </w:tc>
        <w:tc>
          <w:tcPr>
            <w:tcW w:w="7494" w:type="dxa"/>
          </w:tcPr>
          <w:p>
            <w:pPr/>
            <w:r>
              <w:t xml:space="preserve">Forecast median with the p10 to p90 band per product, next to the count arrived today</w:t>
            </w:r>
          </w:p>
        </w:tc>
      </w:tr>
      <w:tr>
        <w:tc>
          <w:tcPr>
            <w:tcW w:w="1865" w:type="dxa"/>
          </w:tcPr>
          <w:p>
            <w:pPr/>
            <w:r>
              <w:t xml:space="preserve">Stock</w:t>
            </w:r>
          </w:p>
        </w:tc>
        <w:tc>
          <w:tcPr>
            <w:tcW w:w="7494" w:type="dxa"/>
          </w:tcPr>
          <w:p>
            <w:pPr/>
            <w:r>
              <w:t xml:space="preserve">Batches with product, quantity, arrival time, simulated expiry, estimated sell date and an expiry-risk flag</w:t>
            </w:r>
          </w:p>
        </w:tc>
      </w:tr>
      <w:tr>
        <w:tc>
          <w:tcPr>
            <w:tcW w:w="1865" w:type="dxa"/>
          </w:tcPr>
          <w:p>
            <w:pPr/>
            <w:r>
              <w:t xml:space="preserve">Live feed</w:t>
            </w:r>
          </w:p>
        </w:tc>
        <w:tc>
          <w:tcPr>
            <w:tcW w:w="7494" w:type="dxa"/>
          </w:tcPr>
          <w:p>
            <w:pPr/>
            <w:r>
              <w:t xml:space="preserve">Recent arrivals, updating through Realtime</w:t>
            </w:r>
          </w:p>
        </w:tc>
      </w:tr>
    </w:tbl>
    <w:p>
      <w:pPr>
        <w:pStyle w:val="ListParagraph"/>
        <w:numPr>
          <w:ilvl w:val="0"/>
          <w:numId w:val="9"/>
        </w:numPr>
      </w:pPr>
      <w:r>
        <w:t xml:space="preserve">Uses only the public read-only key and Realtime subscriptions.</w:t>
      </w:r>
    </w:p>
    <w:p>
      <w:pPr>
        <w:pStyle w:val="ListParagraph"/>
        <w:numPr>
          <w:ilvl w:val="0"/>
          <w:numId w:val="9"/>
        </w:numPr>
      </w:pPr>
      <w:r>
        <w:t xml:space="preserve">Simulated values carry a visible label.</w:t>
      </w:r>
    </w:p>
    <w:p>
      <w:pPr>
        <w:pStyle w:val="ListParagraph"/>
        <w:numPr>
          <w:ilvl w:val="0"/>
          <w:numId w:val="9"/>
        </w:numPr>
      </w:pPr>
      <w:r>
        <w:t xml:space="preserve">Shows a clear indicator if the live connection drops.</w:t>
      </w:r>
    </w:p>
    <w:p>
      <w:pPr>
        <w:pStyle w:val="ListParagraph"/>
        <w:numPr>
          <w:ilvl w:val="0"/>
          <w:numId w:val="9"/>
        </w:numPr>
      </w:pPr>
      <w:r>
        <w:t xml:space="preserve">Hosting: any free static host, or served from a laptop for the demo </w:t>
      </w:r>
      <w:r>
        <w:rPr>
          <w:b/>
        </w:rPr>
        <w:t xml:space="preserve">[DECISION]</w:t>
      </w:r>
      <w:r>
        <w:t xml:space="preserve">.</w:t>
      </w:r>
    </w:p>
    <w:p>
      <w:pPr>
        <w:pStyle w:val="Heading2"/>
      </w:pPr>
      <w:r>
        <w:t xml:space="preserve">11. Secrets and environments</w:t>
      </w:r>
    </w:p>
    <w:p>
      <w:pPr>
        <w:pStyle w:val="ListParagraph"/>
        <w:numPr>
          <w:ilvl w:val="0"/>
          <w:numId w:val="10"/>
        </w:numPr>
      </w:pPr>
      <w:r>
        <w:t xml:space="preserve">Never commit .env files. Hermes must not read or print .env contents. If a secret is exposed, rotate it.</w:t>
      </w:r>
    </w:p>
    <w:p>
      <w:pPr>
        <w:pStyle w:val="ListParagraph"/>
        <w:numPr>
          <w:ilvl w:val="0"/>
          <w:numId w:val="10"/>
        </w:numPr>
      </w:pPr>
      <w:r>
        <w:t xml:space="preserve">Three kinds of keys: the public key (app, read-only), the service key (laptop scripts and Edge Functions only), and a limited device key (ESP32, scan only).</w:t>
      </w:r>
    </w:p>
    <w:p>
      <w:pPr>
        <w:pStyle w:val="ListParagraph"/>
        <w:numPr>
          <w:ilvl w:val="0"/>
          <w:numId w:val="10"/>
        </w:numPr>
      </w:pPr>
      <w:r>
        <w:t xml:space="preserve">Provide an .env.example listing variable names without values.</w:t>
      </w:r>
    </w:p>
    <w:p>
      <w:pPr>
        <w:pStyle w:val="ListParagraph"/>
        <w:numPr>
          <w:ilvl w:val="0"/>
          <w:numId w:val="10"/>
        </w:numPr>
      </w:pPr>
      <w:r>
        <w:t xml:space="preserve">Optionally use a second Supabase project for development. The free plan allows two. Free projects pause after 7 days of inactivity.</w:t>
      </w:r>
    </w:p>
    <w:p>
      <w:pPr>
        <w:pStyle w:val="Heading2"/>
      </w:pPr>
      <w:r>
        <w:t xml:space="preserve">12. Build order</w:t>
      </w:r>
    </w:p>
    <w:tbl>
      <w:tblPr>
        <w:tblStyle w:val="TableGrid"/>
        <w:tblW w:w="0" w:type="auto"/>
        <w:tblLayout w:type="fixed"/>
        <w:tblLook w:val="04A0" w:firstRow="1" w:lastRow="0" w:firstColumn="0" w:lastColumn="0" w:noHBand="0" w:noVBand="1"/>
      </w:tblPr>
      <w:tblGrid>
        <w:gridCol w:w="720"/>
        <w:gridCol w:w="3198"/>
        <w:gridCol w:w="1423"/>
        <w:gridCol w:w="4019"/>
      </w:tblGrid>
      <w:tr>
        <w:trPr>
          <w:tblHeader/>
        </w:trPr>
        <w:tc>
          <w:tcPr>
            <w:tcW w:w="720" w:type="dxa"/>
            <w:shd w:val="clear" w:color="auto" w:fill="F2F2F2"/>
          </w:tcPr>
          <w:p>
            <w:pPr/>
            <w:r>
              <w:t xml:space="preserve">Step</w:t>
            </w:r>
          </w:p>
        </w:tc>
        <w:tc>
          <w:tcPr>
            <w:tcW w:w="3198" w:type="dxa"/>
            <w:shd w:val="clear" w:color="auto" w:fill="F2F2F2"/>
          </w:tcPr>
          <w:p>
            <w:pPr/>
            <w:r>
              <w:t xml:space="preserve">Deliverable</w:t>
            </w:r>
          </w:p>
        </w:tc>
        <w:tc>
          <w:tcPr>
            <w:tcW w:w="1423" w:type="dxa"/>
            <w:shd w:val="clear" w:color="auto" w:fill="F2F2F2"/>
          </w:tcPr>
          <w:p>
            <w:pPr/>
            <w:r>
              <w:t xml:space="preserve">Depends on</w:t>
            </w:r>
          </w:p>
        </w:tc>
        <w:tc>
          <w:tcPr>
            <w:tcW w:w="4019" w:type="dxa"/>
            <w:shd w:val="clear" w:color="auto" w:fill="F2F2F2"/>
          </w:tcPr>
          <w:p>
            <w:pPr/>
            <w:r>
              <w:t xml:space="preserve">Done when</w:t>
            </w:r>
          </w:p>
        </w:tc>
      </w:tr>
      <w:tr>
        <w:tc>
          <w:tcPr>
            <w:tcW w:w="720" w:type="dxa"/>
          </w:tcPr>
          <w:p>
            <w:pPr/>
            <w:r>
              <w:t xml:space="preserve">1</w:t>
            </w:r>
          </w:p>
        </w:tc>
        <w:tc>
          <w:tcPr>
            <w:tcW w:w="3198" w:type="dxa"/>
          </w:tcPr>
          <w:p>
            <w:pPr/>
            <w:r>
              <w:t xml:space="preserve">Supabase project, tables, security rules, seeded products</w:t>
            </w:r>
          </w:p>
        </w:tc>
        <w:tc>
          <w:tcPr>
            <w:tcW w:w="1423" w:type="dxa"/>
          </w:tcPr>
          <w:p>
            <w:pPr/>
            <w:r>
              <w:t xml:space="preserve">none</w:t>
            </w:r>
          </w:p>
        </w:tc>
        <w:tc>
          <w:tcPr>
            <w:tcW w:w="4019" w:type="dxa"/>
          </w:tcPr>
          <w:p>
            <w:pPr/>
            <w:r>
              <w:t xml:space="preserve">Tables and seed rows are visible</w:t>
            </w:r>
          </w:p>
        </w:tc>
      </w:tr>
      <w:tr>
        <w:tc>
          <w:tcPr>
            <w:tcW w:w="720" w:type="dxa"/>
          </w:tcPr>
          <w:p>
            <w:pPr/>
            <w:r>
              <w:t xml:space="preserve">2</w:t>
            </w:r>
          </w:p>
        </w:tc>
        <w:tc>
          <w:tcPr>
            <w:tcW w:w="3198" w:type="dxa"/>
          </w:tcPr>
          <w:p>
            <w:pPr/>
            <w:r>
              <w:t xml:space="preserve">register-parcel, scan and health functions</w:t>
            </w:r>
          </w:p>
        </w:tc>
        <w:tc>
          <w:tcPr>
            <w:tcW w:w="1423" w:type="dxa"/>
          </w:tcPr>
          <w:p>
            <w:pPr/>
            <w:r>
              <w:t xml:space="preserve">1</w:t>
            </w:r>
          </w:p>
        </w:tc>
        <w:tc>
          <w:tcPr>
            <w:tcW w:w="4019" w:type="dxa"/>
          </w:tcPr>
          <w:p>
            <w:pPr/>
            <w:r>
              <w:t xml:space="preserve">Test calls return the expected payloads</w:t>
            </w:r>
          </w:p>
        </w:tc>
      </w:tr>
      <w:tr>
        <w:tc>
          <w:tcPr>
            <w:tcW w:w="720" w:type="dxa"/>
          </w:tcPr>
          <w:p>
            <w:pPr/>
            <w:r>
              <w:t xml:space="preserve">3</w:t>
            </w:r>
          </w:p>
        </w:tc>
        <w:tc>
          <w:tcPr>
            <w:tcW w:w="3198" w:type="dxa"/>
          </w:tcPr>
          <w:p>
            <w:pPr/>
            <w:r>
              <w:t xml:space="preserve">ESP32 end-to-end scan</w:t>
            </w:r>
          </w:p>
        </w:tc>
        <w:tc>
          <w:tcPr>
            <w:tcW w:w="1423" w:type="dxa"/>
          </w:tcPr>
          <w:p>
            <w:pPr/>
            <w:r>
              <w:t xml:space="preserve">2</w:t>
            </w:r>
          </w:p>
        </w:tc>
        <w:tc>
          <w:tcPr>
            <w:tcW w:w="4019" w:type="dxa"/>
          </w:tcPr>
          <w:p>
            <w:pPr/>
            <w:r>
              <w:t xml:space="preserve">A box scan shows the OLED result and an arrival_events row appears</w:t>
            </w:r>
          </w:p>
        </w:tc>
      </w:tr>
      <w:tr>
        <w:tc>
          <w:tcPr>
            <w:tcW w:w="720" w:type="dxa"/>
          </w:tcPr>
          <w:p>
            <w:pPr/>
            <w:r>
              <w:t xml:space="preserve">4</w:t>
            </w:r>
          </w:p>
        </w:tc>
        <w:tc>
          <w:tcPr>
            <w:tcW w:w="3198" w:type="dxa"/>
          </w:tcPr>
          <w:p>
            <w:pPr/>
            <w:r>
              <w:t xml:space="preserve">Forecaster persistence</w:t>
            </w:r>
          </w:p>
        </w:tc>
        <w:tc>
          <w:tcPr>
            <w:tcW w:w="1423" w:type="dxa"/>
          </w:tcPr>
          <w:p>
            <w:pPr/>
            <w:r>
              <w:t xml:space="preserve">1</w:t>
            </w:r>
          </w:p>
        </w:tc>
        <w:tc>
          <w:tcPr>
            <w:tcW w:w="4019" w:type="dxa"/>
          </w:tcPr>
          <w:p>
            <w:pPr/>
            <w:r>
              <w:t xml:space="preserve">forecasts table is populated</w:t>
            </w:r>
          </w:p>
        </w:tc>
      </w:tr>
      <w:tr>
        <w:tc>
          <w:tcPr>
            <w:tcW w:w="720" w:type="dxa"/>
          </w:tcPr>
          <w:p>
            <w:pPr/>
            <w:r>
              <w:t xml:space="preserve">5</w:t>
            </w:r>
          </w:p>
        </w:tc>
        <w:tc>
          <w:tcPr>
            <w:tcW w:w="3198" w:type="dxa"/>
          </w:tcPr>
          <w:p>
            <w:pPr/>
            <w:r>
              <w:t xml:space="preserve">Owner app (Today, Stock, Live feed)</w:t>
            </w:r>
          </w:p>
        </w:tc>
        <w:tc>
          <w:tcPr>
            <w:tcW w:w="1423" w:type="dxa"/>
          </w:tcPr>
          <w:p>
            <w:pPr/>
            <w:r>
              <w:t xml:space="preserve">1, 4</w:t>
            </w:r>
          </w:p>
        </w:tc>
        <w:tc>
          <w:tcPr>
            <w:tcW w:w="4019" w:type="dxa"/>
          </w:tcPr>
          <w:p>
            <w:pPr/>
            <w:r>
              <w:t xml:space="preserve">The app updates live on a scan</w:t>
            </w:r>
          </w:p>
        </w:tc>
      </w:tr>
      <w:tr>
        <w:tc>
          <w:tcPr>
            <w:tcW w:w="720" w:type="dxa"/>
          </w:tcPr>
          <w:p>
            <w:pPr/>
            <w:r>
              <w:t xml:space="preserve">6</w:t>
            </w:r>
          </w:p>
        </w:tc>
        <w:tc>
          <w:tcPr>
            <w:tcW w:w="3198" w:type="dxa"/>
          </w:tcPr>
          <w:p>
            <w:pPr/>
            <w:r>
              <w:t xml:space="preserve">Fusion registration and replay script</w:t>
            </w:r>
          </w:p>
        </w:tc>
        <w:tc>
          <w:tcPr>
            <w:tcW w:w="1423" w:type="dxa"/>
          </w:tcPr>
          <w:p>
            <w:pPr/>
            <w:r>
              <w:t xml:space="preserve">2</w:t>
            </w:r>
          </w:p>
        </w:tc>
        <w:tc>
          <w:tcPr>
            <w:tcW w:w="4019" w:type="dxa"/>
          </w:tcPr>
          <w:p>
            <w:pPr/>
            <w:r>
              <w:t xml:space="preserve">A parcel is registered before its scan</w:t>
            </w:r>
          </w:p>
        </w:tc>
      </w:tr>
      <w:tr>
        <w:tc>
          <w:tcPr>
            <w:tcW w:w="720" w:type="dxa"/>
          </w:tcPr>
          <w:p>
            <w:pPr/>
            <w:r>
              <w:t xml:space="preserve">7</w:t>
            </w:r>
          </w:p>
        </w:tc>
        <w:tc>
          <w:tcPr>
            <w:tcW w:w="3198" w:type="dxa"/>
          </w:tcPr>
          <w:p>
            <w:pPr/>
            <w:r>
              <w:t xml:space="preserve">Sell-date logic</w:t>
            </w:r>
          </w:p>
        </w:tc>
        <w:tc>
          <w:tcPr>
            <w:tcW w:w="1423" w:type="dxa"/>
          </w:tcPr>
          <w:p>
            <w:pPr/>
            <w:r>
              <w:t xml:space="preserve">2, 4</w:t>
            </w:r>
          </w:p>
        </w:tc>
        <w:tc>
          <w:tcPr>
            <w:tcW w:w="4019" w:type="dxa"/>
          </w:tcPr>
          <w:p>
            <w:pPr/>
            <w:r>
              <w:t xml:space="preserve">A batch gets a date and the risk flag works</w:t>
            </w:r>
          </w:p>
        </w:tc>
      </w:tr>
      <w:tr>
        <w:tc>
          <w:tcPr>
            <w:tcW w:w="720" w:type="dxa"/>
          </w:tcPr>
          <w:p>
            <w:pPr/>
            <w:r>
              <w:t xml:space="preserve">8</w:t>
            </w:r>
          </w:p>
        </w:tc>
        <w:tc>
          <w:tcPr>
            <w:tcW w:w="3198" w:type="dxa"/>
          </w:tcPr>
          <w:p>
            <w:pPr/>
            <w:r>
              <w:t xml:space="preserve">Offline fallback, polish, rehearsal</w:t>
            </w:r>
          </w:p>
        </w:tc>
        <w:tc>
          <w:tcPr>
            <w:tcW w:w="1423" w:type="dxa"/>
          </w:tcPr>
          <w:p>
            <w:pPr/>
            <w:r>
              <w:t xml:space="preserve">3 to 7</w:t>
            </w:r>
          </w:p>
        </w:tc>
        <w:tc>
          <w:tcPr>
            <w:tcW w:w="4019" w:type="dxa"/>
          </w:tcPr>
          <w:p>
            <w:pPr/>
            <w:r>
              <w:t xml:space="preserve">The golden path works 3 times in a row on the phone hotspot</w:t>
            </w:r>
          </w:p>
        </w:tc>
      </w:tr>
    </w:tbl>
    <w:p>
      <w:pPr/>
      <w:r>
        <w:t xml:space="preserve">Workstreams that can run in parallel: hardware (3, 8), backend (1, 2, 7), data and AI (4), frontend (5), Fusion and demo data (6).</w:t>
      </w:r>
    </w:p>
    <w:p>
      <w:pPr>
        <w:pStyle w:val="Heading2"/>
      </w:pPr>
      <w:r>
        <w:t xml:space="preserve">13. Test and demo checklist</w:t>
      </w:r>
    </w:p>
    <w:p>
      <w:pPr>
        <w:pStyle w:val="ListParagraph"/>
        <w:numPr>
          <w:ilvl w:val="0"/>
          <w:numId w:val="11"/>
        </w:numPr>
      </w:pPr>
      <w:r>
        <w:t xml:space="preserve">Call health shortly before the demo and between runs to warm up the backend.</w:t>
      </w:r>
    </w:p>
    <w:p>
      <w:pPr>
        <w:pStyle w:val="ListParagraph"/>
        <w:numPr>
          <w:ilvl w:val="0"/>
          <w:numId w:val="11"/>
        </w:numPr>
      </w:pPr>
      <w:r>
        <w:t xml:space="preserve">Check the Supabase project has not paused, the day before and again just before presenting.</w:t>
      </w:r>
    </w:p>
    <w:p>
      <w:pPr>
        <w:pStyle w:val="ListParagraph"/>
        <w:numPr>
          <w:ilvl w:val="0"/>
          <w:numId w:val="11"/>
        </w:numPr>
      </w:pPr>
      <w:r>
        <w:t xml:space="preserve">Reset to clean seed data before judges arrive.</w:t>
      </w:r>
    </w:p>
    <w:p>
      <w:pPr>
        <w:pStyle w:val="ListParagraph"/>
        <w:numPr>
          <w:ilvl w:val="0"/>
          <w:numId w:val="11"/>
        </w:numPr>
      </w:pPr>
      <w:r>
        <w:t xml:space="preserve">Run the PRD golden path twice. Confirm that an unknown tag shows red, a duplicate scan is ignored, and the offline fallback works with Wi-Fi off.</w:t>
      </w:r>
    </w:p>
    <w:p>
      <w:pPr>
        <w:pStyle w:val="ListParagraph"/>
        <w:numPr>
          <w:ilvl w:val="0"/>
          <w:numId w:val="11"/>
        </w:numPr>
      </w:pPr>
      <w:r>
        <w:t xml:space="preserve">Test both the live Fusion path and the replay path.</w:t>
      </w:r>
    </w:p>
    <w:p>
      <w:pPr>
        <w:pStyle w:val="Heading2"/>
      </w:pPr>
      <w:r>
        <w:t xml:space="preserve">14. Decisions and risks</w:t>
      </w:r>
    </w:p>
    <w:p>
      <w:pPr/>
      <w:r>
        <w:rPr>
          <w:b/>
        </w:rPr>
        <w:t xml:space="preserve">Decisions needed</w:t>
      </w:r>
    </w:p>
    <w:p>
      <w:pPr>
        <w:pStyle w:val="ListParagraph"/>
        <w:numPr>
          <w:ilvl w:val="0"/>
          <w:numId w:val="12"/>
        </w:numPr>
      </w:pPr>
      <w:r>
        <w:t xml:space="preserve">Trigger: push button or IR sensor.</w:t>
      </w:r>
    </w:p>
    <w:p>
      <w:pPr>
        <w:pStyle w:val="ListParagraph"/>
        <w:numPr>
          <w:ilvl w:val="0"/>
          <w:numId w:val="12"/>
        </w:numPr>
      </w:pPr>
      <w:r>
        <w:t xml:space="preserve">Product type from the cloud, or hard-coded on the ESP32.</w:t>
      </w:r>
    </w:p>
    <w:p>
      <w:pPr>
        <w:pStyle w:val="ListParagraph"/>
        <w:numPr>
          <w:ilvl w:val="0"/>
          <w:numId w:val="12"/>
        </w:numPr>
      </w:pPr>
      <w:r>
        <w:t xml:space="preserve">What one box means in units, and the demand scale to match.</w:t>
      </w:r>
    </w:p>
    <w:p>
      <w:pPr>
        <w:pStyle w:val="ListParagraph"/>
        <w:numPr>
          <w:ilvl w:val="0"/>
          <w:numId w:val="12"/>
        </w:numPr>
      </w:pPr>
      <w:r>
        <w:t xml:space="preserve">HTTPS certificate approach on the ESP32.</w:t>
      </w:r>
    </w:p>
    <w:p>
      <w:pPr>
        <w:pStyle w:val="ListParagraph"/>
        <w:numPr>
          <w:ilvl w:val="0"/>
          <w:numId w:val="12"/>
        </w:numPr>
      </w:pPr>
      <w:r>
        <w:t xml:space="preserve">Sell-date method (section 6).</w:t>
      </w:r>
    </w:p>
    <w:p>
      <w:pPr>
        <w:pStyle w:val="ListParagraph"/>
        <w:numPr>
          <w:ilvl w:val="0"/>
          <w:numId w:val="12"/>
        </w:numPr>
      </w:pPr>
      <w:r>
        <w:t xml:space="preserve">Where the owner app is served from.</w:t>
      </w:r>
    </w:p>
    <w:p>
      <w:pPr/>
      <w:r>
        <w:rPr>
          <w:b/>
        </w:rPr>
        <w:t xml:space="preserve">Risks</w:t>
      </w:r>
    </w:p>
    <w:p>
      <w:pPr>
        <w:pStyle w:val="ListParagraph"/>
        <w:numPr>
          <w:ilvl w:val="0"/>
          <w:numId w:val="13"/>
        </w:numPr>
      </w:pPr>
      <w:r>
        <w:t xml:space="preserve">Cold starts on the first request after idle.</w:t>
      </w:r>
    </w:p>
    <w:p>
      <w:pPr>
        <w:pStyle w:val="ListParagraph"/>
        <w:numPr>
          <w:ilvl w:val="0"/>
          <w:numId w:val="13"/>
        </w:numPr>
      </w:pPr>
      <w:r>
        <w:t xml:space="preserve">Free project pausing after a week of inactivity.</w:t>
      </w:r>
    </w:p>
    <w:p>
      <w:pPr>
        <w:pStyle w:val="ListParagraph"/>
        <w:numPr>
          <w:ilvl w:val="0"/>
          <w:numId w:val="13"/>
        </w:numPr>
      </w:pPr>
      <w:r>
        <w:t xml:space="preserve">Fusion's ability to make outbound requests is unverified.</w:t>
      </w:r>
    </w:p>
    <w:p>
      <w:pPr>
        <w:pStyle w:val="ListParagraph"/>
        <w:numPr>
          <w:ilvl w:val="0"/>
          <w:numId w:val="13"/>
        </w:numPr>
      </w:pPr>
      <w:r>
        <w:t xml:space="preserve">Forecaster runtime is unmeasured.</w:t>
      </w:r>
    </w:p>
    <w:p>
      <w:pPr>
        <w:pStyle w:val="ListParagraph"/>
        <w:numPr>
          <w:ilvl w:val="0"/>
          <w:numId w:val="13"/>
        </w:numPr>
      </w:pPr>
      <w:r>
        <w:t xml:space="preserve">Secrets exposed through the .env files or a public repo.</w:t>
      </w:r>
    </w:p>
    <w:p>
      <w:pPr>
        <w:pStyle w:val="Heading2"/>
      </w:pPr>
      <w:r>
        <w:t xml:space="preserve">15. Changes to the PRD</w:t>
      </w:r>
    </w:p>
    <w:p>
      <w:pPr>
        <w:pStyle w:val="ListParagraph"/>
        <w:numPr>
          <w:ilvl w:val="0"/>
          <w:numId w:val="14"/>
        </w:numPr>
      </w:pPr>
      <w:r>
        <w:t xml:space="preserve">Open item 4 (AWS choices) is resolved: Supabase only.</w:t>
      </w:r>
    </w:p>
    <w:p>
      <w:pPr>
        <w:pStyle w:val="ListParagraph"/>
        <w:numPr>
          <w:ilvl w:val="0"/>
          <w:numId w:val="14"/>
        </w:numPr>
      </w:pPr>
      <w:r>
        <w:t xml:space="preserve">Add risks: Edge Function cold starts and free-project pausing.</w:t>
      </w:r>
    </w:p>
    <w:p>
      <w:pPr>
        <w:pStyle w:val="ListParagraph"/>
        <w:numPr>
          <w:ilvl w:val="0"/>
          <w:numId w:val="14"/>
        </w:numPr>
      </w:pPr>
      <w:r>
        <w:t xml:space="preserve">The forecast is per product with a p10, p50, p90 range, not a single number.</w:t>
      </w:r>
    </w:p>
    <w:p>
      <w:pPr>
        <w:pStyle w:val="ListParagraph"/>
        <w:numPr>
          <w:ilvl w:val="0"/>
          <w:numId w:val="14"/>
        </w:numPr>
      </w:pPr>
      <w:r>
        <w:t xml:space="preserve">Fusion holds no item metadata today, so a demo catalog file supplies name, category and shelf life.</w:t>
      </w:r>
    </w:p>
    <w:p>
      <w:pPr>
        <w:pStyle w:val="ListParagraph"/>
        <w:numPr>
          <w:ilvl w:val="0"/>
          <w:numId w:val="14"/>
        </w:numPr>
      </w:pPr>
      <w:r>
        <w:t xml:space="preserve">The PRD Must item for a live Fusion feed becomes replay first, live second.</w:t>
      </w:r>
    </w:p>
    <w:p>
      <w:pPr>
        <w:pStyle w:val="ListParagraph"/>
        <w:numPr>
          <w:ilvl w:val="0"/>
          <w:numId w:val="14"/>
        </w:numPr>
      </w:pPr>
      <w:r>
        <w:t xml:space="preserve">Open item 2 (button or IR) is still open.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Smart Warehouse IoT Technical Requirements Document</dc:title>
  <dc:description>Claude Docs node/2bd52662-47f8@1 docx-w7</dc:description>
  <cp:revision>1</cp:revision>
</cp:coreProperties>
</file>