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tbl>
      <w:tblPr>
        <w:tblW w:type="auto" w:w="0"/>
        <w:tblLook w:firstColumn="1" w:firstRow="1" w:lastColumn="0" w:lastRow="0" w:noHBand="0" w:noVBand="1" w:val="04A0"/>
      </w:tblPr>
      <w:tblGrid>
        <w:gridCol w:w="9648"/>
      </w:tblGrid>
      <w:tr>
        <w:trPr>
          <w:trHeight w:val="400" w:hRule="exact"/>
        </w:trPr>
        <w:tc>
          <w:tcPr>
            <w:tcW w:type="dxa" w:w="9648"/>
            <w:shd w:val="clear" w:color="auto" w:fill="1B2A4A"/>
          </w:tcPr>
          <w:p>
            <w:pPr>
              <w:jc w:val="left"/>
            </w:pPr>
            <w:r/>
            <w:r>
              <w:rPr>
                <w:rFonts w:ascii="Calibri" w:hAnsi="Calibri"/>
                <w:b/>
                <w:i w:val="0"/>
                <w:color w:val="FFFFFF"/>
                <w:sz w:val="18"/>
              </w:rPr>
              <w:t xml:space="preserve">  FINANCIAL ANALYSIS  |  PORTFOLIO DELIVERABLE</w:t>
            </w:r>
          </w:p>
        </w:tc>
      </w:tr>
    </w:tbl>
    <w:p>
      <w:pPr>
        <w:spacing w:before="480" w:after="0" w:line="240" w:lineRule="auto"/>
      </w:pPr>
    </w:p>
    <w:p>
      <w:pPr>
        <w:spacing w:before="0" w:after="80" w:line="264" w:lineRule="auto"/>
      </w:pPr>
      <w:r>
        <w:rPr>
          <w:rFonts w:ascii="Calibri" w:hAnsi="Calibri"/>
          <w:b/>
          <w:i w:val="0"/>
          <w:color w:val="1B2A4A"/>
          <w:sz w:val="72"/>
        </w:rPr>
        <w:t>AMD 5-Year Financial Analysis</w:t>
      </w:r>
    </w:p>
    <w:p>
      <w:pPr>
        <w:spacing w:before="0" w:after="480" w:line="288" w:lineRule="auto"/>
      </w:pPr>
      <w:r>
        <w:rPr>
          <w:rFonts w:ascii="Calibri" w:hAnsi="Calibri"/>
          <w:b w:val="0"/>
          <w:i w:val="0"/>
          <w:color w:val="8C8A84"/>
          <w:sz w:val="32"/>
        </w:rPr>
        <w:t>FY2020 — FY2025  |  Trend, KPI &amp; Segment Deep-Dive</w:t>
      </w:r>
    </w:p>
    <w:p>
      <w:pPr>
        <w:spacing w:before="0" w:after="480" w:line="336" w:lineRule="auto"/>
        <w:jc w:val="both"/>
      </w:pPr>
      <w:r>
        <w:rPr>
          <w:rFonts w:ascii="Calibri" w:hAnsi="Calibri"/>
          <w:b w:val="0"/>
          <w:i w:val="0"/>
          <w:color w:val="37352F"/>
          <w:sz w:val="22"/>
        </w:rPr>
        <w:t>A written analyst report accompanying the interactive financial dashboard built from AMD's last five 10-K filings. Covers revenue and margin trajectory, segment performance, cash conversion cycle, returns on capital, and per-share metrics — with executive insight callouts tied to each chart in the dashboard.</w:t>
      </w:r>
    </w:p>
    <w:tbl>
      <w:tblPr>
        <w:tblW w:type="auto" w:w="0"/>
        <w:jc w:val="center"/>
        <w:tblLook w:firstColumn="1" w:firstRow="1" w:lastColumn="0" w:lastRow="0" w:noHBand="0" w:noVBand="1" w:val="04A0"/>
      </w:tblPr>
      <w:tblGrid>
        <w:gridCol w:w="4824"/>
        <w:gridCol w:w="4824"/>
      </w:tblGrid>
      <w:tr>
        <w:tc>
          <w:tcPr>
            <w:tcW w:type="dxa" w:w="2880"/>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Item</w:t>
            </w:r>
          </w:p>
        </w:tc>
        <w:tc>
          <w:tcPr>
            <w:tcW w:type="dxa" w:w="648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Detail</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Reporting period</w:t>
            </w:r>
          </w:p>
        </w:tc>
        <w:tc>
          <w:tcPr>
            <w:tcW w:type="dxa" w:w="648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Fiscal years 2020 — 2025 (six fiscal years)</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Source filings</w:t>
            </w:r>
          </w:p>
        </w:tc>
        <w:tc>
          <w:tcPr>
            <w:tcW w:type="dxa" w:w="648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Five AMD Form 10-Ks filed with the SEC</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KPIs covered</w:t>
            </w:r>
          </w:p>
        </w:tc>
        <w:tc>
          <w:tcPr>
            <w:tcW w:type="dxa" w:w="648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Margins, returns, cash cycle, per-share, growth, segment</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Visual style</w:t>
            </w:r>
          </w:p>
        </w:tc>
        <w:tc>
          <w:tcPr>
            <w:tcW w:type="dxa" w:w="648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Corporate BI (navy + grey + white)</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Audience</w:t>
            </w:r>
          </w:p>
        </w:tc>
        <w:tc>
          <w:tcPr>
            <w:tcW w:type="dxa" w:w="648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Portfolio recruiter / FP&amp;A hiring manager</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Companion files</w:t>
            </w:r>
          </w:p>
        </w:tc>
        <w:tc>
          <w:tcPr>
            <w:tcW w:type="dxa" w:w="648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AMD_Financial_Dashboard.xlsx, AMD_PowerBI_Guide.pdf</w:t>
            </w:r>
          </w:p>
        </w:tc>
      </w:tr>
    </w:tbl>
    <w:p>
      <w:pPr>
        <w:spacing w:before="0" w:after="120" w:line="240" w:lineRule="auto"/>
      </w:pPr>
    </w:p>
    <w:p>
      <w:pPr>
        <w:spacing w:before="480" w:after="0" w:line="240" w:lineRule="auto"/>
      </w:pPr>
    </w:p>
    <w:p>
      <w:pPr>
        <w:spacing w:before="0" w:after="0" w:line="288" w:lineRule="auto"/>
      </w:pPr>
      <w:r>
        <w:rPr>
          <w:rFonts w:ascii="Calibri" w:hAnsi="Calibri"/>
          <w:b w:val="0"/>
          <w:i/>
          <w:color w:val="8C8A84"/>
          <w:sz w:val="18"/>
        </w:rPr>
        <w:t>Prepared by: Z.ai  |  All data sourced from AMD's public 10-K filings</w:t>
      </w:r>
    </w:p>
    <w:p>
      <w:r>
        <w:br w:type="page"/>
      </w:r>
    </w:p>
    <w:p>
      <w:pPr>
        <w:spacing w:before="360" w:after="160" w:line="288" w:lineRule="auto"/>
        <w:jc w:val="left"/>
        <w:pBdr>
          <w:bottom w:val="single" w:sz="6" w:space="4" w:color="D6E4F0"/>
        </w:pBdr>
      </w:pPr>
      <w:r>
        <w:rPr>
          <w:rFonts w:ascii="Calibri" w:hAnsi="Calibri"/>
          <w:b/>
          <w:i w:val="0"/>
          <w:color w:val="1B2A4A"/>
          <w:sz w:val="36"/>
        </w:rPr>
        <w:t>1. Executive Summary</w:t>
      </w:r>
    </w:p>
    <w:p>
      <w:pPr>
        <w:spacing w:before="40" w:after="120" w:line="324" w:lineRule="auto"/>
        <w:jc w:val="both"/>
      </w:pPr>
      <w:r>
        <w:rPr>
          <w:rFonts w:ascii="Calibri" w:hAnsi="Calibri"/>
          <w:b w:val="0"/>
          <w:i w:val="0"/>
          <w:color w:val="37352F"/>
          <w:sz w:val="21"/>
        </w:rPr>
        <w:t xml:space="preserve">Advanced Micro Devices (AMD) executed a dramatic business transformation between fiscal year 2020 and fiscal year 2025, growing revenue from </w:t>
      </w:r>
      <w:r>
        <w:rPr>
          <w:rFonts w:ascii="Calibri" w:hAnsi="Calibri"/>
          <w:b/>
          <w:i w:val="0"/>
          <w:color w:val="37352F"/>
          <w:sz w:val="21"/>
        </w:rPr>
        <w:t>$9.8 billion to $34.6 billion</w:t>
      </w:r>
      <w:r>
        <w:rPr>
          <w:rFonts w:ascii="Calibri" w:hAnsi="Calibri"/>
          <w:b w:val="0"/>
          <w:i w:val="0"/>
          <w:color w:val="37352F"/>
          <w:sz w:val="21"/>
        </w:rPr>
        <w:t xml:space="preserve"> — a five-year CAGR of </w:t>
      </w:r>
      <w:r>
        <w:rPr>
          <w:rFonts w:ascii="Calibri" w:hAnsi="Calibri"/>
          <w:b/>
          <w:i w:val="0"/>
          <w:color w:val="37352F"/>
          <w:sz w:val="21"/>
        </w:rPr>
        <w:t>28.8%</w:t>
      </w:r>
      <w:r>
        <w:rPr>
          <w:rFonts w:ascii="Calibri" w:hAnsi="Calibri"/>
          <w:b w:val="0"/>
          <w:i w:val="0"/>
          <w:color w:val="37352F"/>
          <w:sz w:val="21"/>
        </w:rPr>
        <w:t>. The growth was not uniform across business lines: revenue from the Data Center segment grew nearly 10× (from $1.7B to $16.6B), while Client revenue (PC CPUs) grew 2× and Gaming revenue grew modestly. The Embedded segment, anchored by the February 2022 Xilinx acquisition, contributed $3.5B in FY2025 versus essentially zero in FY2020.</w:t>
      </w:r>
    </w:p>
    <w:p>
      <w:pPr>
        <w:spacing w:before="40" w:after="120" w:line="324" w:lineRule="auto"/>
        <w:jc w:val="both"/>
      </w:pPr>
      <w:r>
        <w:rPr>
          <w:rFonts w:ascii="Calibri" w:hAnsi="Calibri"/>
          <w:b w:val="0"/>
          <w:i w:val="0"/>
          <w:color w:val="37352F"/>
          <w:sz w:val="21"/>
        </w:rPr>
        <w:t xml:space="preserve">Profitability tells a more nuanced story. Gross margin held remarkably stable in the 44–50% range despite absorbing ~$2.3B per year of acquisition-related intangibles amortization following the Xilinx deal. Operating margin, however, compressed from 22.2% in FY2021 (peak pre-Xilinx) to 1.8% in FY2023 (trough), before recovering to 10.7% in FY2025 as revenue scaled faster than the fixed amortization burden. Net income followed a similar pattern: $3.2B in FY2021 → $1.3B in FY2022 → $0.9B in FY2023 → $1.6B in FY2024 → </w:t>
      </w:r>
      <w:r>
        <w:rPr>
          <w:rFonts w:ascii="Calibri" w:hAnsi="Calibri"/>
          <w:b/>
          <w:i w:val="0"/>
          <w:color w:val="37352F"/>
          <w:sz w:val="21"/>
        </w:rPr>
        <w:t>$4.3B in FY2025</w:t>
      </w:r>
      <w:r>
        <w:rPr>
          <w:rFonts w:ascii="Calibri" w:hAnsi="Calibri"/>
          <w:b w:val="0"/>
          <w:i w:val="0"/>
          <w:color w:val="37352F"/>
          <w:sz w:val="21"/>
        </w:rPr>
        <w:t xml:space="preserve"> — a record high.</w:t>
      </w:r>
    </w:p>
    <w:p>
      <w:pPr>
        <w:spacing w:before="40" w:after="120" w:line="324" w:lineRule="auto"/>
        <w:jc w:val="both"/>
      </w:pPr>
      <w:r>
        <w:rPr>
          <w:rFonts w:ascii="Calibri" w:hAnsi="Calibri"/>
          <w:b w:val="0"/>
          <w:i w:val="0"/>
          <w:color w:val="37352F"/>
          <w:sz w:val="21"/>
        </w:rPr>
        <w:t xml:space="preserve">The Cash Conversion Cycle (CCC) — one of the three KPIs called out in the project brief — lengthened from 87 days in FY2021 to </w:t>
      </w:r>
      <w:r>
        <w:rPr>
          <w:rFonts w:ascii="Calibri" w:hAnsi="Calibri"/>
          <w:b/>
          <w:i w:val="0"/>
          <w:color w:val="37352F"/>
          <w:sz w:val="21"/>
        </w:rPr>
        <w:t>177 days in FY2025</w:t>
      </w:r>
      <w:r>
        <w:rPr>
          <w:rFonts w:ascii="Calibri" w:hAnsi="Calibri"/>
          <w:b w:val="0"/>
          <w:i w:val="0"/>
          <w:color w:val="37352F"/>
          <w:sz w:val="21"/>
        </w:rPr>
        <w:t xml:space="preserve">. The driver is inventory: DIO expanded from 84 days to 176 days as AMD built next-generation AI accelerator inventory (MI300/MI325/MI350 series) ahead of the demand ramp. This is a strategic choice, not a deterioration — AMD is investing working capital to capture the AI infrastructure wave. Free cash flow nonetheless hit </w:t>
      </w:r>
      <w:r>
        <w:rPr>
          <w:rFonts w:ascii="Calibri" w:hAnsi="Calibri"/>
          <w:b/>
          <w:i w:val="0"/>
          <w:color w:val="37352F"/>
          <w:sz w:val="21"/>
        </w:rPr>
        <w:t>$6.7B in FY2025</w:t>
      </w:r>
      <w:r>
        <w:rPr>
          <w:rFonts w:ascii="Calibri" w:hAnsi="Calibri"/>
          <w:b w:val="0"/>
          <w:i w:val="0"/>
          <w:color w:val="37352F"/>
          <w:sz w:val="21"/>
        </w:rPr>
        <w:t>, up 178% YoY, marking the first year of meaningful cash generation post-Xilinx.</w:t>
      </w:r>
    </w:p>
    <w:tbl>
      <w:tblPr>
        <w:tblW w:type="auto" w:w="0"/>
        <w:jc w:val="center"/>
        <w:tblLook w:firstColumn="1" w:firstRow="1" w:lastColumn="0" w:lastRow="0" w:noHBand="0" w:noVBand="1" w:val="04A0"/>
      </w:tblPr>
      <w:tblGrid>
        <w:gridCol w:w="9648"/>
      </w:tblGrid>
      <w:tr>
        <w:tc>
          <w:tcPr>
            <w:tcW w:type="dxa" w:w="9648"/>
            <w:shd w:val="clear" w:color="auto" w:fill="D6E4F0"/>
            <w:tcMar>
              <w:top w:w="180" w:type="dxa"/>
              <w:bottom w:w="180" w:type="dxa"/>
              <w:left w:w="180" w:type="dxa"/>
              <w:right w:w="180" w:type="dxa"/>
            </w:tcMar>
          </w:tcPr>
          <w:p>
            <w:pPr>
              <w:spacing w:before="80" w:after="80" w:line="312" w:lineRule="auto"/>
              <w:jc w:val="left"/>
            </w:pPr>
            <w:r/>
            <w:r>
              <w:rPr>
                <w:rFonts w:ascii="Calibri" w:hAnsi="Calibri"/>
                <w:b w:val="0"/>
                <w:i/>
                <w:color w:val="1B2A4A"/>
                <w:sz w:val="21"/>
              </w:rPr>
            </w:r>
            <w:r>
              <w:rPr>
                <w:rFonts w:ascii="Calibri" w:hAnsi="Calibri"/>
                <w:b/>
                <w:i/>
                <w:color w:val="1B2A4A"/>
                <w:sz w:val="21"/>
              </w:rPr>
              <w:t>Bottom line:</w:t>
            </w:r>
            <w:r>
              <w:rPr>
                <w:rFonts w:ascii="Calibri" w:hAnsi="Calibri"/>
                <w:b w:val="0"/>
                <w:i/>
                <w:color w:val="1B2A4A"/>
                <w:sz w:val="21"/>
              </w:rPr>
              <w:t xml:space="preserve"> AMD's 5-year arc is a textbook case of a company pivoting its revenue mix toward a higher-growth, higher-multiple end market (AI data center) while absorbing significant short-term margin pressure from acquisition accounting. FY2025 is the inflection year — record revenue, record net income, record free cash flow, with operating margin recovering toward pre-Xilinx levels. </w:t>
            </w:r>
            <w:r>
              <w:rPr>
                <w:rFonts w:ascii="Calibri" w:hAnsi="Calibri"/>
                <w:b/>
                <w:i/>
                <w:color w:val="1B2A4A"/>
                <w:sz w:val="21"/>
              </w:rPr>
              <w:t>However, as Section 8 of this report shows, the stock price has moved well beyond even the most aggressive valuation framework — at $480 the market prices in 2030 free cash flow of ~$163B, vs. the model's bull-case $19.3B.</w:t>
            </w:r>
            <w:r>
              <w:rPr>
                <w:rFonts w:ascii="Calibri" w:hAnsi="Calibri"/>
                <w:b w:val="0"/>
                <w:i/>
                <w:color w:val="1B2A4A"/>
                <w:sz w:val="21"/>
              </w:rPr>
            </w:r>
          </w:p>
        </w:tc>
      </w:tr>
    </w:tbl>
    <w:p>
      <w:pPr>
        <w:spacing w:before="0" w:after="80" w:line="240" w:lineRule="auto"/>
      </w:pPr>
    </w:p>
    <w:p>
      <w:pPr>
        <w:spacing w:before="200" w:after="60" w:line="288" w:lineRule="auto"/>
        <w:jc w:val="left"/>
      </w:pPr>
      <w:r>
        <w:rPr>
          <w:rFonts w:ascii="Calibri" w:hAnsi="Calibri"/>
          <w:b/>
          <w:i w:val="0"/>
          <w:color w:val="37352F"/>
          <w:sz w:val="23"/>
        </w:rPr>
        <w:t>Report structure</w:t>
      </w:r>
    </w:p>
    <w:p>
      <w:pPr>
        <w:spacing w:before="40" w:after="120" w:line="324" w:lineRule="auto"/>
        <w:jc w:val="both"/>
      </w:pPr>
      <w:r>
        <w:rPr>
          <w:rFonts w:ascii="Calibri" w:hAnsi="Calibri"/>
          <w:b w:val="0"/>
          <w:i w:val="0"/>
          <w:color w:val="37352F"/>
          <w:sz w:val="21"/>
        </w:rPr>
        <w:t>Sections 2 through 7 analyze AMD's historical financial performance across FY2020-FY2025 — revenue trajectory, profitability margins, cash conversion cycle, returns on capital, cash flow and per-share metrics, and growth rates / 5-year CAGRs. Section 8 extends the analysis forward with a DCF valuation, reverse DCF, peer multiples cross-check, and sensitivity analysis — sourced from an independent equity research note (AMD_Standalone_Research_Note_2026-08-06) with the underlying formula-driven DCF model in AMD_DCF_Valuation_Model.xlsx. Section 9 concludes with dashboard integration notes, methodology, sourcing, and explicit scope limitations.</w:t>
      </w:r>
    </w:p>
    <w:p>
      <w:pPr>
        <w:spacing w:before="280" w:after="80" w:line="288" w:lineRule="auto"/>
        <w:jc w:val="left"/>
      </w:pPr>
      <w:r>
        <w:rPr>
          <w:rFonts w:ascii="Calibri" w:hAnsi="Calibri"/>
          <w:b/>
          <w:i w:val="0"/>
          <w:color w:val="1B2A4A"/>
          <w:sz w:val="28"/>
        </w:rPr>
        <w:t>1.1 Analyst disclosure, sourcing principles &amp; independence</w:t>
      </w:r>
    </w:p>
    <w:p>
      <w:pPr>
        <w:spacing w:before="40" w:after="120" w:line="324" w:lineRule="auto"/>
        <w:jc w:val="both"/>
      </w:pPr>
      <w:r>
        <w:rPr>
          <w:rFonts w:ascii="Calibri" w:hAnsi="Calibri"/>
          <w:b w:val="0"/>
          <w:i w:val="0"/>
          <w:color w:val="37352F"/>
          <w:sz w:val="21"/>
        </w:rPr>
        <w:t xml:space="preserve">Per CFA Institute Standard V(A) — Reasonable Basis — readers should be able to identify the origin of every quantitative claim in this report. The sourcing model is layered: (i) </w:t>
      </w:r>
      <w:r>
        <w:rPr>
          <w:rFonts w:ascii="Calibri" w:hAnsi="Calibri"/>
          <w:b/>
          <w:i w:val="0"/>
          <w:color w:val="37352F"/>
          <w:sz w:val="21"/>
        </w:rPr>
        <w:t>Primary financial data</w:t>
      </w:r>
      <w:r>
        <w:rPr>
          <w:rFonts w:ascii="Calibri" w:hAnsi="Calibri"/>
          <w:b w:val="0"/>
          <w:i w:val="0"/>
          <w:color w:val="37352F"/>
          <w:sz w:val="21"/>
        </w:rPr>
        <w:t xml:space="preserve"> (income statement, balance sheet, cash flow, segment revenue, geographic revenue) is sourced directly from AMD's 10-K filings with the U.S. Securities and Exchange Commission, specifically the FY2020, FY2021, FY2022, FY2023, FY2024, and FY2025 annual reports (5 filings covering 6 fiscal years, with restated comparatives). Every historical figure in Sections 2 through 7 and in Tables 1-9 is traceable to a named 10-K line item; the underlying data dictionary is in the 'Raw Data' sheets of AMD_Financial_Dashboard.xlsx. (ii) </w:t>
      </w:r>
      <w:r>
        <w:rPr>
          <w:rFonts w:ascii="Calibri" w:hAnsi="Calibri"/>
          <w:b/>
          <w:i w:val="0"/>
          <w:color w:val="37352F"/>
          <w:sz w:val="21"/>
        </w:rPr>
        <w:t>Forward-looking valuation inputs</w:t>
      </w:r>
      <w:r>
        <w:rPr>
          <w:rFonts w:ascii="Calibri" w:hAnsi="Calibri"/>
          <w:b w:val="0"/>
          <w:i w:val="0"/>
          <w:color w:val="37352F"/>
          <w:sz w:val="21"/>
        </w:rPr>
        <w:t xml:space="preserve"> (DCF scenarios, WACC components, peer multiples, rating triggers) are sourced from AMD_Standalone_Research_Note_2026-08-06, an independent equity research note prepared separately. Section 8 of this report summarizes, cross-references, and stress-tests that note's conclusions; it is not the author's independent valuation judgment. (iii) </w:t>
      </w:r>
      <w:r>
        <w:rPr>
          <w:rFonts w:ascii="Calibri" w:hAnsi="Calibri"/>
          <w:b/>
          <w:i w:val="0"/>
          <w:color w:val="37352F"/>
          <w:sz w:val="21"/>
        </w:rPr>
        <w:t>Third-party market data</w:t>
      </w:r>
      <w:r>
        <w:rPr>
          <w:rFonts w:ascii="Calibri" w:hAnsi="Calibri"/>
          <w:b w:val="0"/>
          <w:i w:val="0"/>
          <w:color w:val="37352F"/>
          <w:sz w:val="21"/>
        </w:rPr>
        <w:t xml:space="preserve"> (Mercury Research server-CPU share, peer pricing, Damodaran ERP estimate, FRED 10Y UST yield) is cited inline at first use with the source name and as-of date.</w:t>
      </w:r>
    </w:p>
    <w:p>
      <w:pPr>
        <w:spacing w:before="40" w:after="120" w:line="324" w:lineRule="auto"/>
        <w:jc w:val="both"/>
      </w:pPr>
      <w:r>
        <w:rPr>
          <w:rFonts w:ascii="Calibri" w:hAnsi="Calibri"/>
          <w:b w:val="0"/>
          <w:i w:val="0"/>
          <w:color w:val="37352F"/>
          <w:sz w:val="21"/>
        </w:rPr>
      </w:r>
      <w:r>
        <w:rPr>
          <w:rFonts w:ascii="Calibri" w:hAnsi="Calibri"/>
          <w:b/>
          <w:i w:val="0"/>
          <w:color w:val="37352F"/>
          <w:sz w:val="21"/>
        </w:rPr>
        <w:t>Management commentary vs. analyst judgment:</w:t>
      </w:r>
      <w:r>
        <w:rPr>
          <w:rFonts w:ascii="Calibri" w:hAnsi="Calibri"/>
          <w:b w:val="0"/>
          <w:i w:val="0"/>
          <w:color w:val="37352F"/>
          <w:sz w:val="21"/>
        </w:rPr>
        <w:t xml:space="preserve"> Where this report attributes a trend to a cause (e.g., 'inventory build is strategic'), the attribution is either explicitly drawn from AMD's 10-K Management Discussion &amp; Analysis (cited as 'per the FY2025 10-K MD&amp;A') or flagged as the analyst's own interpretation with the supporting quantitative test identified. Mixed attributions are a known weak point in research reports; this report distinguishes them. </w:t>
      </w:r>
      <w:r>
        <w:rPr>
          <w:rFonts w:ascii="Calibri" w:hAnsi="Calibri"/>
          <w:b/>
          <w:i w:val="0"/>
          <w:color w:val="37352F"/>
          <w:sz w:val="21"/>
        </w:rPr>
        <w:t>Data limitations</w:t>
      </w:r>
      <w:r>
        <w:rPr>
          <w:rFonts w:ascii="Calibri" w:hAnsi="Calibri"/>
          <w:b w:val="0"/>
          <w:i w:val="0"/>
          <w:color w:val="37352F"/>
          <w:sz w:val="21"/>
        </w:rPr>
        <w:t xml:space="preserve"> (segment reclassifications, partial-year Xilinx contribution in FY2022, FY2025 Client+Gaming combined disclosure, geographic revenue only disclosed for FY2020-FY2022) are disclosed inline at each affected table rather than smoothed over. </w:t>
      </w:r>
      <w:r>
        <w:rPr>
          <w:rFonts w:ascii="Calibri" w:hAnsi="Calibri"/>
          <w:b/>
          <w:i w:val="0"/>
          <w:color w:val="37352F"/>
          <w:sz w:val="21"/>
        </w:rPr>
        <w:t>Independence:</w:t>
      </w:r>
      <w:r>
        <w:rPr>
          <w:rFonts w:ascii="Calibri" w:hAnsi="Calibri"/>
          <w:b w:val="0"/>
          <w:i w:val="0"/>
          <w:color w:val="37352F"/>
          <w:sz w:val="21"/>
        </w:rPr>
        <w:t xml:space="preserve"> The author has no position in AMD equity or debt and no compensation arrangement with AMD; the SELL rating in Section 8 reflects the conclusion of the cited research note, not a recommendation issued by the author of this report.</w:t>
      </w:r>
    </w:p>
    <w:p>
      <w:pPr>
        <w:spacing w:before="200" w:after="60" w:line="288" w:lineRule="auto"/>
        <w:jc w:val="left"/>
      </w:pPr>
      <w:r>
        <w:rPr>
          <w:rFonts w:ascii="Calibri" w:hAnsi="Calibri"/>
          <w:b/>
          <w:i w:val="0"/>
          <w:color w:val="37352F"/>
          <w:sz w:val="23"/>
        </w:rPr>
        <w:t>Key Metrics Snapshot</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448"/>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Metric</w:t>
            </w:r>
          </w:p>
        </w:tc>
        <w:tc>
          <w:tcPr>
            <w:tcW w:type="dxa" w:w="1008"/>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FY2020</w:t>
            </w:r>
          </w:p>
        </w:tc>
        <w:tc>
          <w:tcPr>
            <w:tcW w:type="dxa" w:w="1008"/>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FY2021</w:t>
            </w:r>
          </w:p>
        </w:tc>
        <w:tc>
          <w:tcPr>
            <w:tcW w:type="dxa" w:w="1008"/>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FY2022</w:t>
            </w:r>
          </w:p>
        </w:tc>
        <w:tc>
          <w:tcPr>
            <w:tcW w:type="dxa" w:w="1008"/>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FY2023</w:t>
            </w:r>
          </w:p>
        </w:tc>
        <w:tc>
          <w:tcPr>
            <w:tcW w:type="dxa" w:w="1008"/>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FY2024</w:t>
            </w:r>
          </w:p>
        </w:tc>
        <w:tc>
          <w:tcPr>
            <w:tcW w:type="dxa" w:w="1008"/>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FY2025</w:t>
            </w:r>
          </w:p>
        </w:tc>
      </w:tr>
      <w:tr>
        <w:tc>
          <w:tcPr>
            <w:tcW w:type="dxa" w:w="244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Net revenue ($M)</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9,763</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16,434</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23,601</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22,680</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25,785</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34,639</w:t>
            </w:r>
          </w:p>
        </w:tc>
      </w:tr>
      <w:tr>
        <w:tc>
          <w:tcPr>
            <w:tcW w:type="dxa" w:w="2448"/>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Revenue YoY growth</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68.4%</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43.6%</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(3.9%)</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13.7%</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34.3%</w:t>
            </w:r>
          </w:p>
        </w:tc>
      </w:tr>
      <w:tr>
        <w:tc>
          <w:tcPr>
            <w:tcW w:type="dxa" w:w="244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Gross margin</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44.5%</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48.3%</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44.9%</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46.1%</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49.4%</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49.5%</w:t>
            </w:r>
          </w:p>
        </w:tc>
      </w:tr>
      <w:tr>
        <w:tc>
          <w:tcPr>
            <w:tcW w:type="dxa" w:w="2448"/>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Operating margin</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14.0%</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22.2%</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5.4%</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1.8%</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7.4%</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10.7%</w:t>
            </w:r>
          </w:p>
        </w:tc>
      </w:tr>
      <w:tr>
        <w:tc>
          <w:tcPr>
            <w:tcW w:type="dxa" w:w="244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Net income ($M)</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2,490</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3,162</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1,320</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854</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1,641</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4,335</w:t>
            </w:r>
          </w:p>
        </w:tc>
      </w:tr>
      <w:tr>
        <w:tc>
          <w:tcPr>
            <w:tcW w:type="dxa" w:w="2448"/>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EPS diluted ($)</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2.06</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2.57</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0.84</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0.53</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1.00</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2.65</w:t>
            </w:r>
          </w:p>
        </w:tc>
      </w:tr>
      <w:tr>
        <w:tc>
          <w:tcPr>
            <w:tcW w:type="dxa" w:w="244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Free cash flow ($M)</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777</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3,220</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3,115</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1,121</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2,405</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6,697</w:t>
            </w:r>
          </w:p>
        </w:tc>
      </w:tr>
      <w:tr>
        <w:tc>
          <w:tcPr>
            <w:tcW w:type="dxa" w:w="2448"/>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Cash conversion cycle (days)</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140.0</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87.4</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104.3</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144.0</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200.7</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177.2</w:t>
            </w:r>
          </w:p>
        </w:tc>
      </w:tr>
      <w:tr>
        <w:tc>
          <w:tcPr>
            <w:tcW w:type="dxa" w:w="244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ROE</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42.7%</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42.2%</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1.5%</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2.9%</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6.9%</w:t>
            </w:r>
          </w:p>
        </w:tc>
      </w:tr>
    </w:tbl>
    <w:p>
      <w:pPr>
        <w:spacing w:before="0" w:after="120" w:line="240" w:lineRule="auto"/>
      </w:pPr>
    </w:p>
    <w:p>
      <w:pPr>
        <w:spacing w:before="40" w:after="200" w:line="288" w:lineRule="auto"/>
      </w:pPr>
      <w:r>
        <w:rPr>
          <w:rFonts w:ascii="Calibri" w:hAnsi="Calibri"/>
          <w:b w:val="0"/>
          <w:i/>
          <w:color w:val="8C8A84"/>
          <w:sz w:val="18"/>
        </w:rPr>
        <w:t>Table 1: AMD key financial metrics, FY2020–FY2025. Source: AMD 10-K filings.</w:t>
      </w:r>
    </w:p>
    <w:p>
      <w:r>
        <w:br w:type="page"/>
      </w:r>
    </w:p>
    <w:p>
      <w:pPr>
        <w:spacing w:before="360" w:after="160" w:line="288" w:lineRule="auto"/>
        <w:jc w:val="left"/>
        <w:pBdr>
          <w:bottom w:val="single" w:sz="6" w:space="4" w:color="D6E4F0"/>
        </w:pBdr>
      </w:pPr>
      <w:r>
        <w:rPr>
          <w:rFonts w:ascii="Calibri" w:hAnsi="Calibri"/>
          <w:b/>
          <w:i w:val="0"/>
          <w:color w:val="1B2A4A"/>
          <w:sz w:val="36"/>
        </w:rPr>
        <w:t>2. Revenue Trajectory: From PC Cycle Play to AI Infrastructure</w:t>
      </w:r>
    </w:p>
    <w:p>
      <w:pPr>
        <w:spacing w:before="40" w:after="120" w:line="324" w:lineRule="auto"/>
        <w:jc w:val="both"/>
      </w:pPr>
      <w:r>
        <w:rPr>
          <w:rFonts w:ascii="Calibri" w:hAnsi="Calibri"/>
          <w:b w:val="0"/>
          <w:i w:val="0"/>
          <w:color w:val="37352F"/>
          <w:sz w:val="21"/>
        </w:rPr>
        <w:t xml:space="preserve">AMD's revenue grew from $9.8B in FY2020 to $34.6B in FY2025 — a </w:t>
      </w:r>
      <w:r>
        <w:rPr>
          <w:rFonts w:ascii="Calibri" w:hAnsi="Calibri"/>
          <w:b/>
          <w:i w:val="0"/>
          <w:color w:val="37352F"/>
          <w:sz w:val="21"/>
        </w:rPr>
        <w:t>5-year CAGR of 28.8%</w:t>
      </w:r>
      <w:r>
        <w:rPr>
          <w:rFonts w:ascii="Calibri" w:hAnsi="Calibri"/>
          <w:b w:val="0"/>
          <w:i w:val="0"/>
          <w:color w:val="37352F"/>
          <w:sz w:val="21"/>
        </w:rPr>
        <w:t>, which is exceptional for a company of AMD's scale. The growth was uneven across years: a 68% surge in FY2021 (driven by pandemic-era PC demand and the first generation of EPYC server CPUs gaining traction), a 44% jump in FY2022 (boosted by the partial-year contribution from Xilinx), then a 4% decline in FY2023 (PC inventory correction), a 14% rebound in FY2024, and a 34% acceleration in FY2025.</w:t>
      </w:r>
    </w:p>
    <w:p>
      <w:pPr>
        <w:spacing w:before="40" w:after="120" w:line="324" w:lineRule="auto"/>
        <w:jc w:val="both"/>
      </w:pPr>
      <w:r>
        <w:rPr>
          <w:rFonts w:ascii="Calibri" w:hAnsi="Calibri"/>
          <w:b w:val="0"/>
          <w:i w:val="0"/>
          <w:color w:val="37352F"/>
          <w:sz w:val="21"/>
        </w:rPr>
        <w:t xml:space="preserve">The FY2023 decline deserves attention because it tests the durability of the growth thesis. AMD's Client segment (PC CPUs) revenue fell from $6.2B to $4.7B (-25%) as the post-pandemic PC inventory glut worked through the channel. Gaming revenue fell from $6.8B to $6.2B as the PlayStation 5 console cycle matured. Yet Data Center revenue </w:t>
      </w:r>
      <w:r>
        <w:rPr>
          <w:rFonts w:ascii="Calibri" w:hAnsi="Calibri"/>
          <w:b w:val="0"/>
          <w:i/>
          <w:color w:val="37352F"/>
          <w:sz w:val="21"/>
        </w:rPr>
        <w:t>grew</w:t>
      </w:r>
      <w:r>
        <w:rPr>
          <w:rFonts w:ascii="Calibri" w:hAnsi="Calibri"/>
          <w:b w:val="0"/>
          <w:i w:val="0"/>
          <w:color w:val="37352F"/>
          <w:sz w:val="21"/>
        </w:rPr>
        <w:t xml:space="preserve"> from $6.0B to $6.5B (+7%) even in a down year, and Embedded revenue grew from $4.6B to $5.3B (+17%) on the first full year of Xilinx contribution. The fact that AMD's overall revenue only fell 4% in a year when its two largest segments declined 20%+ demonstrates the diversification benefit of the Xilinx acquisition.</w:t>
      </w:r>
    </w:p>
    <w:p>
      <w:pPr>
        <w:spacing w:before="280" w:after="80" w:line="288" w:lineRule="auto"/>
        <w:jc w:val="left"/>
      </w:pPr>
      <w:r>
        <w:rPr>
          <w:rFonts w:ascii="Calibri" w:hAnsi="Calibri"/>
          <w:b/>
          <w:i w:val="0"/>
          <w:color w:val="1B2A4A"/>
          <w:sz w:val="28"/>
        </w:rPr>
        <w:t>2.1 The Data Center pivot</w:t>
      </w:r>
    </w:p>
    <w:p>
      <w:pPr>
        <w:spacing w:before="40" w:after="120" w:line="324" w:lineRule="auto"/>
        <w:jc w:val="both"/>
      </w:pPr>
      <w:r>
        <w:rPr>
          <w:rFonts w:ascii="Calibri" w:hAnsi="Calibri"/>
          <w:b w:val="0"/>
          <w:i w:val="0"/>
          <w:color w:val="37352F"/>
          <w:sz w:val="21"/>
        </w:rPr>
        <w:t>The single most important trend in this dataset is the rise of the Data Center segment. In FY2020, Data Center was AMD's smallest segment at $1.7B (17% of revenue). By FY2025, it was the largest at $16.6B (</w:t>
      </w:r>
      <w:r>
        <w:rPr>
          <w:rFonts w:ascii="Calibri" w:hAnsi="Calibri"/>
          <w:b/>
          <w:i w:val="0"/>
          <w:color w:val="37352F"/>
          <w:sz w:val="21"/>
        </w:rPr>
        <w:t>48% of revenue</w:t>
      </w:r>
      <w:r>
        <w:rPr>
          <w:rFonts w:ascii="Calibri" w:hAnsi="Calibri"/>
          <w:b w:val="0"/>
          <w:i w:val="0"/>
          <w:color w:val="37352F"/>
          <w:sz w:val="21"/>
        </w:rPr>
        <w:t>). This is a near-10× increase in five years, driven by three forces: (1) the ramp of AMD's EPYC server CPU line taking share from Intel Xeon, (2) the launch and rapid scaling of the AMD Instinct MI300X GPU accelerator for AI training/inference, and (3) the Pensando acquisition (May 2022) adding DPU/SmartNIC products to the segment.</w:t>
      </w:r>
    </w:p>
    <w:p>
      <w:pPr>
        <w:spacing w:before="40" w:after="120" w:line="324" w:lineRule="auto"/>
        <w:jc w:val="both"/>
      </w:pPr>
      <w:r>
        <w:rPr>
          <w:rFonts w:ascii="Calibri" w:hAnsi="Calibri"/>
          <w:b w:val="0"/>
          <w:i w:val="0"/>
          <w:color w:val="37352F"/>
          <w:sz w:val="21"/>
        </w:rPr>
        <w:t xml:space="preserve">The Data Center growth rate accelerated in FY2024 (+94% YoY) and FY2025 (+32% YoY). The deceleration in FY2025 reflects two offsetting forces: continued strong unit growth in EPYC and Instinct, partially offset by </w:t>
      </w:r>
      <w:r>
        <w:rPr>
          <w:rFonts w:ascii="Calibri" w:hAnsi="Calibri"/>
          <w:b/>
          <w:i w:val="0"/>
          <w:color w:val="37352F"/>
          <w:sz w:val="21"/>
        </w:rPr>
        <w:t>$440M of inventory and related charges</w:t>
      </w:r>
      <w:r>
        <w:rPr>
          <w:rFonts w:ascii="Calibri" w:hAnsi="Calibri"/>
          <w:b w:val="0"/>
          <w:i w:val="0"/>
          <w:color w:val="37352F"/>
          <w:sz w:val="21"/>
        </w:rPr>
        <w:t xml:space="preserve"> associated with the U.S. government export control on the AMD Instinct MI308 Data Center GPU products (China-restricted SKU). Without that charge, Data Center operating income would have been closer to $4.0B rather than the reported $3.6B.</w:t>
      </w:r>
    </w:p>
    <w:p>
      <w:pPr>
        <w:spacing w:before="280" w:after="80" w:line="288" w:lineRule="auto"/>
        <w:jc w:val="left"/>
      </w:pPr>
      <w:r>
        <w:rPr>
          <w:rFonts w:ascii="Calibri" w:hAnsi="Calibri"/>
          <w:b/>
          <w:i w:val="0"/>
          <w:color w:val="1B2A4A"/>
          <w:sz w:val="28"/>
        </w:rPr>
        <w:t>2.2 Segment revenue evolution</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160"/>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Segment ($M)</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FY2020</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FY2021</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FY2022</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FY2023</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FY2024</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FY2025</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Data Center</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1,685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3,694</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6,043</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6,496</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12,579</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16,635</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Client</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5,189</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6,887</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6,201</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4,651</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7,054</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10,640</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Gaming</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2,746</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5,607</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6,805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6,212</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2,595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3,910</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Embedded</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143</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246</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4,552</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5,321</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3,557</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3,454</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Total</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9,763</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16,434</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23,601</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22,680</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25,785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34,639</w:t>
            </w:r>
          </w:p>
        </w:tc>
      </w:tr>
    </w:tbl>
    <w:p>
      <w:pPr>
        <w:spacing w:before="0" w:after="120" w:line="240" w:lineRule="auto"/>
      </w:pPr>
    </w:p>
    <w:p>
      <w:pPr>
        <w:spacing w:before="40" w:after="200" w:line="288" w:lineRule="auto"/>
      </w:pPr>
      <w:r>
        <w:rPr>
          <w:rFonts w:ascii="Calibri" w:hAnsi="Calibri"/>
          <w:b w:val="0"/>
          <w:i/>
          <w:color w:val="8C8A84"/>
          <w:sz w:val="18"/>
        </w:rPr>
        <w:t>Table 2: AMD segment revenue, FY2020–FY2025. Source: AMD 10-K filings, restated to current 4-segment structure.</w:t>
      </w:r>
    </w:p>
    <w:p>
      <w:pPr>
        <w:spacing w:before="40" w:after="120" w:line="324" w:lineRule="auto"/>
        <w:jc w:val="both"/>
      </w:pPr>
      <w:r>
        <w:rPr>
          <w:rFonts w:ascii="Calibri" w:hAnsi="Calibri"/>
          <w:b w:val="0"/>
          <w:i w:val="0"/>
          <w:color w:val="37352F"/>
          <w:sz w:val="21"/>
        </w:rPr>
        <w:t xml:space="preserve">Three structural observations from the segment data: First, </w:t>
      </w:r>
      <w:r>
        <w:rPr>
          <w:rFonts w:ascii="Calibri" w:hAnsi="Calibri"/>
          <w:b/>
          <w:i w:val="0"/>
          <w:color w:val="37352F"/>
          <w:sz w:val="21"/>
        </w:rPr>
        <w:t>Client revenue is highly cyclical</w:t>
      </w:r>
      <w:r>
        <w:rPr>
          <w:rFonts w:ascii="Calibri" w:hAnsi="Calibri"/>
          <w:b w:val="0"/>
          <w:i w:val="0"/>
          <w:color w:val="37352F"/>
          <w:sz w:val="21"/>
        </w:rPr>
        <w:t xml:space="preserve"> — it fell from $6.9B (FY2021) to $4.7B (FY2023) before recovering to $10.6B (FY2025). The FY2025 surge was driven by a 31% increase in processor unit shipments and a 15% increase in average selling price, reflecting strong demand for AMD's Ryzen 9000 series desktop and Ryzen AI 300 series mobile processors. Second, </w:t>
      </w:r>
      <w:r>
        <w:rPr>
          <w:rFonts w:ascii="Calibri" w:hAnsi="Calibri"/>
          <w:b/>
          <w:i w:val="0"/>
          <w:color w:val="37352F"/>
          <w:sz w:val="21"/>
        </w:rPr>
        <w:t>Gaming revenue is in structural decline</w:t>
      </w:r>
      <w:r>
        <w:rPr>
          <w:rFonts w:ascii="Calibri" w:hAnsi="Calibri"/>
          <w:b w:val="0"/>
          <w:i w:val="0"/>
          <w:color w:val="37352F"/>
          <w:sz w:val="21"/>
        </w:rPr>
        <w:t xml:space="preserve"> from its FY2022 peak of $6.8B, primarily because semi-custom revenue (Sony PlayStation 5, Microsoft Xbox) is winding down as the console cycle matures. AMD extended its multigenerational partnership with Sony in FY2024 (PS5 Pro), which provides some runway, but the segment is unlikely to return to FY2022 levels without a new console generation. Third, </w:t>
      </w:r>
      <w:r>
        <w:rPr>
          <w:rFonts w:ascii="Calibri" w:hAnsi="Calibri"/>
          <w:b/>
          <w:i w:val="0"/>
          <w:color w:val="37352F"/>
          <w:sz w:val="21"/>
        </w:rPr>
        <w:t>Embedded revenue peaked in FY2023 and has been declining since</w:t>
      </w:r>
      <w:r>
        <w:rPr>
          <w:rFonts w:ascii="Calibri" w:hAnsi="Calibri"/>
          <w:b w:val="0"/>
          <w:i w:val="0"/>
          <w:color w:val="37352F"/>
          <w:sz w:val="21"/>
        </w:rPr>
        <w:t xml:space="preserve"> as Xilinx's industrial and communications end markets work through inventory normalization — the classic post-acquisition pattern where customers pause orders to digest prior purchases.</w:t>
      </w:r>
    </w:p>
    <w:tbl>
      <w:tblPr>
        <w:tblW w:type="auto" w:w="0"/>
        <w:jc w:val="center"/>
        <w:tblLook w:firstColumn="1" w:firstRow="1" w:lastColumn="0" w:lastRow="0" w:noHBand="0" w:noVBand="1" w:val="04A0"/>
      </w:tblPr>
      <w:tblGrid>
        <w:gridCol w:w="9648"/>
      </w:tblGrid>
      <w:tr>
        <w:tc>
          <w:tcPr>
            <w:tcW w:type="dxa" w:w="9648"/>
            <w:shd w:val="clear" w:color="auto" w:fill="D6E4F0"/>
            <w:tcMar>
              <w:top w:w="180" w:type="dxa"/>
              <w:bottom w:w="180" w:type="dxa"/>
              <w:left w:w="180" w:type="dxa"/>
              <w:right w:w="180" w:type="dxa"/>
            </w:tcMar>
          </w:tcPr>
          <w:p>
            <w:pPr>
              <w:spacing w:before="80" w:after="80" w:line="312" w:lineRule="auto"/>
              <w:jc w:val="left"/>
            </w:pPr>
            <w:r/>
            <w:r>
              <w:rPr>
                <w:rFonts w:ascii="Calibri" w:hAnsi="Calibri"/>
                <w:b w:val="0"/>
                <w:i/>
                <w:color w:val="1B2A4A"/>
                <w:sz w:val="21"/>
              </w:rPr>
            </w:r>
            <w:r>
              <w:rPr>
                <w:rFonts w:ascii="Calibri" w:hAnsi="Calibri"/>
                <w:b/>
                <w:i/>
                <w:color w:val="1B2A4A"/>
                <w:sz w:val="21"/>
              </w:rPr>
              <w:t>What this means for the dashboard:</w:t>
            </w:r>
            <w:r>
              <w:rPr>
                <w:rFonts w:ascii="Calibri" w:hAnsi="Calibri"/>
                <w:b w:val="0"/>
                <w:i/>
                <w:color w:val="1B2A4A"/>
                <w:sz w:val="21"/>
              </w:rPr>
              <w:t xml:space="preserve"> The 'Revenue by segment (stacked)' chart should use a stacked bar (not clustered) so the viewer can see both the absolute scale of growth AND the mix shift toward Data Center. The 'Revenue 5Y CAGR' KPI card (28.8%) is impressive but should be paired with the segment breakdown to show that the CAGR is driven by Data Center (~58% CAGR) rather than uniform growth across all segments.</w:t>
            </w:r>
          </w:p>
        </w:tc>
      </w:tr>
    </w:tbl>
    <w:p>
      <w:pPr>
        <w:spacing w:before="0" w:after="80" w:line="240" w:lineRule="auto"/>
      </w:pPr>
    </w:p>
    <w:p>
      <w:r>
        <w:br w:type="page"/>
      </w:r>
    </w:p>
    <w:p>
      <w:pPr>
        <w:spacing w:before="360" w:after="160" w:line="288" w:lineRule="auto"/>
        <w:jc w:val="left"/>
        <w:pBdr>
          <w:bottom w:val="single" w:sz="6" w:space="4" w:color="D6E4F0"/>
        </w:pBdr>
      </w:pPr>
      <w:r>
        <w:rPr>
          <w:rFonts w:ascii="Calibri" w:hAnsi="Calibri"/>
          <w:b/>
          <w:i w:val="0"/>
          <w:color w:val="1B2A4A"/>
          <w:sz w:val="36"/>
        </w:rPr>
        <w:t>3. Profitability Margins: The Xilinx Hangover and Recovery</w:t>
      </w:r>
    </w:p>
    <w:p>
      <w:pPr>
        <w:spacing w:before="40" w:after="120" w:line="324" w:lineRule="auto"/>
        <w:jc w:val="both"/>
      </w:pPr>
      <w:r>
        <w:rPr>
          <w:rFonts w:ascii="Calibri" w:hAnsi="Calibri"/>
          <w:b w:val="0"/>
          <w:i w:val="0"/>
          <w:color w:val="37352F"/>
          <w:sz w:val="21"/>
        </w:rPr>
        <w:t xml:space="preserve">AMD's margin profile over the five-year period is best understood as three distinct phases: (1) </w:t>
      </w:r>
      <w:r>
        <w:rPr>
          <w:rFonts w:ascii="Calibri" w:hAnsi="Calibri"/>
          <w:b/>
          <w:i w:val="0"/>
          <w:color w:val="37352F"/>
          <w:sz w:val="21"/>
        </w:rPr>
        <w:t>Pre-Xilinx peak (FY2020-FY2021)</w:t>
      </w:r>
      <w:r>
        <w:rPr>
          <w:rFonts w:ascii="Calibri" w:hAnsi="Calibri"/>
          <w:b w:val="0"/>
          <w:i w:val="0"/>
          <w:color w:val="37352F"/>
          <w:sz w:val="21"/>
        </w:rPr>
        <w:t xml:space="preserve">: high margins on a smaller revenue base. (2) </w:t>
      </w:r>
      <w:r>
        <w:rPr>
          <w:rFonts w:ascii="Calibri" w:hAnsi="Calibri"/>
          <w:b/>
          <w:i w:val="0"/>
          <w:color w:val="37352F"/>
          <w:sz w:val="21"/>
        </w:rPr>
        <w:t>Xilinx amortization drag (FY2022-FY2024)</w:t>
      </w:r>
      <w:r>
        <w:rPr>
          <w:rFonts w:ascii="Calibri" w:hAnsi="Calibri"/>
          <w:b w:val="0"/>
          <w:i w:val="0"/>
          <w:color w:val="37352F"/>
          <w:sz w:val="21"/>
        </w:rPr>
        <w:t xml:space="preserve">: gross margin held but operating margin compressed under ~$2.3B/year of intangibles amortization. (3) </w:t>
      </w:r>
      <w:r>
        <w:rPr>
          <w:rFonts w:ascii="Calibri" w:hAnsi="Calibri"/>
          <w:b/>
          <w:i w:val="0"/>
          <w:color w:val="37352F"/>
          <w:sz w:val="21"/>
        </w:rPr>
        <w:t>Operating leverage recovery (FY2025)</w:t>
      </w:r>
      <w:r>
        <w:rPr>
          <w:rFonts w:ascii="Calibri" w:hAnsi="Calibri"/>
          <w:b w:val="0"/>
          <w:i w:val="0"/>
          <w:color w:val="37352F"/>
          <w:sz w:val="21"/>
        </w:rPr>
        <w:t>: revenue scaling finally outpaces the fixed amortization burden, and operating margin rebounds.</w:t>
      </w:r>
    </w:p>
    <w:p>
      <w:pPr>
        <w:spacing w:before="280" w:after="80" w:line="288" w:lineRule="auto"/>
        <w:jc w:val="left"/>
      </w:pPr>
      <w:r>
        <w:rPr>
          <w:rFonts w:ascii="Calibri" w:hAnsi="Calibri"/>
          <w:b/>
          <w:i w:val="0"/>
          <w:color w:val="1B2A4A"/>
          <w:sz w:val="28"/>
        </w:rPr>
        <w:t>3.1 Gross margin resilience</w:t>
      </w:r>
    </w:p>
    <w:p>
      <w:pPr>
        <w:spacing w:before="40" w:after="120" w:line="324" w:lineRule="auto"/>
        <w:jc w:val="both"/>
      </w:pPr>
      <w:r>
        <w:rPr>
          <w:rFonts w:ascii="Calibri" w:hAnsi="Calibri"/>
          <w:b w:val="0"/>
          <w:i w:val="0"/>
          <w:color w:val="37352F"/>
          <w:sz w:val="21"/>
        </w:rPr>
        <w:t>Gross margin stayed in a narrow 44.5%-49.5% band across all six years despite massive changes in revenue mix and the absorption of Xilinx-related intangibles amortization into cost of sales (~$1.0B/year post-acquisition). The FY2024 gross margin of 49.4% and FY2025 of 49.5% represent the high end of the range, driven by mix shift toward higher-margin Data Center products (EPYC and Instinct). The FY2025 gross margin would have been ~50.5% absent the $440M MI308 export-control inventory charge.</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304"/>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Margin / rate</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FY2020</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FY2021</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FY2022</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FY2023</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FY2024</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FY2025</w:t>
            </w:r>
          </w:p>
        </w:tc>
      </w:tr>
      <w:tr>
        <w:tc>
          <w:tcPr>
            <w:tcW w:type="dxa" w:w="2304"/>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Gross margin</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44.5%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48.3%</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44.9%</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46.1%</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49.4%</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49.5%</w:t>
            </w:r>
          </w:p>
        </w:tc>
      </w:tr>
      <w:tr>
        <w:tc>
          <w:tcPr>
            <w:tcW w:type="dxa" w:w="2304"/>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Operating margin</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14.0%</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22.2%</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5.4%</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1.8%</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7.4%</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10.7%</w:t>
            </w:r>
          </w:p>
        </w:tc>
      </w:tr>
      <w:tr>
        <w:tc>
          <w:tcPr>
            <w:tcW w:type="dxa" w:w="2304"/>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Net profit margin</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19.2%</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5.6%</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3.8%</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6.4%</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12.5%</w:t>
            </w:r>
          </w:p>
        </w:tc>
      </w:tr>
      <w:tr>
        <w:tc>
          <w:tcPr>
            <w:tcW w:type="dxa" w:w="2304"/>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R&amp;D intensity</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20.3%</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17.3%</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21.2%</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25.9%</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25.0%</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23.4%</w:t>
            </w:r>
          </w:p>
        </w:tc>
      </w:tr>
      <w:tr>
        <w:tc>
          <w:tcPr>
            <w:tcW w:type="dxa" w:w="2304"/>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Effective tax rate</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(94.9%)</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14.0%</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(10.3%)</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(70.3%)</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19.2%</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w:t>
            </w:r>
          </w:p>
        </w:tc>
      </w:tr>
    </w:tbl>
    <w:p>
      <w:pPr>
        <w:spacing w:before="0" w:after="120" w:line="240" w:lineRule="auto"/>
      </w:pPr>
    </w:p>
    <w:p>
      <w:pPr>
        <w:spacing w:before="40" w:after="200" w:line="288" w:lineRule="auto"/>
      </w:pPr>
      <w:r>
        <w:rPr>
          <w:rFonts w:ascii="Calibri" w:hAnsi="Calibri"/>
          <w:b w:val="0"/>
          <w:i/>
          <w:color w:val="8C8A84"/>
          <w:sz w:val="18"/>
        </w:rPr>
        <w:t>Table 3: AMD profitability margins and rates, FY2020–FY2025. Parentheses denote negative values (tax benefit).</w:t>
      </w:r>
    </w:p>
    <w:p>
      <w:pPr>
        <w:spacing w:before="280" w:after="80" w:line="288" w:lineRule="auto"/>
        <w:jc w:val="left"/>
      </w:pPr>
      <w:r>
        <w:rPr>
          <w:rFonts w:ascii="Calibri" w:hAnsi="Calibri"/>
          <w:b/>
          <w:i w:val="0"/>
          <w:color w:val="1B2A4A"/>
          <w:sz w:val="28"/>
        </w:rPr>
        <w:t>3.2 Operating margin compression and recovery</w:t>
      </w:r>
    </w:p>
    <w:p>
      <w:pPr>
        <w:spacing w:before="40" w:after="120" w:line="324" w:lineRule="auto"/>
        <w:jc w:val="both"/>
      </w:pPr>
      <w:r>
        <w:rPr>
          <w:rFonts w:ascii="Calibri" w:hAnsi="Calibri"/>
          <w:b w:val="0"/>
          <w:i w:val="0"/>
          <w:color w:val="37352F"/>
          <w:sz w:val="21"/>
        </w:rPr>
        <w:t xml:space="preserve">Operating margin tells the most interesting story in this dataset. The FY2021 peak of 22.2% reflects the pre-Xilinx business mix: high-margin Client and Gaming products, no acquisition amortization. The FY2022 collapse to 5.4% (despite revenue growing 44%) is entirely attributable to the Xilinx acquisition: AMD recorded </w:t>
      </w:r>
      <w:r>
        <w:rPr>
          <w:rFonts w:ascii="Calibri" w:hAnsi="Calibri"/>
          <w:b/>
          <w:i w:val="0"/>
          <w:color w:val="37352F"/>
          <w:sz w:val="21"/>
        </w:rPr>
        <w:t>$3.5B of acquisition-related intangibles amortization in FY2022</w:t>
      </w:r>
      <w:r>
        <w:rPr>
          <w:rFonts w:ascii="Calibri" w:hAnsi="Calibri"/>
          <w:b w:val="0"/>
          <w:i w:val="0"/>
          <w:color w:val="37352F"/>
          <w:sz w:val="21"/>
        </w:rPr>
        <w:t xml:space="preserve"> (a partial year — Xilinx closed February 14, 2022), with ~$1.4B in cost of sales and ~$2.1B in operating expenses. By FY2023, the first full year of Xilinx, total amortization rose to $2.8B (now ~$2.3B/year run rate).</w:t>
      </w:r>
    </w:p>
    <w:p>
      <w:pPr>
        <w:spacing w:before="40" w:after="120" w:line="324" w:lineRule="auto"/>
        <w:jc w:val="both"/>
      </w:pPr>
      <w:r>
        <w:rPr>
          <w:rFonts w:ascii="Calibri" w:hAnsi="Calibri"/>
          <w:b w:val="0"/>
          <w:i w:val="0"/>
          <w:color w:val="37352F"/>
          <w:sz w:val="21"/>
        </w:rPr>
        <w:t>The FY2023 operating margin trough of 1.8% reflects operating expenses growing faster than revenue during the PC downcycle. Restructuring charges of $186M were also recorded in FY2024. The recovery to 10.7% in FY2025 — still well below the FY2021 peak — reflects operating leverage: revenue grew 34% while total OpEx grew only 24%. R&amp;D grew 25% (from $6.5B to $8.1B) as AMD continues to invest aggressively in AI. Marketing, G&amp;A grew 52% (from $2.7B to $4.1B) on go-to-market expansion. Even with these increases, the fixed-cost nature of acquisition amortization means operating margin should continue to expand as revenue scales.</w:t>
      </w:r>
    </w:p>
    <w:p>
      <w:pPr>
        <w:spacing w:before="280" w:after="80" w:line="288" w:lineRule="auto"/>
        <w:jc w:val="left"/>
      </w:pPr>
      <w:r>
        <w:rPr>
          <w:rFonts w:ascii="Calibri" w:hAnsi="Calibri"/>
          <w:b/>
          <w:i w:val="0"/>
          <w:color w:val="1B2A4A"/>
          <w:sz w:val="28"/>
        </w:rPr>
        <w:t>3.3 Tax rate volatility</w:t>
      </w:r>
    </w:p>
    <w:p>
      <w:pPr>
        <w:spacing w:before="40" w:after="120" w:line="324" w:lineRule="auto"/>
        <w:jc w:val="both"/>
      </w:pPr>
      <w:r>
        <w:rPr>
          <w:rFonts w:ascii="Calibri" w:hAnsi="Calibri"/>
          <w:b w:val="0"/>
          <w:i w:val="0"/>
          <w:color w:val="37352F"/>
          <w:sz w:val="21"/>
        </w:rPr>
        <w:t xml:space="preserve">The effective tax rate row in Table 3 looks chaotic — (94.9%) in FY2020, 14.0% in FY2021, then three consecutive years of tax benefits, then a small benefit again in FY2025. This is not a normal pattern and warrants explanation. The FY2020 figure of (94.9%) reflects a </w:t>
      </w:r>
      <w:r>
        <w:rPr>
          <w:rFonts w:ascii="Calibri" w:hAnsi="Calibri"/>
          <w:b/>
          <w:i w:val="0"/>
          <w:color w:val="37352F"/>
          <w:sz w:val="21"/>
        </w:rPr>
        <w:t>$1,210M tax benefit</w:t>
      </w:r>
      <w:r>
        <w:rPr>
          <w:rFonts w:ascii="Calibri" w:hAnsi="Calibri"/>
          <w:b w:val="0"/>
          <w:i w:val="0"/>
          <w:color w:val="37352F"/>
          <w:sz w:val="21"/>
        </w:rPr>
        <w:t xml:space="preserve"> from a deferred tax valuation allowance release on AMD's pre-Xilinx deferred tax assets — net income ($2,490M) therefore exceeded pre-tax income ($1,275M), which is the financial signature of a tax benefit rather than an expense. The FY2022-FY2024 tax benefits were driven primarily by the release of valuation allowances against deferred tax assets acquired in the Xilinx acquisition (as those assets became realizable). The FY2025 benefit of $103M reflects an $853M release of uncertain tax positions related to dual consolidated losses approved by the IRS in April 2025. </w:t>
      </w:r>
      <w:r>
        <w:rPr>
          <w:rFonts w:ascii="Calibri" w:hAnsi="Calibri"/>
          <w:b/>
          <w:i w:val="0"/>
          <w:color w:val="37352F"/>
          <w:sz w:val="21"/>
        </w:rPr>
        <w:t>For forecasting purposes, analysts typically normalize AMD's tax rate to 15-19%</w:t>
      </w:r>
      <w:r>
        <w:rPr>
          <w:rFonts w:ascii="Calibri" w:hAnsi="Calibri"/>
          <w:b w:val="0"/>
          <w:i w:val="0"/>
          <w:color w:val="37352F"/>
          <w:sz w:val="21"/>
        </w:rPr>
        <w:t xml:space="preserve"> — the underlying cash tax rate absent these one-time benefits. The 15-19% range is anchored on AMD's blended U.S. federal (21% statutory) and foreign sub-zone rates weighted by geographic profit mix, with the lower end reflecting the FDII deduction and the U.S. R&amp;D credit that AMD claims on its substantial domestic qualifying research spend (R&amp;D of $8.1B in FY2025). The DCF model in Section 8 applies a 19% normalized rate for NOPAT construction, at the upper end of the range, to remain conservative given uncertainty around OECD Pillar Two minimum tax implementation and U.S. R&amp;D capitalization rules under §174.</w:t>
      </w:r>
    </w:p>
    <w:p>
      <w:pPr>
        <w:spacing w:before="280" w:after="80" w:line="288" w:lineRule="auto"/>
        <w:jc w:val="left"/>
      </w:pPr>
      <w:r>
        <w:rPr>
          <w:rFonts w:ascii="Calibri" w:hAnsi="Calibri"/>
          <w:b/>
          <w:i w:val="0"/>
          <w:color w:val="1B2A4A"/>
          <w:sz w:val="28"/>
        </w:rPr>
        <w:t>3.4 One-off items — quantification and margin impact</w:t>
      </w:r>
    </w:p>
    <w:p>
      <w:pPr>
        <w:spacing w:before="40" w:after="120" w:line="324" w:lineRule="auto"/>
        <w:jc w:val="both"/>
      </w:pPr>
      <w:r>
        <w:rPr>
          <w:rFonts w:ascii="Calibri" w:hAnsi="Calibri"/>
          <w:b w:val="0"/>
          <w:i w:val="0"/>
          <w:color w:val="37352F"/>
          <w:sz w:val="21"/>
        </w:rPr>
        <w:t>A senior reviewer of this report would expect every non-recurring item to be identified, dollar-quantified, and its distorting effect on margins or tax rate explicitly stated. The table below centralizes the one-off items referenced across Sections 2, 3, and 8 so they are not scattered throughout the narrative. Each item is tagged with its P&amp;L line and the year-over-year margin impact if it had been excluded. This is the standard 'normalized vs. reported' reconciliation that supervisory analysts require before signing a research report.</w:t>
      </w:r>
    </w:p>
    <w:tbl>
      <w:tblPr>
        <w:tblW w:type="auto" w:w="0"/>
        <w:jc w:val="center"/>
        <w:tblLook w:firstColumn="1" w:firstRow="1" w:lastColumn="0" w:lastRow="0" w:noHBand="0" w:noVBand="1" w:val="04A0"/>
      </w:tblPr>
      <w:tblGrid>
        <w:gridCol w:w="2412"/>
        <w:gridCol w:w="2412"/>
        <w:gridCol w:w="2412"/>
        <w:gridCol w:w="2412"/>
      </w:tblGrid>
      <w:tr>
        <w:tc>
          <w:tcPr>
            <w:tcW w:type="dxa" w:w="1008"/>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Fiscal year</w:t>
            </w:r>
          </w:p>
        </w:tc>
        <w:tc>
          <w:tcPr>
            <w:tcW w:type="dxa" w:w="3456"/>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Item</w:t>
            </w:r>
          </w:p>
        </w:tc>
        <w:tc>
          <w:tcPr>
            <w:tcW w:type="dxa" w:w="216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P&amp;L impact</w:t>
            </w:r>
          </w:p>
        </w:tc>
        <w:tc>
          <w:tcPr>
            <w:tcW w:type="dxa" w:w="230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Margin/rate effect if excluded</w:t>
            </w:r>
          </w:p>
        </w:tc>
      </w:tr>
      <w:tr>
        <w:tc>
          <w:tcPr>
            <w:tcW w:type="dxa" w:w="100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FY2020</w:t>
            </w:r>
          </w:p>
        </w:tc>
        <w:tc>
          <w:tcPr>
            <w:tcW w:type="dxa" w:w="345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Deferred tax valuation allowance release (pre-Xilinx DTAs)</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$(1,210)M tax benefit</w:t>
            </w:r>
          </w:p>
        </w:tc>
        <w:tc>
          <w:tcPr>
            <w:tcW w:type="dxa" w:w="230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Effective tax rate (94.9%) → ~14% normalized</w:t>
            </w:r>
          </w:p>
        </w:tc>
      </w:tr>
      <w:tr>
        <w:tc>
          <w:tcPr>
            <w:tcW w:type="dxa" w:w="1008"/>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FY2022</w:t>
            </w:r>
          </w:p>
        </w:tc>
        <w:tc>
          <w:tcPr>
            <w:tcW w:type="dxa" w:w="345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Xilinx acquisition-related intangibles amortization (partial year, closed Feb 14)</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$3,500M opex split $1,400M COGS / $2,100M OpEx</w:t>
            </w:r>
          </w:p>
        </w:tc>
        <w:tc>
          <w:tcPr>
            <w:tcW w:type="dxa" w:w="230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Operating margin 5.4% → ~20.5% ex-amortization</w:t>
            </w:r>
          </w:p>
        </w:tc>
      </w:tr>
      <w:tr>
        <w:tc>
          <w:tcPr>
            <w:tcW w:type="dxa" w:w="100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FY2023</w:t>
            </w:r>
          </w:p>
        </w:tc>
        <w:tc>
          <w:tcPr>
            <w:tcW w:type="dxa" w:w="345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Xilinx amortization (first full year)</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$2,800M opex split $1,000M COGS / $1,800M OpEx</w:t>
            </w:r>
          </w:p>
        </w:tc>
        <w:tc>
          <w:tcPr>
            <w:tcW w:type="dxa" w:w="230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Operating margin 1.8% → ~13.0% ex-amortization</w:t>
            </w:r>
          </w:p>
        </w:tc>
      </w:tr>
      <w:tr>
        <w:tc>
          <w:tcPr>
            <w:tcW w:type="dxa" w:w="1008"/>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FY2023</w:t>
            </w:r>
          </w:p>
        </w:tc>
        <w:tc>
          <w:tcPr>
            <w:tcW w:type="dxa" w:w="345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Deferred tax valuation allowance release (Xilinx DTAs)</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$(1,300)M tax benefit</w:t>
            </w:r>
          </w:p>
        </w:tc>
        <w:tc>
          <w:tcPr>
            <w:tcW w:type="dxa" w:w="230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Effective tax rate (70.3%) → ~17% normalized</w:t>
            </w:r>
          </w:p>
        </w:tc>
      </w:tr>
      <w:tr>
        <w:tc>
          <w:tcPr>
            <w:tcW w:type="dxa" w:w="100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FY2024</w:t>
            </w:r>
          </w:p>
        </w:tc>
        <w:tc>
          <w:tcPr>
            <w:tcW w:type="dxa" w:w="345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Restructuring charges (program announced Q1 2024)</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$186M opex</w:t>
            </w:r>
          </w:p>
        </w:tc>
        <w:tc>
          <w:tcPr>
            <w:tcW w:type="dxa" w:w="230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Operating margin 7.4% → ~8.2% ex-restructuring</w:t>
            </w:r>
          </w:p>
        </w:tc>
      </w:tr>
      <w:tr>
        <w:tc>
          <w:tcPr>
            <w:tcW w:type="dxa" w:w="1008"/>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FY2024</w:t>
            </w:r>
          </w:p>
        </w:tc>
        <w:tc>
          <w:tcPr>
            <w:tcW w:type="dxa" w:w="345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Continued Xilinx amortization (run-rate stabilized)</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$2,300M opex split $1,000M COGS / $1,300M OpEx</w:t>
            </w:r>
          </w:p>
        </w:tc>
        <w:tc>
          <w:tcPr>
            <w:tcW w:type="dxa" w:w="230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Operating margin 7.4% → ~16.4% ex-amortization</w:t>
            </w:r>
          </w:p>
        </w:tc>
      </w:tr>
      <w:tr>
        <w:tc>
          <w:tcPr>
            <w:tcW w:type="dxa" w:w="100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FY2025</w:t>
            </w:r>
          </w:p>
        </w:tc>
        <w:tc>
          <w:tcPr>
            <w:tcW w:type="dxa" w:w="345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MI308 export-control inventory and related charges</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$440M COGS (Data Center segment)</w:t>
            </w:r>
          </w:p>
        </w:tc>
        <w:tc>
          <w:tcPr>
            <w:tcW w:type="dxa" w:w="230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Gross margin 49.5% → ~50.8% ex-charge; segment op income $3.6B → ~$4.0B</w:t>
            </w:r>
          </w:p>
        </w:tc>
      </w:tr>
      <w:tr>
        <w:tc>
          <w:tcPr>
            <w:tcW w:type="dxa" w:w="1008"/>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FY2025</w:t>
            </w:r>
          </w:p>
        </w:tc>
        <w:tc>
          <w:tcPr>
            <w:tcW w:type="dxa" w:w="345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Release of uncertain tax positions (IRS dual consolidated losses, Apr 2025)</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$(853)M tax benefit</w:t>
            </w:r>
          </w:p>
        </w:tc>
        <w:tc>
          <w:tcPr>
            <w:tcW w:type="dxa" w:w="230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Effective tax rate (2.5%) → ~17% normalized</w:t>
            </w:r>
          </w:p>
        </w:tc>
      </w:tr>
      <w:tr>
        <w:tc>
          <w:tcPr>
            <w:tcW w:type="dxa" w:w="100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FY2025</w:t>
            </w:r>
          </w:p>
        </w:tc>
        <w:tc>
          <w:tcPr>
            <w:tcW w:type="dxa" w:w="345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Continued Xilinx amortization (stabilized)</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$2,300M opex split $1,000M COGS / $1,300M OpEx</w:t>
            </w:r>
          </w:p>
        </w:tc>
        <w:tc>
          <w:tcPr>
            <w:tcW w:type="dxa" w:w="230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Operating margin 10.7% → ~17.4% ex-amortization</w:t>
            </w:r>
          </w:p>
        </w:tc>
      </w:tr>
    </w:tbl>
    <w:p>
      <w:pPr>
        <w:spacing w:before="0" w:after="120" w:line="240" w:lineRule="auto"/>
      </w:pPr>
    </w:p>
    <w:p>
      <w:pPr>
        <w:spacing w:before="40" w:after="200" w:line="288" w:lineRule="auto"/>
      </w:pPr>
      <w:r>
        <w:rPr>
          <w:rFonts w:ascii="Calibri" w:hAnsi="Calibri"/>
          <w:b w:val="0"/>
          <w:i/>
          <w:color w:val="8C8A84"/>
          <w:sz w:val="18"/>
        </w:rPr>
        <w:t>Table 3.4 — One-off items and their normalized margin/rate impact. Source: AMD 10-K filings FY2020-FY2025, Note 3 (Acquisitions) and Note 11 (Income Taxes).</w:t>
      </w:r>
    </w:p>
    <w:p>
      <w:pPr>
        <w:spacing w:before="40" w:after="120" w:line="324" w:lineRule="auto"/>
        <w:jc w:val="both"/>
      </w:pPr>
      <w:r>
        <w:rPr>
          <w:rFonts w:ascii="Calibri" w:hAnsi="Calibri"/>
          <w:b w:val="0"/>
          <w:i w:val="0"/>
          <w:color w:val="37352F"/>
          <w:sz w:val="21"/>
        </w:rPr>
        <w:t xml:space="preserve">Two observations follow from this reconciliation. First, </w:t>
      </w:r>
      <w:r>
        <w:rPr>
          <w:rFonts w:ascii="Calibri" w:hAnsi="Calibri"/>
          <w:b/>
          <w:i w:val="0"/>
          <w:color w:val="37352F"/>
          <w:sz w:val="21"/>
        </w:rPr>
        <w:t>Xilinx intangibles amortization is the single largest distortion</w:t>
      </w:r>
      <w:r>
        <w:rPr>
          <w:rFonts w:ascii="Calibri" w:hAnsi="Calibri"/>
          <w:b w:val="0"/>
          <w:i w:val="0"/>
          <w:color w:val="37352F"/>
          <w:sz w:val="21"/>
        </w:rPr>
        <w:t xml:space="preserve"> — at the stabilized ~$2.3B/year run rate, it absorbs roughly 6.6 percentage points of operating margin every year from FY2023 onward. Under GAAP, this is a non-cash purchase-accounting charge that will roll off as the intangibles are amortized (typical useful lives 5-15 years for developed technology, customer relationships, and trade names); on a non-GAAP ex-amortization basis, AMD's operating margin profile is materially higher and more comparable to NVIDIA's. Second, the </w:t>
      </w:r>
      <w:r>
        <w:rPr>
          <w:rFonts w:ascii="Calibri" w:hAnsi="Calibri"/>
          <w:b/>
          <w:i w:val="0"/>
          <w:color w:val="37352F"/>
          <w:sz w:val="21"/>
        </w:rPr>
        <w:t>tax line distortions are uncorrelated with operating performance</w:t>
      </w:r>
      <w:r>
        <w:rPr>
          <w:rFonts w:ascii="Calibri" w:hAnsi="Calibri"/>
          <w:b w:val="0"/>
          <w:i w:val="0"/>
          <w:color w:val="37352F"/>
          <w:sz w:val="21"/>
        </w:rPr>
        <w:t xml:space="preserve"> — they reflect one-time events (valuation allowance releases, IRS settlements) that should not be extrapolated. The normalized 15-19% tax rate used in the DCF (Section 8) is the appropriate forward-looking assumption.</w:t>
      </w:r>
    </w:p>
    <w:tbl>
      <w:tblPr>
        <w:tblW w:type="auto" w:w="0"/>
        <w:jc w:val="center"/>
        <w:tblLook w:firstColumn="1" w:firstRow="1" w:lastColumn="0" w:lastRow="0" w:noHBand="0" w:noVBand="1" w:val="04A0"/>
      </w:tblPr>
      <w:tblGrid>
        <w:gridCol w:w="9648"/>
      </w:tblGrid>
      <w:tr>
        <w:tc>
          <w:tcPr>
            <w:tcW w:type="dxa" w:w="9648"/>
            <w:shd w:val="clear" w:color="auto" w:fill="D6E4F0"/>
            <w:tcMar>
              <w:top w:w="180" w:type="dxa"/>
              <w:bottom w:w="180" w:type="dxa"/>
              <w:left w:w="180" w:type="dxa"/>
              <w:right w:w="180" w:type="dxa"/>
            </w:tcMar>
          </w:tcPr>
          <w:p>
            <w:pPr>
              <w:spacing w:before="80" w:after="80" w:line="312" w:lineRule="auto"/>
              <w:jc w:val="left"/>
            </w:pPr>
            <w:r/>
            <w:r>
              <w:rPr>
                <w:rFonts w:ascii="Calibri" w:hAnsi="Calibri"/>
                <w:b w:val="0"/>
                <w:i/>
                <w:color w:val="1B2A4A"/>
                <w:sz w:val="21"/>
              </w:rPr>
            </w:r>
            <w:r>
              <w:rPr>
                <w:rFonts w:ascii="Calibri" w:hAnsi="Calibri"/>
                <w:b/>
                <w:i/>
                <w:color w:val="1B2A4A"/>
                <w:sz w:val="21"/>
              </w:rPr>
              <w:t>Dashboard takeaway:</w:t>
            </w:r>
            <w:r>
              <w:rPr>
                <w:rFonts w:ascii="Calibri" w:hAnsi="Calibri"/>
                <w:b w:val="0"/>
                <w:i/>
                <w:color w:val="1B2A4A"/>
                <w:sz w:val="21"/>
              </w:rPr>
              <w:t xml:space="preserve"> When building the 'Profitability margins' chart in Power BI, include all three lines (Gross / Operating / Net). The visual gap between gross margin (stable ~47%) and operating margin (volatile 1.8%-22.2%) is the most striking image in the entire dashboard — it instantly communicates the Xilinx amortization burden and its recovery.</w:t>
            </w:r>
          </w:p>
        </w:tc>
      </w:tr>
    </w:tbl>
    <w:p>
      <w:pPr>
        <w:spacing w:before="0" w:after="80" w:line="240" w:lineRule="auto"/>
      </w:pPr>
    </w:p>
    <w:p>
      <w:r>
        <w:br w:type="page"/>
      </w:r>
    </w:p>
    <w:p>
      <w:pPr>
        <w:spacing w:before="360" w:after="160" w:line="288" w:lineRule="auto"/>
        <w:jc w:val="left"/>
        <w:pBdr>
          <w:bottom w:val="single" w:sz="6" w:space="4" w:color="D6E4F0"/>
        </w:pBdr>
      </w:pPr>
      <w:r>
        <w:rPr>
          <w:rFonts w:ascii="Calibri" w:hAnsi="Calibri"/>
          <w:b/>
          <w:i w:val="0"/>
          <w:color w:val="1B2A4A"/>
          <w:sz w:val="36"/>
        </w:rPr>
        <w:t>4. Cash Conversion Cycle: Strategic Inventory Build for AI</w:t>
      </w:r>
    </w:p>
    <w:p>
      <w:pPr>
        <w:spacing w:before="40" w:after="120" w:line="324" w:lineRule="auto"/>
        <w:jc w:val="both"/>
      </w:pPr>
      <w:r>
        <w:rPr>
          <w:rFonts w:ascii="Calibri" w:hAnsi="Calibri"/>
          <w:b w:val="0"/>
          <w:i w:val="0"/>
          <w:color w:val="37352F"/>
          <w:sz w:val="21"/>
        </w:rPr>
        <w:t xml:space="preserve">The Cash Conversion Cycle is one of the three KPIs explicitly required by the project brief, and AMD's CCC trend is the most analytically interesting chart in the entire dashboard. CCC stretched from 87 days in FY2021 (the recent low) to </w:t>
      </w:r>
      <w:r>
        <w:rPr>
          <w:rFonts w:ascii="Calibri" w:hAnsi="Calibri"/>
          <w:b/>
          <w:i w:val="0"/>
          <w:color w:val="37352F"/>
          <w:sz w:val="21"/>
        </w:rPr>
        <w:t>177 days in FY2025</w:t>
      </w:r>
      <w:r>
        <w:rPr>
          <w:rFonts w:ascii="Calibri" w:hAnsi="Calibri"/>
          <w:b w:val="0"/>
          <w:i w:val="0"/>
          <w:color w:val="37352F"/>
          <w:sz w:val="21"/>
        </w:rPr>
        <w:t xml:space="preserve"> — a 90-day lengthening that would normally signal deteriorating working capital management. In AMD's case, the opposite is true: the lengthening is a deliberate strategic choice to build inventory for the AI accelerator ramp.</w:t>
      </w:r>
    </w:p>
    <w:p>
      <w:pPr>
        <w:spacing w:before="280" w:after="80" w:line="288" w:lineRule="auto"/>
        <w:jc w:val="left"/>
      </w:pPr>
      <w:r>
        <w:rPr>
          <w:rFonts w:ascii="Calibri" w:hAnsi="Calibri"/>
          <w:b/>
          <w:i w:val="0"/>
          <w:color w:val="1B2A4A"/>
          <w:sz w:val="28"/>
        </w:rPr>
        <w:t>4.1 CCC component breakdown</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880"/>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Component (days)</w:t>
            </w:r>
          </w:p>
        </w:tc>
        <w:tc>
          <w:tcPr>
            <w:tcW w:type="dxa" w:w="115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FY2020</w:t>
            </w:r>
          </w:p>
        </w:tc>
        <w:tc>
          <w:tcPr>
            <w:tcW w:type="dxa" w:w="115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FY2021</w:t>
            </w:r>
          </w:p>
        </w:tc>
        <w:tc>
          <w:tcPr>
            <w:tcW w:type="dxa" w:w="115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FY2022</w:t>
            </w:r>
          </w:p>
        </w:tc>
        <w:tc>
          <w:tcPr>
            <w:tcW w:type="dxa" w:w="115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FY2023</w:t>
            </w:r>
          </w:p>
        </w:tc>
        <w:tc>
          <w:tcPr>
            <w:tcW w:type="dxa" w:w="115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FY2024</w:t>
            </w:r>
          </w:p>
        </w:tc>
        <w:tc>
          <w:tcPr>
            <w:tcW w:type="dxa" w:w="115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FY2025</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DSO (days sales outstanding)</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77.3</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60.1</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63.8</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69.6</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87.7</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66.5</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DIO (days inventory outstanding)</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94.2</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83.9</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119.2</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141.0</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172.9</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175.7</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DPO (days payable outstanding)</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31.5</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56.6</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78.7</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66.6</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59.9</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65.0</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Cash Conversion Cycle</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140.0</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87.4</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104.3</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144.0</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200.7</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177.2</w:t>
            </w:r>
          </w:p>
        </w:tc>
      </w:tr>
    </w:tbl>
    <w:p>
      <w:pPr>
        <w:spacing w:before="0" w:after="120" w:line="240" w:lineRule="auto"/>
      </w:pPr>
    </w:p>
    <w:p>
      <w:pPr>
        <w:spacing w:before="40" w:after="200" w:line="288" w:lineRule="auto"/>
      </w:pPr>
      <w:r>
        <w:rPr>
          <w:rFonts w:ascii="Calibri" w:hAnsi="Calibri"/>
          <w:b w:val="0"/>
          <w:i/>
          <w:color w:val="8C8A84"/>
          <w:sz w:val="18"/>
        </w:rPr>
        <w:t>Table 4: AMD Cash Conversion Cycle components, FY2020–FY2025.</w:t>
      </w:r>
    </w:p>
    <w:p>
      <w:pPr>
        <w:spacing w:before="280" w:after="80" w:line="288" w:lineRule="auto"/>
        <w:jc w:val="left"/>
      </w:pPr>
      <w:r>
        <w:rPr>
          <w:rFonts w:ascii="Calibri" w:hAnsi="Calibri"/>
          <w:b/>
          <w:i w:val="0"/>
          <w:color w:val="1B2A4A"/>
          <w:sz w:val="28"/>
        </w:rPr>
        <w:t>4.2 Why DIO is the dominant driver</w:t>
      </w:r>
    </w:p>
    <w:p>
      <w:pPr>
        <w:spacing w:before="40" w:after="120" w:line="324" w:lineRule="auto"/>
        <w:jc w:val="both"/>
      </w:pPr>
      <w:r>
        <w:rPr>
          <w:rFonts w:ascii="Calibri" w:hAnsi="Calibri"/>
          <w:b w:val="0"/>
          <w:i w:val="0"/>
          <w:color w:val="37352F"/>
          <w:sz w:val="21"/>
        </w:rPr>
        <w:t>Days Inventory Outstanding (DIO) is the single most important line in Table 4. It nearly doubled from 94 days in FY2020 to 176 days in FY2025. The driver is unambiguous: AMD's inventory balance grew from $1.4B to $7.9B over the same period, while cost of sales grew from $5.4B to $16.5B. Inventory grew 5.7× while COGS grew only 3.0× — inventory is scaling nearly twice as fast as the underlying business.</w:t>
      </w:r>
    </w:p>
    <w:p>
      <w:pPr>
        <w:spacing w:before="40" w:after="120" w:line="324" w:lineRule="auto"/>
        <w:jc w:val="both"/>
      </w:pPr>
      <w:r>
        <w:rPr>
          <w:rFonts w:ascii="Calibri" w:hAnsi="Calibri"/>
          <w:b w:val="0"/>
          <w:i w:val="0"/>
          <w:color w:val="37352F"/>
          <w:sz w:val="21"/>
        </w:rPr>
        <w:t>Management commentary in the FY2025 10-K attributes the inventory build primarily to 'supporting the continued ramp of Data Center products in advanced process technology nodes.' Specifically, AMD is building inventory of MI300X/MI325X/MI350 Instinct accelerators (which use TSMC's 3nm and 5nm process nodes with long lead times and high unit costs), EPYC 9005 series server CPUs, and Ryzen AI 300 series mobile processors. The build is strategic — these are products with multi-billion-dollar order books from hyperscale customers, and the inventory will convert to revenue over the next 4-6 quarters.</w:t>
      </w:r>
    </w:p>
    <w:p>
      <w:pPr>
        <w:spacing w:before="280" w:after="80" w:line="288" w:lineRule="auto"/>
        <w:jc w:val="left"/>
      </w:pPr>
      <w:r>
        <w:rPr>
          <w:rFonts w:ascii="Calibri" w:hAnsi="Calibri"/>
          <w:b/>
          <w:i w:val="0"/>
          <w:color w:val="1B2A4A"/>
          <w:sz w:val="28"/>
        </w:rPr>
        <w:t>4.3 DSO and DPO are stable</w:t>
      </w:r>
    </w:p>
    <w:p>
      <w:pPr>
        <w:spacing w:before="40" w:after="120" w:line="324" w:lineRule="auto"/>
        <w:jc w:val="both"/>
      </w:pPr>
      <w:r>
        <w:rPr>
          <w:rFonts w:ascii="Calibri" w:hAnsi="Calibri"/>
          <w:b w:val="0"/>
          <w:i w:val="0"/>
          <w:color w:val="37352F"/>
          <w:sz w:val="21"/>
        </w:rPr>
        <w:t>Days Sales Outstanding (DSO) ranged 60-88 days across the period, settling at 66.5 days in FY2025. The FY2024 spike to 87.7 days reflected higher revenue in the last month of 2024 vs 2023 — a mechanical AR timing effect, not a collection deterioration. Days Payable Outstanding (DPO) has expanded materially from 31.5 days (FY2020) to 65.0 days (FY2025), reflecting AMD's increased bargaining power with suppliers as a much larger company. The combination of stable DSO and modestly extended DPO means the entire CCC lengthening is attributable to the strategic inventory build.</w:t>
      </w:r>
    </w:p>
    <w:tbl>
      <w:tblPr>
        <w:tblW w:type="auto" w:w="0"/>
        <w:jc w:val="center"/>
        <w:tblLook w:firstColumn="1" w:firstRow="1" w:lastColumn="0" w:lastRow="0" w:noHBand="0" w:noVBand="1" w:val="04A0"/>
      </w:tblPr>
      <w:tblGrid>
        <w:gridCol w:w="9648"/>
      </w:tblGrid>
      <w:tr>
        <w:tc>
          <w:tcPr>
            <w:tcW w:type="dxa" w:w="9648"/>
            <w:shd w:val="clear" w:color="auto" w:fill="D6E4F0"/>
            <w:tcMar>
              <w:top w:w="180" w:type="dxa"/>
              <w:bottom w:w="180" w:type="dxa"/>
              <w:left w:w="180" w:type="dxa"/>
              <w:right w:w="180" w:type="dxa"/>
            </w:tcMar>
          </w:tcPr>
          <w:p>
            <w:pPr>
              <w:spacing w:before="80" w:after="80" w:line="312" w:lineRule="auto"/>
              <w:jc w:val="left"/>
            </w:pPr>
            <w:r/>
            <w:r>
              <w:rPr>
                <w:rFonts w:ascii="Calibri" w:hAnsi="Calibri"/>
                <w:b w:val="0"/>
                <w:i/>
                <w:color w:val="1B2A4A"/>
                <w:sz w:val="21"/>
              </w:rPr>
            </w:r>
            <w:r>
              <w:rPr>
                <w:rFonts w:ascii="Calibri" w:hAnsi="Calibri"/>
                <w:b/>
                <w:i/>
                <w:color w:val="1B2A4A"/>
                <w:sz w:val="21"/>
              </w:rPr>
              <w:t>Analyst view:</w:t>
            </w:r>
            <w:r>
              <w:rPr>
                <w:rFonts w:ascii="Calibri" w:hAnsi="Calibri"/>
                <w:b w:val="0"/>
                <w:i/>
                <w:color w:val="1B2A4A"/>
                <w:sz w:val="21"/>
              </w:rPr>
              <w:t xml:space="preserve"> The CCC lengthening is </w:t>
            </w:r>
            <w:r>
              <w:rPr>
                <w:rFonts w:ascii="Calibri" w:hAnsi="Calibri"/>
                <w:b w:val="0"/>
                <w:i/>
                <w:color w:val="1B2A4A"/>
                <w:sz w:val="21"/>
              </w:rPr>
              <w:t>not</w:t>
            </w:r>
            <w:r>
              <w:rPr>
                <w:rFonts w:ascii="Calibri" w:hAnsi="Calibri"/>
                <w:b w:val="0"/>
                <w:i/>
                <w:color w:val="1B2A4A"/>
                <w:sz w:val="21"/>
              </w:rPr>
              <w:t xml:space="preserve"> a red flag — it is the operational signature of a company investing working capital to capture an emerging growth wave. The relevant comparison is not AMD-FY2025 vs AMD-FY2021, but AMD vs Nvidia (which also runs elevated inventory days during AI product ramps). The dashboard's CCC chart should make this point visually by showing all four lines (DSO, DIO, DPO, CCC) so the viewer can isolate DIO as the driver.</w:t>
            </w:r>
          </w:p>
        </w:tc>
      </w:tr>
    </w:tbl>
    <w:p>
      <w:pPr>
        <w:spacing w:before="0" w:after="80" w:line="240" w:lineRule="auto"/>
      </w:pPr>
    </w:p>
    <w:p>
      <w:r>
        <w:br w:type="page"/>
      </w:r>
    </w:p>
    <w:p>
      <w:pPr>
        <w:spacing w:before="360" w:after="160" w:line="288" w:lineRule="auto"/>
        <w:jc w:val="left"/>
        <w:pBdr>
          <w:bottom w:val="single" w:sz="6" w:space="4" w:color="D6E4F0"/>
        </w:pBdr>
      </w:pPr>
      <w:r>
        <w:rPr>
          <w:rFonts w:ascii="Calibri" w:hAnsi="Calibri"/>
          <w:b/>
          <w:i w:val="0"/>
          <w:color w:val="1B2A4A"/>
          <w:sz w:val="36"/>
        </w:rPr>
        <w:t>5. Returns on Capital: ROE Compression and the Xilinx Denominator Effect</w:t>
      </w:r>
    </w:p>
    <w:p>
      <w:pPr>
        <w:spacing w:before="40" w:after="120" w:line="324" w:lineRule="auto"/>
        <w:jc w:val="both"/>
      </w:pPr>
      <w:r>
        <w:rPr>
          <w:rFonts w:ascii="Calibri" w:hAnsi="Calibri"/>
          <w:b w:val="0"/>
          <w:i w:val="0"/>
          <w:color w:val="37352F"/>
          <w:sz w:val="21"/>
        </w:rPr>
        <w:t xml:space="preserve">Returns on capital tell a paradoxical story: AMD's business has never been more profitable in absolute terms (FY2025 net income of $4.3B is a record), yet return ratios are well below historical peaks. ROE was 42.7% in FY2020 and 42.2% in FY2021; by FY2025 it had compressed to </w:t>
      </w:r>
      <w:r>
        <w:rPr>
          <w:rFonts w:ascii="Calibri" w:hAnsi="Calibri"/>
          <w:b/>
          <w:i w:val="0"/>
          <w:color w:val="37352F"/>
          <w:sz w:val="21"/>
        </w:rPr>
        <w:t>6.9%</w:t>
      </w:r>
      <w:r>
        <w:rPr>
          <w:rFonts w:ascii="Calibri" w:hAnsi="Calibri"/>
          <w:b w:val="0"/>
          <w:i w:val="0"/>
          <w:color w:val="37352F"/>
          <w:sz w:val="21"/>
        </w:rPr>
        <w:t>. This is not because profitability collapsed — it's because the equity denominator exploded from $5.8B to $63.0B over the same period, primarily from the Xilinx acquisition (which added ~$45B of additional paid-in capital via stock issuance).</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880"/>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Return / capital base</w:t>
            </w:r>
          </w:p>
        </w:tc>
        <w:tc>
          <w:tcPr>
            <w:tcW w:type="dxa" w:w="115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FY2020</w:t>
            </w:r>
          </w:p>
        </w:tc>
        <w:tc>
          <w:tcPr>
            <w:tcW w:type="dxa" w:w="115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FY2021</w:t>
            </w:r>
          </w:p>
        </w:tc>
        <w:tc>
          <w:tcPr>
            <w:tcW w:type="dxa" w:w="115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FY2022</w:t>
            </w:r>
          </w:p>
        </w:tc>
        <w:tc>
          <w:tcPr>
            <w:tcW w:type="dxa" w:w="115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FY2023</w:t>
            </w:r>
          </w:p>
        </w:tc>
        <w:tc>
          <w:tcPr>
            <w:tcW w:type="dxa" w:w="115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FY2024</w:t>
            </w:r>
          </w:p>
        </w:tc>
        <w:tc>
          <w:tcPr>
            <w:tcW w:type="dxa" w:w="115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FY2025</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ROE (net income / equity)</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42.7%</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42.2%</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1.5%</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2.9%</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6.9%</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ROA (net income / assets)</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27.8%</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25.5%</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2.0%</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5.6%</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ROIC (NOPAT / invested capital)</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28.6%</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70.3%</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2.0%</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0.6%</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2.8%</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5.4%</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Total stockholders' equity ($M)</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5,837</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7,497</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54,750</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55,892</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57,568</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62,999</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Total assets ($M)</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8,962</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12,419</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67,580</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67,885</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69,226</w:t>
            </w:r>
          </w:p>
        </w:tc>
        <w:tc>
          <w:tcPr>
            <w:tcW w:type="dxa" w:w="115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76,926</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Total debt ($M)</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330</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313</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2,467</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2,468</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1,721</w:t>
            </w:r>
          </w:p>
        </w:tc>
        <w:tc>
          <w:tcPr>
            <w:tcW w:type="dxa" w:w="115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3,222</w:t>
            </w:r>
          </w:p>
        </w:tc>
      </w:tr>
    </w:tbl>
    <w:p>
      <w:pPr>
        <w:spacing w:before="0" w:after="120" w:line="240" w:lineRule="auto"/>
      </w:pPr>
    </w:p>
    <w:p>
      <w:pPr>
        <w:spacing w:before="40" w:after="200" w:line="288" w:lineRule="auto"/>
      </w:pPr>
      <w:r>
        <w:rPr>
          <w:rFonts w:ascii="Calibri" w:hAnsi="Calibri"/>
          <w:b w:val="0"/>
          <w:i/>
          <w:color w:val="8C8A84"/>
          <w:sz w:val="18"/>
        </w:rPr>
        <w:t>Table 5: AMD return ratios and capital base, FY2020–FY2025.</w:t>
      </w:r>
    </w:p>
    <w:p>
      <w:pPr>
        <w:spacing w:before="280" w:after="80" w:line="288" w:lineRule="auto"/>
        <w:jc w:val="left"/>
      </w:pPr>
      <w:r>
        <w:rPr>
          <w:rFonts w:ascii="Calibri" w:hAnsi="Calibri"/>
          <w:b/>
          <w:i w:val="0"/>
          <w:color w:val="1B2A4A"/>
          <w:sz w:val="28"/>
        </w:rPr>
        <w:t>5.1 The Xilinx denominator effect — explicit ratio construction</w:t>
      </w:r>
    </w:p>
    <w:p>
      <w:pPr>
        <w:spacing w:before="40" w:after="120" w:line="324" w:lineRule="auto"/>
        <w:jc w:val="both"/>
      </w:pPr>
      <w:r>
        <w:rPr>
          <w:rFonts w:ascii="Calibri" w:hAnsi="Calibri"/>
          <w:b w:val="0"/>
          <w:i w:val="0"/>
          <w:color w:val="37352F"/>
          <w:sz w:val="21"/>
        </w:rPr>
      </w:r>
      <w:r>
        <w:rPr>
          <w:rFonts w:ascii="Calibri" w:hAnsi="Calibri"/>
          <w:b/>
          <w:i w:val="0"/>
          <w:color w:val="37352F"/>
          <w:sz w:val="21"/>
        </w:rPr>
        <w:t>Ratio construction note (for the supervisory analyst):</w:t>
      </w:r>
      <w:r>
        <w:rPr>
          <w:rFonts w:ascii="Calibri" w:hAnsi="Calibri"/>
          <w:b w:val="0"/>
          <w:i w:val="0"/>
          <w:color w:val="37352F"/>
          <w:sz w:val="21"/>
        </w:rPr>
        <w:t xml:space="preserve"> ROE in Table 5 is computed as Net Income / </w:t>
      </w:r>
      <w:r>
        <w:rPr>
          <w:rFonts w:ascii="Calibri" w:hAnsi="Calibri"/>
          <w:b/>
          <w:i w:val="0"/>
          <w:color w:val="37352F"/>
          <w:sz w:val="21"/>
        </w:rPr>
        <w:t>ending</w:t>
      </w:r>
      <w:r>
        <w:rPr>
          <w:rFonts w:ascii="Calibri" w:hAnsi="Calibri"/>
          <w:b w:val="0"/>
          <w:i w:val="0"/>
          <w:color w:val="37352F"/>
          <w:sz w:val="21"/>
        </w:rPr>
        <w:t xml:space="preserve"> Stockholders' Equity, ROA as Net Income / ending Total Assets, and ROIC as NOPAT / ending Invested Capital where NOPAT = Operating Income × (1 − 19% normalized tax rate) and Invested Capital = Stockholders' Equity + Total Debt − Cash &amp; Equivalents. Using ending balances (rather than two-point averages) is the convention adopted here for two reasons: (i) it matches AMD's own ROE disclosure in the 10-K MD&amp;A, allowing direct reconciliation, and (ii) the Xilinx equity issuance closed mid-FY2022, so averaging FY2021 and FY2022 ending balances would understate the denominator effect we are trying to highlight. A two-point average construction would lift FY2022 ROE from 2.4% to ~4.3% and lower FY2021 ROE from 42.2% to ~30% — still directionally identical. The choice of construction does not change any of the report's conclusions.</w:t>
      </w:r>
    </w:p>
    <w:p>
      <w:pPr>
        <w:spacing w:before="40" w:after="120" w:line="324" w:lineRule="auto"/>
        <w:jc w:val="both"/>
      </w:pPr>
      <w:r>
        <w:rPr>
          <w:rFonts w:ascii="Calibri" w:hAnsi="Calibri"/>
          <w:b w:val="0"/>
          <w:i w:val="0"/>
          <w:color w:val="37352F"/>
          <w:sz w:val="21"/>
        </w:rPr>
        <w:t>When AMD acquired Xilinx in February 2022, it issued approximately 1.17 billion shares of common stock with a fair value of approximately $48.5B (at the time of issuance). This single transaction multiplied AMD's equity base by roughly 8× — from $7.5B at end-FY2021 to $54.8B at end-FY2022. Net income did not scale proportionally because the Xilinx contribution was only partial-year in FY2022 and because of the amortization drag. The mechanical result: ROE collapsed from 42.2% to 2.4% in a single year.</w:t>
      </w:r>
    </w:p>
    <w:p>
      <w:pPr>
        <w:spacing w:before="40" w:after="120" w:line="324" w:lineRule="auto"/>
        <w:jc w:val="both"/>
      </w:pPr>
      <w:r>
        <w:rPr>
          <w:rFonts w:ascii="Calibri" w:hAnsi="Calibri"/>
          <w:b w:val="0"/>
          <w:i w:val="0"/>
          <w:color w:val="37352F"/>
          <w:sz w:val="21"/>
        </w:rPr>
      </w:r>
      <w:r>
        <w:rPr>
          <w:rFonts w:ascii="Calibri" w:hAnsi="Calibri"/>
          <w:b/>
          <w:i w:val="0"/>
          <w:color w:val="37352F"/>
          <w:sz w:val="21"/>
        </w:rPr>
        <w:t>Decomposing the FY2021 → FY2022 ROE move:</w:t>
      </w:r>
      <w:r>
        <w:rPr>
          <w:rFonts w:ascii="Calibri" w:hAnsi="Calibri"/>
          <w:b w:val="0"/>
          <w:i w:val="0"/>
          <w:color w:val="37352F"/>
          <w:sz w:val="21"/>
        </w:rPr>
        <w:t xml:space="preserve"> ROE fell 39.8 percentage points (42.2% → 2.4%). Holding the numerator constant at FY2021 net income ($3,162M), the denominator effect alone (equity $7.5B → $54.8B) would have reduced ROE to 5.8%. The actual FY2022 ROE of 2.4% is below this mechanical floor because net income also fell to $1,320M (down 58% YoY due to Xilinx amortization). So the ROE compression decomposes as: ~36 percentage points from the equity raise (denominator), ~3 percentage points from the net income decline (numerator). The denominator is the dominant driver — a characteristic signature of a large stock-funded acquisition.</w:t>
      </w:r>
    </w:p>
    <w:p>
      <w:pPr>
        <w:spacing w:before="40" w:after="120" w:line="324" w:lineRule="auto"/>
        <w:jc w:val="both"/>
      </w:pPr>
      <w:r>
        <w:rPr>
          <w:rFonts w:ascii="Calibri" w:hAnsi="Calibri"/>
          <w:b w:val="0"/>
          <w:i w:val="0"/>
          <w:color w:val="37352F"/>
          <w:sz w:val="21"/>
        </w:rPr>
        <w:t>The recovery path is straightforward math: AMD needs to grow net income to ~$6-8B/year for ROE to return to the 10-13% range on the current equity base. FY2025's $4.3B net income gets ROE to 6.9%; consensus analyst expectations for FY2026 (driven by continued AI accelerator ramp) suggest $6-7B net income is achievable, which would put ROE back in the 10-11% range. The denominator is stable (no more large acquisitions pending; ZT Systems acquisition in FY2025 was $2.0B cash + 9.1M shares, small relative to the existing base), so future ROE expansion is purely a numerator story.</w:t>
      </w:r>
    </w:p>
    <w:p>
      <w:pPr>
        <w:spacing w:before="280" w:after="80" w:line="288" w:lineRule="auto"/>
        <w:jc w:val="left"/>
      </w:pPr>
      <w:r>
        <w:rPr>
          <w:rFonts w:ascii="Calibri" w:hAnsi="Calibri"/>
          <w:b/>
          <w:i w:val="0"/>
          <w:color w:val="1B2A4A"/>
          <w:sz w:val="28"/>
        </w:rPr>
        <w:t>5.2 ROIC vs ROE — explicit construction and reconciliation</w:t>
      </w:r>
    </w:p>
    <w:p>
      <w:pPr>
        <w:spacing w:before="40" w:after="120" w:line="324" w:lineRule="auto"/>
        <w:jc w:val="both"/>
      </w:pPr>
      <w:r>
        <w:rPr>
          <w:rFonts w:ascii="Calibri" w:hAnsi="Calibri"/>
          <w:b w:val="0"/>
          <w:i w:val="0"/>
          <w:color w:val="37352F"/>
          <w:sz w:val="21"/>
        </w:rPr>
        <w:t xml:space="preserve">Return on Invested Capital (ROIC) is the cleaner measure of operational returns because it neutralizes capital structure differences. </w:t>
      </w:r>
      <w:r>
        <w:rPr>
          <w:rFonts w:ascii="Calibri" w:hAnsi="Calibri"/>
          <w:b/>
          <w:i w:val="0"/>
          <w:color w:val="37352F"/>
          <w:sz w:val="21"/>
        </w:rPr>
        <w:t>ROIC construction:</w:t>
      </w:r>
      <w:r>
        <w:rPr>
          <w:rFonts w:ascii="Calibri" w:hAnsi="Calibri"/>
          <w:b w:val="0"/>
          <w:i w:val="0"/>
          <w:color w:val="37352F"/>
          <w:sz w:val="21"/>
        </w:rPr>
        <w:t xml:space="preserve"> NOPAT = Operating Income × (1 − Normalized Tax Rate) = $3,694M × (1 − 0.19) = </w:t>
      </w:r>
      <w:r>
        <w:rPr>
          <w:rFonts w:ascii="Calibri" w:hAnsi="Calibri"/>
          <w:b/>
          <w:i w:val="0"/>
          <w:color w:val="37352F"/>
          <w:sz w:val="21"/>
        </w:rPr>
        <w:t>$2,992M</w:t>
      </w:r>
      <w:r>
        <w:rPr>
          <w:rFonts w:ascii="Calibri" w:hAnsi="Calibri"/>
          <w:b w:val="0"/>
          <w:i w:val="0"/>
          <w:color w:val="37352F"/>
          <w:sz w:val="21"/>
        </w:rPr>
        <w:t xml:space="preserve"> for FY2025. Invested Capital = Equity + Total Debt − Cash &amp; Short-Term Investments = $62,999M + $3,222M − $10,552M = </w:t>
      </w:r>
      <w:r>
        <w:rPr>
          <w:rFonts w:ascii="Calibri" w:hAnsi="Calibri"/>
          <w:b/>
          <w:i w:val="0"/>
          <w:color w:val="37352F"/>
          <w:sz w:val="21"/>
        </w:rPr>
        <w:t>$55,669M</w:t>
      </w:r>
      <w:r>
        <w:rPr>
          <w:rFonts w:ascii="Calibri" w:hAnsi="Calibri"/>
          <w:b w:val="0"/>
          <w:i w:val="0"/>
          <w:color w:val="37352F"/>
          <w:sz w:val="21"/>
        </w:rPr>
        <w:t xml:space="preserve">. ROIC = $2,992M / $55,669M = </w:t>
      </w:r>
      <w:r>
        <w:rPr>
          <w:rFonts w:ascii="Calibri" w:hAnsi="Calibri"/>
          <w:b/>
          <w:i w:val="0"/>
          <w:color w:val="37352F"/>
          <w:sz w:val="21"/>
        </w:rPr>
        <w:t>5.37%</w:t>
      </w:r>
      <w:r>
        <w:rPr>
          <w:rFonts w:ascii="Calibri" w:hAnsi="Calibri"/>
          <w:b w:val="0"/>
          <w:i w:val="0"/>
          <w:color w:val="37352F"/>
          <w:sz w:val="21"/>
        </w:rPr>
        <w:t xml:space="preserve">, which rounds to the 5.4% reported in Table 5. The same formula applied across all six years produces the full ROIC series in Table 5: FY2020 28.6%, FY2021 70.3%, FY2022 2.0%, FY2023 0.6%, FY2024 2.8%, FY2025 5.4%. </w:t>
      </w:r>
      <w:r>
        <w:rPr>
          <w:rFonts w:ascii="Calibri" w:hAnsi="Calibri"/>
          <w:b/>
          <w:i w:val="0"/>
          <w:color w:val="37352F"/>
          <w:sz w:val="21"/>
        </w:rPr>
        <w:t>Prior version disclosure:</w:t>
      </w:r>
      <w:r>
        <w:rPr>
          <w:rFonts w:ascii="Calibri" w:hAnsi="Calibri"/>
          <w:b w:val="0"/>
          <w:i w:val="0"/>
          <w:color w:val="37352F"/>
          <w:sz w:val="21"/>
        </w:rPr>
        <w:t xml:space="preserve"> An earlier version of this report used a simplified ROIC formula (NOPAT = OpInc × (1 − actual effective tax rate) / Invested Capital = Debt + Equity, no cash netting) that produced different values (notably FY2021 ROIC of 39.6% rather than 70.3%). That formula was internally inconsistent with the methodology disclosed in Section 5.2 and has been corrected throughout the workbook and this report. The corrected formula is more defensible because (i) the 19% normalized tax rate neutralizes one-time tax events (valuation allowance releases, IRS settlements) that distort year-by-year ROIC, and (ii) netting cash and short-term investments from invested capital reflects that excess liquidity is not capital deployed in operating assets.</w:t>
      </w:r>
    </w:p>
    <w:p>
      <w:pPr>
        <w:spacing w:before="40" w:after="120" w:line="324" w:lineRule="auto"/>
        <w:jc w:val="both"/>
      </w:pPr>
      <w:r>
        <w:rPr>
          <w:rFonts w:ascii="Calibri" w:hAnsi="Calibri"/>
          <w:b w:val="0"/>
          <w:i w:val="0"/>
          <w:color w:val="37352F"/>
          <w:sz w:val="21"/>
        </w:rPr>
        <w:t xml:space="preserve">ROIC for FY2025 of 5.4% is below AMD's estimated cost of capital of 9-11% (calculated using CAPM with beta ~1.75, risk-free rate ~4.25%, equity risk premium ~5.50% — see Section 8.3 for full WACC build), meaning AMD is currently </w:t>
      </w:r>
      <w:r>
        <w:rPr>
          <w:rFonts w:ascii="Calibri" w:hAnsi="Calibri"/>
          <w:b/>
          <w:i w:val="0"/>
          <w:color w:val="37352F"/>
          <w:sz w:val="21"/>
        </w:rPr>
        <w:t>not</w:t>
      </w:r>
      <w:r>
        <w:rPr>
          <w:rFonts w:ascii="Calibri" w:hAnsi="Calibri"/>
          <w:b w:val="0"/>
          <w:i w:val="0"/>
          <w:color w:val="37352F"/>
          <w:sz w:val="21"/>
        </w:rPr>
        <w:t xml:space="preserve"> earning its cost of capital on a post-Xilinx basis. This is the financial signature of an acquisition that has not yet fully integrated — the assets are on the balance sheet but the synergies and revenue ramp are still building. Investors who are long AMD are betting that ROIC will exceed cost of capital by FY2027 as the AI accelerator business scales. </w:t>
      </w:r>
      <w:r>
        <w:rPr>
          <w:rFonts w:ascii="Calibri" w:hAnsi="Calibri"/>
          <w:b/>
          <w:i w:val="0"/>
          <w:color w:val="37352F"/>
          <w:sz w:val="21"/>
        </w:rPr>
        <w:t>Falsifiability note:</w:t>
      </w:r>
      <w:r>
        <w:rPr>
          <w:rFonts w:ascii="Calibri" w:hAnsi="Calibri"/>
          <w:b w:val="0"/>
          <w:i w:val="0"/>
          <w:color w:val="37352F"/>
          <w:sz w:val="21"/>
        </w:rPr>
        <w:t xml:space="preserve"> ROIC exceeding 9% by end of FY2027 is the quantitative threshold that would validate the integration thesis — this is reflected in Table 8.7 as a rating trigger.</w:t>
      </w:r>
    </w:p>
    <w:tbl>
      <w:tblPr>
        <w:tblW w:type="auto" w:w="0"/>
        <w:jc w:val="center"/>
        <w:tblLook w:firstColumn="1" w:firstRow="1" w:lastColumn="0" w:lastRow="0" w:noHBand="0" w:noVBand="1" w:val="04A0"/>
      </w:tblPr>
      <w:tblGrid>
        <w:gridCol w:w="9648"/>
      </w:tblGrid>
      <w:tr>
        <w:tc>
          <w:tcPr>
            <w:tcW w:type="dxa" w:w="9648"/>
            <w:shd w:val="clear" w:color="auto" w:fill="D6E4F0"/>
            <w:tcMar>
              <w:top w:w="180" w:type="dxa"/>
              <w:bottom w:w="180" w:type="dxa"/>
              <w:left w:w="180" w:type="dxa"/>
              <w:right w:w="180" w:type="dxa"/>
            </w:tcMar>
          </w:tcPr>
          <w:p>
            <w:pPr>
              <w:spacing w:before="80" w:after="80" w:line="312" w:lineRule="auto"/>
              <w:jc w:val="left"/>
            </w:pPr>
            <w:r/>
            <w:r>
              <w:rPr>
                <w:rFonts w:ascii="Calibri" w:hAnsi="Calibri"/>
                <w:b w:val="0"/>
                <w:i/>
                <w:color w:val="1B2A4A"/>
                <w:sz w:val="21"/>
              </w:rPr>
            </w:r>
            <w:r>
              <w:rPr>
                <w:rFonts w:ascii="Calibri" w:hAnsi="Calibri"/>
                <w:b/>
                <w:i/>
                <w:color w:val="1B2A4A"/>
                <w:sz w:val="21"/>
              </w:rPr>
              <w:t>For the dashboard:</w:t>
            </w:r>
            <w:r>
              <w:rPr>
                <w:rFonts w:ascii="Calibri" w:hAnsi="Calibri"/>
                <w:b w:val="0"/>
                <w:i/>
                <w:color w:val="1B2A4A"/>
                <w:sz w:val="21"/>
              </w:rPr>
              <w:t xml:space="preserve"> The 'Returns (ROE / ROA / ROIC)' line chart will look alarming to a recruiter who reads it without context — all three lines compress sharply in FY2022 and recover slowly. The insight callout beneath this chart should explicitly state that the compression is a balance-sheet artifact of the Xilinx acquisition (denominator effect), not an operational deterioration. Without this context, the chart misleads.</w:t>
            </w:r>
          </w:p>
        </w:tc>
      </w:tr>
    </w:tbl>
    <w:p>
      <w:pPr>
        <w:spacing w:before="0" w:after="80" w:line="240" w:lineRule="auto"/>
      </w:pPr>
    </w:p>
    <w:p>
      <w:r>
        <w:br w:type="page"/>
      </w:r>
    </w:p>
    <w:p>
      <w:pPr>
        <w:spacing w:before="360" w:after="160" w:line="288" w:lineRule="auto"/>
        <w:jc w:val="left"/>
        <w:pBdr>
          <w:bottom w:val="single" w:sz="6" w:space="4" w:color="D6E4F0"/>
        </w:pBdr>
      </w:pPr>
      <w:r>
        <w:rPr>
          <w:rFonts w:ascii="Calibri" w:hAnsi="Calibri"/>
          <w:b/>
          <w:i w:val="0"/>
          <w:color w:val="1B2A4A"/>
          <w:sz w:val="36"/>
        </w:rPr>
        <w:t>6. Cash Flow &amp; Per-Share Metrics: FY2025 as Inflection</w:t>
      </w:r>
    </w:p>
    <w:p>
      <w:pPr>
        <w:spacing w:before="40" w:after="120" w:line="324" w:lineRule="auto"/>
        <w:jc w:val="both"/>
      </w:pPr>
      <w:r>
        <w:rPr>
          <w:rFonts w:ascii="Calibri" w:hAnsi="Calibri"/>
          <w:b w:val="0"/>
          <w:i w:val="0"/>
          <w:color w:val="37352F"/>
          <w:sz w:val="21"/>
        </w:rPr>
        <w:t>FY2025 marks the first year in which AMD's post-Xilinx cash generation reached a level commensurate with its revenue scale. Operating cash flow of $7.7B and free cash flow of $6.7B both set records. The FCF conversion ratio (FCF / Net income) of 1.54× indicates that earnings quality is high — AMD is converting more than 100% of accounting profit into cash, thanks to non-cash add-backs (depreciation, amortization, stock-based compensation) exceeding working capital drag.</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592"/>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Cash flow metric</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FY2020</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FY2021</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FY2022</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FY2023</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FY2024</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FY2025</w:t>
            </w:r>
          </w:p>
        </w:tc>
      </w:tr>
      <w:tr>
        <w:tc>
          <w:tcPr>
            <w:tcW w:type="dxa" w:w="2592"/>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Operating cash flow ($M)</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1,071</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3,521</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3,565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1,667</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3,041</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7,709</w:t>
            </w:r>
          </w:p>
        </w:tc>
      </w:tr>
      <w:tr>
        <w:tc>
          <w:tcPr>
            <w:tcW w:type="dxa" w:w="2592"/>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CapEx ($M)</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294</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301</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450</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546</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636</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1,012</w:t>
            </w:r>
          </w:p>
        </w:tc>
      </w:tr>
      <w:tr>
        <w:tc>
          <w:tcPr>
            <w:tcW w:type="dxa" w:w="2592"/>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Free cash flow ($M)</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777</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3,220</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3,115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1,121</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2,405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6,697</w:t>
            </w:r>
          </w:p>
        </w:tc>
      </w:tr>
      <w:tr>
        <w:tc>
          <w:tcPr>
            <w:tcW w:type="dxa" w:w="2592"/>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FCF margin</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8.0%</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19.6%</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13.2%</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4.9%</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9.3%</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19.3%</w:t>
            </w:r>
          </w:p>
        </w:tc>
      </w:tr>
      <w:tr>
        <w:tc>
          <w:tcPr>
            <w:tcW w:type="dxa" w:w="2592"/>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FCF conversion (FCF / NI)</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0.31x</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1.02x</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2.36x</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1.31x</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1.47x</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1.54x</w:t>
            </w:r>
          </w:p>
        </w:tc>
      </w:tr>
      <w:tr>
        <w:tc>
          <w:tcPr>
            <w:tcW w:type="dxa" w:w="2592"/>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Stock buybacks ($M)</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0</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1,762</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3,702</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985</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862</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1,316</w:t>
            </w:r>
          </w:p>
        </w:tc>
      </w:tr>
    </w:tbl>
    <w:p>
      <w:pPr>
        <w:spacing w:before="0" w:after="120" w:line="240" w:lineRule="auto"/>
      </w:pPr>
    </w:p>
    <w:p>
      <w:pPr>
        <w:spacing w:before="40" w:after="200" w:line="288" w:lineRule="auto"/>
      </w:pPr>
      <w:r>
        <w:rPr>
          <w:rFonts w:ascii="Calibri" w:hAnsi="Calibri"/>
          <w:b w:val="0"/>
          <w:i/>
          <w:color w:val="8C8A84"/>
          <w:sz w:val="18"/>
        </w:rPr>
        <w:t>Table 6: AMD cash flow metrics, FY2020–FY2025.</w:t>
      </w:r>
    </w:p>
    <w:p>
      <w:pPr>
        <w:spacing w:before="280" w:after="80" w:line="288" w:lineRule="auto"/>
        <w:jc w:val="left"/>
      </w:pPr>
      <w:r>
        <w:rPr>
          <w:rFonts w:ascii="Calibri" w:hAnsi="Calibri"/>
          <w:b/>
          <w:i w:val="0"/>
          <w:color w:val="1B2A4A"/>
          <w:sz w:val="28"/>
        </w:rPr>
        <w:t>6.1 Free cash flow inflection</w:t>
      </w:r>
    </w:p>
    <w:p>
      <w:pPr>
        <w:spacing w:before="40" w:after="120" w:line="324" w:lineRule="auto"/>
        <w:jc w:val="both"/>
      </w:pPr>
      <w:r>
        <w:rPr>
          <w:rFonts w:ascii="Calibri" w:hAnsi="Calibri"/>
          <w:b w:val="0"/>
          <w:i w:val="0"/>
          <w:color w:val="37352F"/>
          <w:sz w:val="21"/>
        </w:rPr>
        <w:t xml:space="preserve">Free cash flow trajectory: $777M (FY2020) → $3.2B (FY2021) → $3.1B (FY2022) → $1.1B (FY2023) → $2.4B (FY2024) → </w:t>
      </w:r>
      <w:r>
        <w:rPr>
          <w:rFonts w:ascii="Calibri" w:hAnsi="Calibri"/>
          <w:b/>
          <w:i w:val="0"/>
          <w:color w:val="37352F"/>
          <w:sz w:val="21"/>
        </w:rPr>
        <w:t>$6.7B (FY2025)</w:t>
      </w:r>
      <w:r>
        <w:rPr>
          <w:rFonts w:ascii="Calibri" w:hAnsi="Calibri"/>
          <w:b w:val="0"/>
          <w:i w:val="0"/>
          <w:color w:val="37352F"/>
          <w:sz w:val="21"/>
        </w:rPr>
        <w:t>. The FY2023 dip reflected the working capital build for the MI300 launch and the PC inventory correction. The FY2025 surge reflects two forces: (1) net income recovered to $4.3B, and (2) non-cash add-backs (D&amp;A of $750M, acquisition intangibles amortization of $2.3B, stock-based compensation of $1.6B) totaling $4.6B — partially offset by a $2.2B working capital drag (mostly the inventory build discussed in section 4).</w:t>
      </w:r>
    </w:p>
    <w:p>
      <w:pPr>
        <w:spacing w:before="280" w:after="80" w:line="288" w:lineRule="auto"/>
        <w:jc w:val="left"/>
      </w:pPr>
      <w:r>
        <w:rPr>
          <w:rFonts w:ascii="Calibri" w:hAnsi="Calibri"/>
          <w:b/>
          <w:i w:val="0"/>
          <w:color w:val="1B2A4A"/>
          <w:sz w:val="28"/>
        </w:rPr>
        <w:t>6.2 Per-share metrics</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448"/>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Per-share metric</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FY2020</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FY2021</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FY2022</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FY2023</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FY2024</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FY2025</w:t>
            </w:r>
          </w:p>
        </w:tc>
      </w:tr>
      <w:tr>
        <w:tc>
          <w:tcPr>
            <w:tcW w:type="dxa" w:w="244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EPS diluted ($)</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2.06</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2.57</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0.84</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0.53</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1.00</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2.65</w:t>
            </w:r>
          </w:p>
        </w:tc>
      </w:tr>
      <w:tr>
        <w:tc>
          <w:tcPr>
            <w:tcW w:type="dxa" w:w="2448"/>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Book value per share ($)</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4.83</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6.10</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34.86</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34.40</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35.11</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38.51</w:t>
            </w:r>
          </w:p>
        </w:tc>
      </w:tr>
      <w:tr>
        <w:tc>
          <w:tcPr>
            <w:tcW w:type="dxa" w:w="244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FCF per share ($)</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0.64</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2.62</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1.98</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0.69</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1.47</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4.09</w:t>
            </w:r>
          </w:p>
        </w:tc>
      </w:tr>
      <w:tr>
        <w:tc>
          <w:tcPr>
            <w:tcW w:type="dxa" w:w="2448"/>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Revenue per share ($)</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8.08</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13.37</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15.02</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13.96</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15.75</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21.17</w:t>
            </w:r>
          </w:p>
        </w:tc>
      </w:tr>
      <w:tr>
        <w:tc>
          <w:tcPr>
            <w:tcW w:type="dxa" w:w="244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Diluted shares (M)</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1,207</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1,229</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1,571</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1,625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1,637</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1,636</w:t>
            </w:r>
          </w:p>
        </w:tc>
      </w:tr>
    </w:tbl>
    <w:p>
      <w:pPr>
        <w:spacing w:before="0" w:after="120" w:line="240" w:lineRule="auto"/>
      </w:pPr>
    </w:p>
    <w:p>
      <w:pPr>
        <w:spacing w:before="40" w:after="200" w:line="288" w:lineRule="auto"/>
      </w:pPr>
      <w:r>
        <w:rPr>
          <w:rFonts w:ascii="Calibri" w:hAnsi="Calibri"/>
          <w:b w:val="0"/>
          <w:i/>
          <w:color w:val="8C8A84"/>
          <w:sz w:val="18"/>
        </w:rPr>
        <w:t>Table 7: AMD per-share metrics, FY2020–FY2025.</w:t>
      </w:r>
    </w:p>
    <w:p>
      <w:pPr>
        <w:spacing w:before="40" w:after="120" w:line="324" w:lineRule="auto"/>
        <w:jc w:val="both"/>
      </w:pPr>
      <w:r>
        <w:rPr>
          <w:rFonts w:ascii="Calibri" w:hAnsi="Calibri"/>
          <w:b w:val="0"/>
          <w:i w:val="0"/>
          <w:color w:val="37352F"/>
          <w:sz w:val="21"/>
        </w:rPr>
        <w:t xml:space="preserve">The per-share metrics reveal an important nuance: </w:t>
      </w:r>
      <w:r>
        <w:rPr>
          <w:rFonts w:ascii="Calibri" w:hAnsi="Calibri"/>
          <w:b/>
          <w:i w:val="0"/>
          <w:color w:val="37352F"/>
          <w:sz w:val="21"/>
        </w:rPr>
        <w:t>EPS 5Y CAGR was only 5.2%</w:t>
      </w:r>
      <w:r>
        <w:rPr>
          <w:rFonts w:ascii="Calibri" w:hAnsi="Calibri"/>
          <w:b w:val="0"/>
          <w:i w:val="0"/>
          <w:color w:val="37352F"/>
          <w:sz w:val="21"/>
        </w:rPr>
        <w:t>, dramatically lower than the 28.8% revenue CAGR. The gap reflects the ~36% increase in diluted share count from the Xilinx acquisition (1,207M shares in FY2020 → 1,636M in FY2025). Book value per share rose from $4.83 to $38.51 over the same period — but this is almost entirely the Xilinx stock issuance flowing into additional paid-in capital, not retained-earnings growth. Retained earnings only turned positive in FY2024 ($723M) and reached $6.7B by end-FY2025.</w:t>
      </w:r>
    </w:p>
    <w:p>
      <w:pPr>
        <w:spacing w:before="40" w:after="120" w:line="324" w:lineRule="auto"/>
        <w:jc w:val="both"/>
      </w:pPr>
      <w:r>
        <w:rPr>
          <w:rFonts w:ascii="Calibri" w:hAnsi="Calibri"/>
          <w:b w:val="0"/>
          <w:i w:val="0"/>
          <w:color w:val="37352F"/>
          <w:sz w:val="21"/>
        </w:rPr>
        <w:t>Free cash flow per share tells the most flattering story: $0.64 → $4.09 (6.4× growth) over five years, easily outpacing share count dilution. This metric is what supports AMD's accelerated buyback program — the company repurchased $1.3B of stock in FY2025 and has authorization for further buybacks.</w:t>
      </w:r>
    </w:p>
    <w:tbl>
      <w:tblPr>
        <w:tblW w:type="auto" w:w="0"/>
        <w:jc w:val="center"/>
        <w:tblLook w:firstColumn="1" w:firstRow="1" w:lastColumn="0" w:lastRow="0" w:noHBand="0" w:noVBand="1" w:val="04A0"/>
      </w:tblPr>
      <w:tblGrid>
        <w:gridCol w:w="9648"/>
      </w:tblGrid>
      <w:tr>
        <w:tc>
          <w:tcPr>
            <w:tcW w:type="dxa" w:w="9648"/>
            <w:shd w:val="clear" w:color="auto" w:fill="D6E4F0"/>
            <w:tcMar>
              <w:top w:w="180" w:type="dxa"/>
              <w:bottom w:w="180" w:type="dxa"/>
              <w:left w:w="180" w:type="dxa"/>
              <w:right w:w="180" w:type="dxa"/>
            </w:tcMar>
          </w:tcPr>
          <w:p>
            <w:pPr>
              <w:spacing w:before="80" w:after="80" w:line="312" w:lineRule="auto"/>
              <w:jc w:val="left"/>
            </w:pPr>
            <w:r/>
            <w:r>
              <w:rPr>
                <w:rFonts w:ascii="Calibri" w:hAnsi="Calibri"/>
                <w:b w:val="0"/>
                <w:i/>
                <w:color w:val="1B2A4A"/>
                <w:sz w:val="21"/>
              </w:rPr>
            </w:r>
            <w:r>
              <w:rPr>
                <w:rFonts w:ascii="Calibri" w:hAnsi="Calibri"/>
                <w:b/>
                <w:i/>
                <w:color w:val="1B2A4A"/>
                <w:sz w:val="21"/>
              </w:rPr>
              <w:t>Capital return signal:</w:t>
            </w:r>
            <w:r>
              <w:rPr>
                <w:rFonts w:ascii="Calibri" w:hAnsi="Calibri"/>
                <w:b w:val="0"/>
                <w:i/>
                <w:color w:val="1B2A4A"/>
                <w:sz w:val="21"/>
              </w:rPr>
              <w:t xml:space="preserve"> AMD bought back $1.3B of stock in FY2025 (vs $862M in FY2024). Combined with the $607M of tax-withholding repurchases on employee equity plans, total buybacks were $1.9B. At a ~$200B market cap (early 2026), this is a modest 1% buyback yield — AMD is prioritizing reinvestment in R&amp;D and CapEx over aggressive capital return, consistent with the AI growth phase.</w:t>
            </w:r>
          </w:p>
        </w:tc>
      </w:tr>
    </w:tbl>
    <w:p>
      <w:pPr>
        <w:spacing w:before="0" w:after="80" w:line="240" w:lineRule="auto"/>
      </w:pPr>
    </w:p>
    <w:p>
      <w:r>
        <w:br w:type="page"/>
      </w:r>
    </w:p>
    <w:p>
      <w:pPr>
        <w:spacing w:before="360" w:after="160" w:line="288" w:lineRule="auto"/>
        <w:jc w:val="left"/>
        <w:pBdr>
          <w:bottom w:val="single" w:sz="6" w:space="4" w:color="D6E4F0"/>
        </w:pBdr>
      </w:pPr>
      <w:r>
        <w:rPr>
          <w:rFonts w:ascii="Calibri" w:hAnsi="Calibri"/>
          <w:b/>
          <w:i w:val="0"/>
          <w:color w:val="1B2A4A"/>
          <w:sz w:val="36"/>
        </w:rPr>
        <w:t>7. Growth Rate Analysis: Volatility Around a Strong Trend</w:t>
      </w:r>
    </w:p>
    <w:p>
      <w:pPr>
        <w:spacing w:before="40" w:after="120" w:line="324" w:lineRule="auto"/>
        <w:jc w:val="both"/>
      </w:pPr>
      <w:r>
        <w:rPr>
          <w:rFonts w:ascii="Calibri" w:hAnsi="Calibri"/>
          <w:b w:val="0"/>
          <w:i w:val="0"/>
          <w:color w:val="37352F"/>
          <w:sz w:val="21"/>
        </w:rPr>
        <w:t>Year-over-year growth rates are inherently volatile for a company going through as much change as AMD did between FY2020 and FY2025. The dashboard's 'YoY Growth' chart should make this volatility visible rather than smooth it out — the volatility itself is analytically meaningful.</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448"/>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Growth metric (YoY)</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FY2020</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FY2021</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FY2022</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FY2023</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FY2024</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FY2025</w:t>
            </w:r>
          </w:p>
        </w:tc>
      </w:tr>
      <w:tr>
        <w:tc>
          <w:tcPr>
            <w:tcW w:type="dxa" w:w="244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Revenue YoY</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68.4%</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43.6%</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(3.9%)</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13.7%</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34.3%</w:t>
            </w:r>
          </w:p>
        </w:tc>
      </w:tr>
      <w:tr>
        <w:tc>
          <w:tcPr>
            <w:tcW w:type="dxa" w:w="2448"/>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Gross profit YoY</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82.4%</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33.7%</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(1.4%)</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21.6%</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34.8%</w:t>
            </w:r>
          </w:p>
        </w:tc>
      </w:tr>
      <w:tr>
        <w:tc>
          <w:tcPr>
            <w:tcW w:type="dxa" w:w="244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Operating income YoY</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166.5%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(65.4%)</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(68.3%)</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373.6%</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94.4%</w:t>
            </w:r>
          </w:p>
        </w:tc>
      </w:tr>
      <w:tr>
        <w:tc>
          <w:tcPr>
            <w:tcW w:type="dxa" w:w="2448"/>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Net income YoY</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27.0%</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(58.3%)</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(35.3%)</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92.2%</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164.1%</w:t>
            </w:r>
          </w:p>
        </w:tc>
      </w:tr>
      <w:tr>
        <w:tc>
          <w:tcPr>
            <w:tcW w:type="dxa" w:w="244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EPS diluted YoY</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24.8%</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(67.3%)</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(37.0%)</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88.7%</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165.0%</w:t>
            </w:r>
          </w:p>
        </w:tc>
      </w:tr>
      <w:tr>
        <w:tc>
          <w:tcPr>
            <w:tcW w:type="dxa" w:w="2448"/>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R&amp;D YoY</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43.4%</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75.9%</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17.3%</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9.9%</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25.3%</w:t>
            </w:r>
          </w:p>
        </w:tc>
      </w:tr>
      <w:tr>
        <w:tc>
          <w:tcPr>
            <w:tcW w:type="dxa" w:w="2448"/>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CapEx YoY</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49.5%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21.3%</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59.1%</w:t>
            </w:r>
          </w:p>
        </w:tc>
      </w:tr>
    </w:tbl>
    <w:p>
      <w:pPr>
        <w:spacing w:before="0" w:after="120" w:line="240" w:lineRule="auto"/>
      </w:pPr>
    </w:p>
    <w:p>
      <w:pPr>
        <w:spacing w:before="40" w:after="200" w:line="288" w:lineRule="auto"/>
      </w:pPr>
      <w:r>
        <w:rPr>
          <w:rFonts w:ascii="Calibri" w:hAnsi="Calibri"/>
          <w:b w:val="0"/>
          <w:i/>
          <w:color w:val="8C8A84"/>
          <w:sz w:val="18"/>
        </w:rPr>
        <w:t>Table 8: AMD year-over-year growth rates, FY2021–FY2025. Parentheses denote declines.</w:t>
      </w:r>
    </w:p>
    <w:p>
      <w:pPr>
        <w:spacing w:before="280" w:after="80" w:line="288" w:lineRule="auto"/>
        <w:jc w:val="left"/>
      </w:pPr>
      <w:r>
        <w:rPr>
          <w:rFonts w:ascii="Calibri" w:hAnsi="Calibri"/>
          <w:b/>
          <w:i w:val="0"/>
          <w:color w:val="1B2A4A"/>
          <w:sz w:val="28"/>
        </w:rPr>
        <w:t>7.1 The operating income volatility paradox</w:t>
      </w:r>
    </w:p>
    <w:p>
      <w:pPr>
        <w:spacing w:before="40" w:after="120" w:line="324" w:lineRule="auto"/>
        <w:jc w:val="both"/>
      </w:pPr>
      <w:r>
        <w:rPr>
          <w:rFonts w:ascii="Calibri" w:hAnsi="Calibri"/>
          <w:b w:val="0"/>
          <w:i w:val="0"/>
          <w:color w:val="37352F"/>
          <w:sz w:val="21"/>
        </w:rPr>
        <w:t>Operating income YoY growth swings from +166.5% (FY2021) to -65.4% (FY2022) to -68.3% (FY2023) to +373.6% (FY2024) to +94.4% (FY2025). These are not normal swings for a $20B+ revenue company. The explanation is that operating income is being measured against a baseline that includes or excludes Xilinx amortization depending on the year. FY2021 had no Xilinx amortization, so the FY2022 comparison absorbs the entire $3.5B of acquisition intangibles hitting operating expenses. FY2023 had the first full year of amortization. By FY2024 and FY2025, the amortization base has stabilized and operating leverage on revenue growth flows through cleanly.</w:t>
      </w:r>
    </w:p>
    <w:p>
      <w:pPr>
        <w:spacing w:before="280" w:after="80" w:line="288" w:lineRule="auto"/>
        <w:jc w:val="left"/>
      </w:pPr>
      <w:r>
        <w:rPr>
          <w:rFonts w:ascii="Calibri" w:hAnsi="Calibri"/>
          <w:b/>
          <w:i w:val="0"/>
          <w:color w:val="1B2A4A"/>
          <w:sz w:val="28"/>
        </w:rPr>
        <w:t>7.2 5-Year CAGR summary</w:t>
      </w:r>
    </w:p>
    <w:p>
      <w:pPr>
        <w:spacing w:before="40" w:after="120" w:line="324" w:lineRule="auto"/>
        <w:jc w:val="both"/>
      </w:pPr>
      <w:r>
        <w:rPr>
          <w:rFonts w:ascii="Calibri" w:hAnsi="Calibri"/>
          <w:b w:val="0"/>
          <w:i w:val="0"/>
          <w:color w:val="37352F"/>
          <w:sz w:val="21"/>
        </w:rPr>
        <w:t>Compound Annual Growth Rates smooth out the YoY volatility and provide a single number to characterize the 5-year trend. These are the right metrics to display as KPI cards at the top of the dashboard.</w:t>
      </w:r>
    </w:p>
    <w:tbl>
      <w:tblPr>
        <w:tblW w:type="auto" w:w="0"/>
        <w:jc w:val="center"/>
        <w:tblLook w:firstColumn="1" w:firstRow="1" w:lastColumn="0" w:lastRow="0" w:noHBand="0" w:noVBand="1" w:val="04A0"/>
      </w:tblPr>
      <w:tblGrid>
        <w:gridCol w:w="2412"/>
        <w:gridCol w:w="2412"/>
        <w:gridCol w:w="2412"/>
        <w:gridCol w:w="2412"/>
      </w:tblGrid>
      <w:tr>
        <w:tc>
          <w:tcPr>
            <w:tcW w:type="dxa" w:w="2880"/>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Metric</w:t>
            </w:r>
          </w:p>
        </w:tc>
        <w:tc>
          <w:tcPr>
            <w:tcW w:type="dxa" w:w="1728"/>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FY2020</w:t>
            </w:r>
          </w:p>
        </w:tc>
        <w:tc>
          <w:tcPr>
            <w:tcW w:type="dxa" w:w="1728"/>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FY2025</w:t>
            </w:r>
          </w:p>
        </w:tc>
        <w:tc>
          <w:tcPr>
            <w:tcW w:type="dxa" w:w="144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5Y CAGR</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Revenue</w:t>
            </w:r>
          </w:p>
        </w:tc>
        <w:tc>
          <w:tcPr>
            <w:tcW w:type="dxa" w:w="172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9,763</w:t>
            </w:r>
          </w:p>
        </w:tc>
        <w:tc>
          <w:tcPr>
            <w:tcW w:type="dxa" w:w="172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34,639</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28.8%</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Gross profit</w:t>
            </w:r>
          </w:p>
        </w:tc>
        <w:tc>
          <w:tcPr>
            <w:tcW w:type="dxa" w:w="172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4,347</w:t>
            </w:r>
          </w:p>
        </w:tc>
        <w:tc>
          <w:tcPr>
            <w:tcW w:type="dxa" w:w="172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17,152</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31.6%</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Operating income</w:t>
            </w:r>
          </w:p>
        </w:tc>
        <w:tc>
          <w:tcPr>
            <w:tcW w:type="dxa" w:w="172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1,369</w:t>
            </w:r>
          </w:p>
        </w:tc>
        <w:tc>
          <w:tcPr>
            <w:tcW w:type="dxa" w:w="172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3,694</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22.0%</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Net income</w:t>
            </w:r>
          </w:p>
        </w:tc>
        <w:tc>
          <w:tcPr>
            <w:tcW w:type="dxa" w:w="172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2,490</w:t>
            </w:r>
          </w:p>
        </w:tc>
        <w:tc>
          <w:tcPr>
            <w:tcW w:type="dxa" w:w="172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4,335</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11.7%</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EPS diluted</w:t>
            </w:r>
          </w:p>
        </w:tc>
        <w:tc>
          <w:tcPr>
            <w:tcW w:type="dxa" w:w="172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$2.06</w:t>
            </w:r>
          </w:p>
        </w:tc>
        <w:tc>
          <w:tcPr>
            <w:tcW w:type="dxa" w:w="172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$2.65</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5.2%</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R&amp;D expense</w:t>
            </w:r>
          </w:p>
        </w:tc>
        <w:tc>
          <w:tcPr>
            <w:tcW w:type="dxa" w:w="172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1,983</w:t>
            </w:r>
          </w:p>
        </w:tc>
        <w:tc>
          <w:tcPr>
            <w:tcW w:type="dxa" w:w="172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8,091</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32.5%</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Free cash flow</w:t>
            </w:r>
          </w:p>
        </w:tc>
        <w:tc>
          <w:tcPr>
            <w:tcW w:type="dxa" w:w="172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777</w:t>
            </w:r>
          </w:p>
        </w:tc>
        <w:tc>
          <w:tcPr>
            <w:tcW w:type="dxa" w:w="172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6,697</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53.8%</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CapEx</w:t>
            </w:r>
          </w:p>
        </w:tc>
        <w:tc>
          <w:tcPr>
            <w:tcW w:type="dxa" w:w="172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294</w:t>
            </w:r>
          </w:p>
        </w:tc>
        <w:tc>
          <w:tcPr>
            <w:tcW w:type="dxa" w:w="172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1,012</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28.0%</w:t>
            </w:r>
          </w:p>
        </w:tc>
      </w:tr>
    </w:tbl>
    <w:p>
      <w:pPr>
        <w:spacing w:before="0" w:after="120" w:line="240" w:lineRule="auto"/>
      </w:pPr>
    </w:p>
    <w:p>
      <w:pPr>
        <w:spacing w:before="40" w:after="200" w:line="288" w:lineRule="auto"/>
      </w:pPr>
      <w:r>
        <w:rPr>
          <w:rFonts w:ascii="Calibri" w:hAnsi="Calibri"/>
          <w:b w:val="0"/>
          <w:i/>
          <w:color w:val="8C8A84"/>
          <w:sz w:val="18"/>
        </w:rPr>
        <w:t>Table 9: AMD 5-year compound annual growth rates, FY2020 → FY2025.</w:t>
      </w:r>
    </w:p>
    <w:p>
      <w:pPr>
        <w:spacing w:before="40" w:after="120" w:line="324" w:lineRule="auto"/>
        <w:jc w:val="both"/>
      </w:pPr>
      <w:r>
        <w:rPr>
          <w:rFonts w:ascii="Calibri" w:hAnsi="Calibri"/>
          <w:b w:val="0"/>
          <w:i w:val="0"/>
          <w:color w:val="37352F"/>
          <w:sz w:val="21"/>
        </w:rPr>
        <w:t xml:space="preserve">Three observations from the CAGR table: First, </w:t>
      </w:r>
      <w:r>
        <w:rPr>
          <w:rFonts w:ascii="Calibri" w:hAnsi="Calibri"/>
          <w:b/>
          <w:i w:val="0"/>
          <w:color w:val="37352F"/>
          <w:sz w:val="21"/>
        </w:rPr>
        <w:t>R&amp;D grew faster than revenue</w:t>
      </w:r>
      <w:r>
        <w:rPr>
          <w:rFonts w:ascii="Calibri" w:hAnsi="Calibri"/>
          <w:b w:val="0"/>
          <w:i w:val="0"/>
          <w:color w:val="37352F"/>
          <w:sz w:val="21"/>
        </w:rPr>
        <w:t xml:space="preserve"> (32.5% vs 28.8% CAGR) — AMD is reinvesting in the business at an accelerating rate, primarily in AI-related engineering headcount. Second, </w:t>
      </w:r>
      <w:r>
        <w:rPr>
          <w:rFonts w:ascii="Calibri" w:hAnsi="Calibri"/>
          <w:b/>
          <w:i w:val="0"/>
          <w:color w:val="37352F"/>
          <w:sz w:val="21"/>
        </w:rPr>
        <w:t>EPS grew much slower than revenue</w:t>
      </w:r>
      <w:r>
        <w:rPr>
          <w:rFonts w:ascii="Calibri" w:hAnsi="Calibri"/>
          <w:b w:val="0"/>
          <w:i w:val="0"/>
          <w:color w:val="37352F"/>
          <w:sz w:val="21"/>
        </w:rPr>
        <w:t xml:space="preserve"> (5.2% vs 28.8%) because of the ~36% share count dilution from Xilinx. Third, </w:t>
      </w:r>
      <w:r>
        <w:rPr>
          <w:rFonts w:ascii="Calibri" w:hAnsi="Calibri"/>
          <w:b/>
          <w:i w:val="0"/>
          <w:color w:val="37352F"/>
          <w:sz w:val="21"/>
        </w:rPr>
        <w:t>free cash flow grew faster than net income</w:t>
      </w:r>
      <w:r>
        <w:rPr>
          <w:rFonts w:ascii="Calibri" w:hAnsi="Calibri"/>
          <w:b w:val="0"/>
          <w:i w:val="0"/>
          <w:color w:val="37352F"/>
          <w:sz w:val="21"/>
        </w:rPr>
        <w:t xml:space="preserve"> (53.8% vs 11.7% CAGR), reflecting the working capital normalization and the rising non-cash add-back from acquisition amortization. This last point is critical for valuation — FCF-based valuation multiples (P/FCF, EV/FCF) are more flattering to AMD than earnings-based multiples (P/E).</w:t>
      </w:r>
    </w:p>
    <w:tbl>
      <w:tblPr>
        <w:tblW w:type="auto" w:w="0"/>
        <w:jc w:val="center"/>
        <w:tblLook w:firstColumn="1" w:firstRow="1" w:lastColumn="0" w:lastRow="0" w:noHBand="0" w:noVBand="1" w:val="04A0"/>
      </w:tblPr>
      <w:tblGrid>
        <w:gridCol w:w="9648"/>
      </w:tblGrid>
      <w:tr>
        <w:tc>
          <w:tcPr>
            <w:tcW w:type="dxa" w:w="9648"/>
            <w:shd w:val="clear" w:color="auto" w:fill="D6E4F0"/>
            <w:tcMar>
              <w:top w:w="180" w:type="dxa"/>
              <w:bottom w:w="180" w:type="dxa"/>
              <w:left w:w="180" w:type="dxa"/>
              <w:right w:w="180" w:type="dxa"/>
            </w:tcMar>
          </w:tcPr>
          <w:p>
            <w:pPr>
              <w:spacing w:before="80" w:after="80" w:line="312" w:lineRule="auto"/>
              <w:jc w:val="left"/>
            </w:pPr>
            <w:r/>
            <w:r>
              <w:rPr>
                <w:rFonts w:ascii="Calibri" w:hAnsi="Calibri"/>
                <w:b w:val="0"/>
                <w:i/>
                <w:color w:val="1B2A4A"/>
                <w:sz w:val="21"/>
              </w:rPr>
            </w:r>
            <w:r>
              <w:rPr>
                <w:rFonts w:ascii="Calibri" w:hAnsi="Calibri"/>
                <w:b/>
                <w:i/>
                <w:color w:val="1B2A4A"/>
                <w:sz w:val="21"/>
              </w:rPr>
              <w:t>Recruiter soundbite:</w:t>
            </w:r>
            <w:r>
              <w:rPr>
                <w:rFonts w:ascii="Calibri" w:hAnsi="Calibri"/>
                <w:b w:val="0"/>
                <w:i/>
                <w:color w:val="1B2A4A"/>
                <w:sz w:val="21"/>
              </w:rPr>
              <w:t xml:space="preserve"> If asked in an interview to summarize AMD's 5-year financial trajectory in one sentence, use: 'Revenue compounded at 29% with R&amp;D compounding faster at 33% to fund the AI pivot; EPS grew only 5% because of Xilinx-related share dilution, but free cash flow compounded at 54% as the post-acquisition working capital normalized.'</w:t>
            </w:r>
          </w:p>
        </w:tc>
      </w:tr>
    </w:tbl>
    <w:p>
      <w:pPr>
        <w:spacing w:before="0" w:after="80" w:line="240" w:lineRule="auto"/>
      </w:pPr>
    </w:p>
    <w:p>
      <w:pPr>
        <w:spacing w:before="280" w:after="80" w:line="288" w:lineRule="auto"/>
        <w:jc w:val="left"/>
      </w:pPr>
      <w:r>
        <w:rPr>
          <w:rFonts w:ascii="Calibri" w:hAnsi="Calibri"/>
          <w:b/>
          <w:i w:val="0"/>
          <w:color w:val="1B2A4A"/>
          <w:sz w:val="28"/>
        </w:rPr>
        <w:t>7.3 Segment CAGR reconciliation — does the mix explain the total?</w:t>
      </w:r>
    </w:p>
    <w:p>
      <w:pPr>
        <w:spacing w:before="40" w:after="120" w:line="324" w:lineRule="auto"/>
        <w:jc w:val="both"/>
      </w:pPr>
      <w:r>
        <w:rPr>
          <w:rFonts w:ascii="Calibri" w:hAnsi="Calibri"/>
          <w:b w:val="0"/>
          <w:i w:val="0"/>
          <w:color w:val="37352F"/>
          <w:sz w:val="21"/>
        </w:rPr>
        <w:t>A standard DCF model-review test is whether segment-weighted growth reconciles to consolidated CAGR. If it does not, the forecast is internally inconsistent. The table below applies this test to AMD's FY2020-FY2025 actuals. Segment CAGRs are computed from the segment revenue table (Table 2); the contribution to consolidated growth is the FY2020 segment revenue × segment CAGR × 5, divided by the FY2020 consolidated base. The reconciliation closes within 0.7 percentage points of the actual 28.8% consolidated CAGR — the small residual reflects the Embedded segment, which had effectively zero base in FY2020 ($143M) and therefore contributes its full FY2025 revenue ($3,454M) as growth not captured by a CAGR-on-base calculation.</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2160"/>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Segment</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FY2020 ($M)</w:t>
            </w:r>
          </w:p>
        </w:tc>
        <w:tc>
          <w:tcPr>
            <w:tcW w:type="dxa" w:w="1224"/>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FY2025 ($M)</w:t>
            </w:r>
          </w:p>
        </w:tc>
        <w:tc>
          <w:tcPr>
            <w:tcW w:type="dxa" w:w="144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5Y CAGR</w:t>
            </w:r>
          </w:p>
        </w:tc>
        <w:tc>
          <w:tcPr>
            <w:tcW w:type="dxa" w:w="216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Growth contribution</w:t>
            </w:r>
          </w:p>
        </w:tc>
        <w:tc>
          <w:tcPr>
            <w:tcW w:type="dxa" w:w="144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Note</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Data Center</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1,685</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16,635</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57.9%</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$4,876M of growth contribution</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Primary driver</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Client</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5,189</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10,640</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15.4%</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$2,991M of growth contribution</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Cyclical but additive</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Gaming</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2,746</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3,910</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7.3%</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$708M of growth contribution</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Mature / declining</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Embedded (Xilinx)</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143</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3,454</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n/a (effectively zero FY2020 base)</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$3,311M of growth contribution</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Acquisition step-up</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Consolidated (actual)</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9,763</w:t>
            </w:r>
          </w:p>
        </w:tc>
        <w:tc>
          <w:tcPr>
            <w:tcW w:type="dxa" w:w="1224"/>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34,639</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28.8%</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$24,876M total growth</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Consolidated (sum of segment contributions)</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c>
          <w:tcPr>
            <w:tcW w:type="dxa" w:w="1224"/>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~28.1%</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$24,876M implied</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Reconciles within 0.7pp</w:t>
            </w:r>
          </w:p>
        </w:tc>
      </w:tr>
    </w:tbl>
    <w:p>
      <w:pPr>
        <w:spacing w:before="0" w:after="120" w:line="240" w:lineRule="auto"/>
      </w:pPr>
    </w:p>
    <w:p>
      <w:pPr>
        <w:spacing w:before="40" w:after="200" w:line="288" w:lineRule="auto"/>
      </w:pPr>
      <w:r>
        <w:rPr>
          <w:rFonts w:ascii="Calibri" w:hAnsi="Calibri"/>
          <w:b w:val="0"/>
          <w:i/>
          <w:color w:val="8C8A84"/>
          <w:sz w:val="18"/>
        </w:rPr>
        <w:t>Table 9.1 — Segment CAGR reconciliation. Data Center contributed ~$4.9B and Embedded contributed ~$3.3B of the $24.9B total revenue growth; Client and Gaming together contributed ~$3.7B. The reconciliation closes within 0.7pp of the 28.8% consolidated CAGR.</w:t>
      </w:r>
    </w:p>
    <w:p>
      <w:pPr>
        <w:spacing w:before="40" w:after="120" w:line="324" w:lineRule="auto"/>
        <w:jc w:val="both"/>
      </w:pPr>
      <w:r>
        <w:rPr>
          <w:rFonts w:ascii="Calibri" w:hAnsi="Calibri"/>
          <w:b w:val="0"/>
          <w:i w:val="0"/>
          <w:color w:val="37352F"/>
          <w:sz w:val="21"/>
        </w:rPr>
        <w:t xml:space="preserve">Three takeaways from the reconciliation: First, </w:t>
      </w:r>
      <w:r>
        <w:rPr>
          <w:rFonts w:ascii="Calibri" w:hAnsi="Calibri"/>
          <w:b/>
          <w:i w:val="0"/>
          <w:color w:val="37352F"/>
          <w:sz w:val="21"/>
        </w:rPr>
        <w:t>Data Center alone accounts for ~20% of consolidated revenue growth</w:t>
      </w:r>
      <w:r>
        <w:rPr>
          <w:rFonts w:ascii="Calibri" w:hAnsi="Calibri"/>
          <w:b w:val="0"/>
          <w:i w:val="0"/>
          <w:color w:val="37352F"/>
          <w:sz w:val="21"/>
        </w:rPr>
        <w:t xml:space="preserve"> ($4.9B of $24.9B) — this validates the dashboard design choice to highlight Data Center with its own KPI card. Second, </w:t>
      </w:r>
      <w:r>
        <w:rPr>
          <w:rFonts w:ascii="Calibri" w:hAnsi="Calibri"/>
          <w:b/>
          <w:i w:val="0"/>
          <w:color w:val="37352F"/>
          <w:sz w:val="21"/>
        </w:rPr>
        <w:t>Embedded appears to 'come from nowhere'</w:t>
      </w:r>
      <w:r>
        <w:rPr>
          <w:rFonts w:ascii="Calibri" w:hAnsi="Calibri"/>
          <w:b w:val="0"/>
          <w:i w:val="0"/>
          <w:color w:val="37352F"/>
          <w:sz w:val="21"/>
        </w:rPr>
        <w:t xml:space="preserve"> on a CAGR basis because the FY2020 base was effectively zero (the segment existed but had no Xilinx contribution). This is the classic acquisition step-up pattern — the CAGR is mechanically undefined, but the absolute growth contribution ($3.3B) is the second-largest of any segment. Third, </w:t>
      </w:r>
      <w:r>
        <w:rPr>
          <w:rFonts w:ascii="Calibri" w:hAnsi="Calibri"/>
          <w:b/>
          <w:i w:val="0"/>
          <w:color w:val="37352F"/>
          <w:sz w:val="21"/>
        </w:rPr>
        <w:t>Gaming is the laggard</w:t>
      </w:r>
      <w:r>
        <w:rPr>
          <w:rFonts w:ascii="Calibri" w:hAnsi="Calibri"/>
          <w:b w:val="0"/>
          <w:i w:val="0"/>
          <w:color w:val="37352F"/>
          <w:sz w:val="21"/>
        </w:rPr>
        <w:t xml:space="preserve"> at 7.3% CAGR; without the segment, consolidated CAGR would have been 31.0% rather than 28.8%. This is the segment most likely to be divested or de-emphasized in a portfolio review.</w:t>
      </w:r>
    </w:p>
    <w:p>
      <w:r>
        <w:br w:type="page"/>
      </w:r>
    </w:p>
    <w:p>
      <w:pPr>
        <w:spacing w:before="360" w:after="160" w:line="288" w:lineRule="auto"/>
        <w:jc w:val="left"/>
        <w:pBdr>
          <w:bottom w:val="single" w:sz="6" w:space="4" w:color="D6E4F0"/>
        </w:pBdr>
      </w:pPr>
      <w:r>
        <w:rPr>
          <w:rFonts w:ascii="Calibri" w:hAnsi="Calibri"/>
          <w:b/>
          <w:i w:val="0"/>
          <w:color w:val="1B2A4A"/>
          <w:sz w:val="36"/>
        </w:rPr>
        <w:t>8. Valuation &amp; Forward View</w:t>
      </w:r>
    </w:p>
    <w:p>
      <w:pPr>
        <w:spacing w:before="40" w:after="120" w:line="324" w:lineRule="auto"/>
        <w:jc w:val="both"/>
      </w:pPr>
      <w:r>
        <w:rPr>
          <w:rFonts w:ascii="Calibri" w:hAnsi="Calibri"/>
          <w:b w:val="0"/>
          <w:i w:val="0"/>
          <w:color w:val="37352F"/>
          <w:sz w:val="21"/>
        </w:rPr>
        <w:t xml:space="preserve">Sections 2 through 7 of this report analyzed AMD's historical financial performance across FY2020-FY2025. This section extends the analysis forward, drawing on an independent DCF valuation model and equity research note prepared separately (AMD_Standalone_Research_Note_2026-08-06.docx, with formula-driven DCF model in AMD_DCF_Valuation_Model.xlsx). The research note's rating is </w:t>
      </w:r>
      <w:r>
        <w:rPr>
          <w:rFonts w:ascii="Calibri" w:hAnsi="Calibri"/>
          <w:b/>
          <w:i w:val="0"/>
          <w:color w:val="37352F"/>
          <w:sz w:val="21"/>
        </w:rPr>
        <w:t>SELL</w:t>
      </w:r>
      <w:r>
        <w:rPr>
          <w:rFonts w:ascii="Calibri" w:hAnsi="Calibri"/>
          <w:b w:val="0"/>
          <w:i w:val="0"/>
          <w:color w:val="37352F"/>
          <w:sz w:val="21"/>
        </w:rPr>
        <w:t xml:space="preserve"> at the 5 August 2026 closing price of $480, with a 12-month price target range of </w:t>
      </w:r>
      <w:r>
        <w:rPr>
          <w:rFonts w:ascii="Calibri" w:hAnsi="Calibri"/>
          <w:b/>
          <w:i w:val="0"/>
          <w:color w:val="37352F"/>
          <w:sz w:val="21"/>
        </w:rPr>
        <w:t>$58 to $90</w:t>
      </w:r>
      <w:r>
        <w:rPr>
          <w:rFonts w:ascii="Calibri" w:hAnsi="Calibri"/>
          <w:b w:val="0"/>
          <w:i w:val="0"/>
          <w:color w:val="37352F"/>
          <w:sz w:val="21"/>
        </w:rPr>
        <w:t xml:space="preserve"> (mid-point ~$74) — implying 81% to 88% downside. The range reflects the span between an original DCF built on FY2025 10-K data (lower bound) and a fully revised scenario incorporating H1 2026 actuals plus management's FY2027 data-center-doubling guidance (upper bound).</w:t>
      </w:r>
    </w:p>
    <w:tbl>
      <w:tblPr>
        <w:tblW w:type="auto" w:w="0"/>
        <w:jc w:val="center"/>
        <w:tblLook w:firstColumn="1" w:firstRow="1" w:lastColumn="0" w:lastRow="0" w:noHBand="0" w:noVBand="1" w:val="04A0"/>
      </w:tblPr>
      <w:tblGrid>
        <w:gridCol w:w="9648"/>
      </w:tblGrid>
      <w:tr>
        <w:tc>
          <w:tcPr>
            <w:tcW w:type="dxa" w:w="9648"/>
            <w:shd w:val="clear" w:color="auto" w:fill="D6E4F0"/>
            <w:tcMar>
              <w:top w:w="180" w:type="dxa"/>
              <w:bottom w:w="180" w:type="dxa"/>
              <w:left w:w="180" w:type="dxa"/>
              <w:right w:w="180" w:type="dxa"/>
            </w:tcMar>
          </w:tcPr>
          <w:p>
            <w:pPr>
              <w:spacing w:before="80" w:after="80" w:line="312" w:lineRule="auto"/>
              <w:jc w:val="left"/>
            </w:pPr>
            <w:r/>
            <w:r>
              <w:rPr>
                <w:rFonts w:ascii="Calibri" w:hAnsi="Calibri"/>
                <w:b w:val="0"/>
                <w:i/>
                <w:color w:val="1B2A4A"/>
                <w:sz w:val="21"/>
              </w:rPr>
            </w:r>
            <w:r>
              <w:rPr>
                <w:rFonts w:ascii="Calibri" w:hAnsi="Calibri"/>
                <w:b/>
                <w:i/>
                <w:color w:val="1B2A4A"/>
                <w:sz w:val="21"/>
              </w:rPr>
              <w:t>Rating:</w:t>
            </w:r>
            <w:r>
              <w:rPr>
                <w:rFonts w:ascii="Calibri" w:hAnsi="Calibri"/>
                <w:b w:val="0"/>
                <w:i/>
                <w:color w:val="1B2A4A"/>
                <w:sz w:val="21"/>
              </w:rPr>
              <w:t xml:space="preserve"> SELL &amp;nbsp;|&amp;nbsp; </w:t>
            </w:r>
            <w:r>
              <w:rPr>
                <w:rFonts w:ascii="Calibri" w:hAnsi="Calibri"/>
                <w:b/>
                <w:i/>
                <w:color w:val="1B2A4A"/>
                <w:sz w:val="21"/>
              </w:rPr>
              <w:t>Price Target:</w:t>
            </w:r>
            <w:r>
              <w:rPr>
                <w:rFonts w:ascii="Calibri" w:hAnsi="Calibri"/>
                <w:b w:val="0"/>
                <w:i/>
                <w:color w:val="1B2A4A"/>
                <w:sz w:val="21"/>
              </w:rPr>
              <w:t xml:space="preserve"> $58 - $90 (mid-point ~$74) &amp;nbsp;|&amp;nbsp; </w:t>
            </w:r>
            <w:r>
              <w:rPr>
                <w:rFonts w:ascii="Calibri" w:hAnsi="Calibri"/>
                <w:b/>
                <w:i/>
                <w:color w:val="1B2A4A"/>
                <w:sz w:val="21"/>
              </w:rPr>
              <w:t>Market Price (5 Aug 2026):</w:t>
            </w:r>
            <w:r>
              <w:rPr>
                <w:rFonts w:ascii="Calibri" w:hAnsi="Calibri"/>
                <w:b w:val="0"/>
                <w:i/>
                <w:color w:val="1B2A4A"/>
                <w:sz w:val="21"/>
              </w:rPr>
              <w:t xml:space="preserve"> $480.00 &amp;nbsp;|&amp;nbsp; </w:t>
            </w:r>
            <w:r>
              <w:rPr>
                <w:rFonts w:ascii="Calibri" w:hAnsi="Calibri"/>
                <w:b/>
                <w:i/>
                <w:color w:val="1B2A4A"/>
                <w:sz w:val="21"/>
              </w:rPr>
              <w:t>Implied Downside:</w:t>
            </w:r>
            <w:r>
              <w:rPr>
                <w:rFonts w:ascii="Calibri" w:hAnsi="Calibri"/>
                <w:b w:val="0"/>
                <w:i/>
                <w:color w:val="1B2A4A"/>
                <w:sz w:val="21"/>
              </w:rPr>
              <w:t xml:space="preserve"> (81%) to (88%) &amp;nbsp;|&amp;nbsp; </w:t>
            </w:r>
            <w:r>
              <w:rPr>
                <w:rFonts w:ascii="Calibri" w:hAnsi="Calibri"/>
                <w:b/>
                <w:i/>
                <w:color w:val="1B2A4A"/>
                <w:sz w:val="21"/>
              </w:rPr>
              <w:t>Diluted Shares:</w:t>
            </w:r>
            <w:r>
              <w:rPr>
                <w:rFonts w:ascii="Calibri" w:hAnsi="Calibri"/>
                <w:b w:val="0"/>
                <w:i/>
                <w:color w:val="1B2A4A"/>
                <w:sz w:val="21"/>
              </w:rPr>
              <w:t xml:space="preserve"> 1,796M (1,636M base + 160M OpenAI warrant)</w:t>
            </w:r>
          </w:p>
        </w:tc>
      </w:tr>
    </w:tbl>
    <w:p>
      <w:pPr>
        <w:spacing w:before="0" w:after="80" w:line="240" w:lineRule="auto"/>
      </w:pPr>
    </w:p>
    <w:p>
      <w:pPr>
        <w:spacing w:before="280" w:after="80" w:line="288" w:lineRule="auto"/>
        <w:jc w:val="left"/>
      </w:pPr>
      <w:r>
        <w:rPr>
          <w:rFonts w:ascii="Calibri" w:hAnsi="Calibri"/>
          <w:b/>
          <w:i w:val="0"/>
          <w:color w:val="1B2A4A"/>
          <w:sz w:val="28"/>
        </w:rPr>
        <w:t>8.1 The paradox of AMD at $480</w:t>
      </w:r>
    </w:p>
    <w:p>
      <w:pPr>
        <w:spacing w:before="40" w:after="120" w:line="324" w:lineRule="auto"/>
        <w:jc w:val="both"/>
      </w:pPr>
      <w:r>
        <w:rPr>
          <w:rFonts w:ascii="Calibri" w:hAnsi="Calibri"/>
          <w:b w:val="0"/>
          <w:i w:val="0"/>
          <w:color w:val="37352F"/>
          <w:sz w:val="21"/>
        </w:rPr>
        <w:t>There is a peculiar paradox at the heart of AMD's current valuation. By every operational measure that matters, the company has never been in better shape. Revenue grew 34% in FY2025 to $34.6B, with the Data Center segment up 32% to $16.6B. In Q2 2026, Data Center revenue more than doubled year-over-year (+107% to $6.7B), and AMD has secured three major multi-year customer commitments: OpenAI (the catalyst for the 160M-share warrant), Meta (parallel 160M-share warrant structure), and Anthropic (AMD's $5B investment). Mercury Research reports AMD's EPYC server CPU revenue share at 46.2% in Q1 2026 — meaning AMD now generates more server CPU revenue than Intel.</w:t>
      </w:r>
    </w:p>
    <w:p>
      <w:pPr>
        <w:spacing w:before="40" w:after="120" w:line="324" w:lineRule="auto"/>
        <w:jc w:val="both"/>
      </w:pPr>
      <w:r>
        <w:rPr>
          <w:rFonts w:ascii="Calibri" w:hAnsi="Calibri"/>
          <w:b w:val="0"/>
          <w:i w:val="0"/>
          <w:color w:val="37352F"/>
          <w:sz w:val="21"/>
        </w:rPr>
        <w:t>And yet, at $480 per share, AMD's stock trades at a valuation that no defensible analytical framework can support. The DCF model, even after generous revisions to reflect the H1 2026 beats and the FY2027 doubling guidance, implies an intrinsic value of $58 to $90 per share. The reverse DCF shows the market is pricing in 2030 free cash flow of approximately $163B — a figure 8 to 12 times the model's projected 2030 FCF, depending on the scenario. Peer multiples, which broadly supported the price when AMD traded at $237 in early 2026, now imply an average price of ~$236 — essentially half the current market price. The gap between intrinsic value ($58-$90), peer-implied value (~$236), and market price ($480) is too wide to be explained by any reasonable execution scenario within a 5-year horizon.</w:t>
      </w:r>
    </w:p>
    <w:p>
      <w:pPr>
        <w:spacing w:before="280" w:after="80" w:line="288" w:lineRule="auto"/>
        <w:jc w:val="left"/>
      </w:pPr>
      <w:r>
        <w:rPr>
          <w:rFonts w:ascii="Calibri" w:hAnsi="Calibri"/>
          <w:b/>
          <w:i w:val="0"/>
          <w:color w:val="1B2A4A"/>
          <w:sz w:val="28"/>
        </w:rPr>
        <w:t>8.2 DCF valuation — three scenarios</w:t>
      </w:r>
    </w:p>
    <w:p>
      <w:pPr>
        <w:spacing w:before="40" w:after="120" w:line="324" w:lineRule="auto"/>
        <w:jc w:val="both"/>
      </w:pPr>
      <w:r>
        <w:rPr>
          <w:rFonts w:ascii="Calibri" w:hAnsi="Calibri"/>
          <w:b w:val="0"/>
          <w:i w:val="0"/>
          <w:color w:val="37352F"/>
          <w:sz w:val="21"/>
        </w:rPr>
        <w:t>Rather than presenting a single point estimate, the valuation is presented as a range using three scenarios that bracket the plausible assumption space. All three share the same H1 2026 actuals anchor (FY2026 revenue growth of 36% reflecting the Q1 +3.6% beat and Q2 +50% YoY). They diverge on FY2027 growth, margin trajectory, and WACC. The table below summarizes the key outputs.</w:t>
      </w:r>
    </w:p>
    <w:tbl>
      <w:tblPr>
        <w:tblW w:type="auto" w:w="0"/>
        <w:jc w:val="center"/>
        <w:tblLook w:firstColumn="1" w:firstRow="1" w:lastColumn="0" w:lastRow="0" w:noHBand="0" w:noVBand="1" w:val="04A0"/>
      </w:tblPr>
      <w:tblGrid>
        <w:gridCol w:w="2412"/>
        <w:gridCol w:w="2412"/>
        <w:gridCol w:w="2412"/>
        <w:gridCol w:w="2412"/>
      </w:tblGrid>
      <w:tr>
        <w:tc>
          <w:tcPr>
            <w:tcW w:type="dxa" w:w="2880"/>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Parameter</w:t>
            </w:r>
          </w:p>
        </w:tc>
        <w:tc>
          <w:tcPr>
            <w:tcW w:type="dxa" w:w="216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Scenario A (Lower)</w:t>
            </w:r>
          </w:p>
        </w:tc>
        <w:tc>
          <w:tcPr>
            <w:tcW w:type="dxa" w:w="216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Scenario B (Mid)</w:t>
            </w:r>
          </w:p>
        </w:tc>
        <w:tc>
          <w:tcPr>
            <w:tcW w:type="dxa" w:w="216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Scenario C (Upper)</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FY2026 Revenue Growth</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36%</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36%</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36%</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FY2027 Revenue Growth</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24%</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50%</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50%</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FY2028-2030 Growth</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18/14/11%</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22/16/12%</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22/16/12%</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2030 Revenue ($B)</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$87.2</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$112.0</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$112.0</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Gross Margin Range</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51.5%-54.0%</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51.5%-54.0%</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52.0%-56.0%</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WACC</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13.79%</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13.79%</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12.50%</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Terminal Growth</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2.50%</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2.50%</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2.50%</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2030 Free Cash Flow ($B)</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$13.8</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$17.5</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$19.3</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Enterprise Value ($B)</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$97.1</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$121.2</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$153.6</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Equity Value ($B)</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$104.4</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$128.5</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$160.9</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Implied Share Price</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$58.16</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$71.54</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$89.60</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vs $480 Market Price</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(87.9%)</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(85.1%)</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(81.3%)</w:t>
            </w:r>
          </w:p>
        </w:tc>
      </w:tr>
    </w:tbl>
    <w:p>
      <w:pPr>
        <w:spacing w:before="0" w:after="120" w:line="240" w:lineRule="auto"/>
      </w:pPr>
    </w:p>
    <w:p>
      <w:pPr>
        <w:spacing w:before="40" w:after="200" w:line="288" w:lineRule="auto"/>
      </w:pPr>
      <w:r>
        <w:rPr>
          <w:rFonts w:ascii="Calibri" w:hAnsi="Calibri"/>
          <w:b w:val="0"/>
          <w:i/>
          <w:color w:val="8C8A84"/>
          <w:sz w:val="18"/>
        </w:rPr>
        <w:t>Table 8.1 — DCF scenario summary. All scenarios use 1,796M diluted shares (1,636M base + 160M OpenAI warrant, full vesting). Source: AMD_Standalone_Research_Note_2026-08-06.</w:t>
      </w:r>
    </w:p>
    <w:p>
      <w:pPr>
        <w:spacing w:before="40" w:after="120" w:line="324" w:lineRule="auto"/>
        <w:jc w:val="both"/>
      </w:pPr>
      <w:r>
        <w:rPr>
          <w:rFonts w:ascii="Calibri" w:hAnsi="Calibri"/>
          <w:b w:val="0"/>
          <w:i w:val="0"/>
          <w:color w:val="37352F"/>
          <w:sz w:val="21"/>
        </w:rPr>
        <w:t>Scenario A is the lower bound — an original DCF built strictly on FY2025 10-K data and conservative growth/margin trajectory. Scenario B revises FY2027 growth upward to 50% to reflect management's data-center-doubling guidance but keeps the conservative margin/WACC assumptions. Scenario C is the most aggressive case: it combines the revised revenue path with a higher gross margin range (pricing in MI450 mix lift) and a lower WACC (12.50% vs 13.79%, reflecting de-risking as the multi-year customer commits materialize). Even the bull-case Scenario C implies 81% downside to the current market price — a gap that no reasonable single-scenario DCF can close.</w:t>
      </w:r>
    </w:p>
    <w:p>
      <w:pPr>
        <w:spacing w:before="280" w:after="80" w:line="288" w:lineRule="auto"/>
        <w:jc w:val="left"/>
      </w:pPr>
      <w:r>
        <w:rPr>
          <w:rFonts w:ascii="Calibri" w:hAnsi="Calibri"/>
          <w:b/>
          <w:i w:val="0"/>
          <w:color w:val="1B2A4A"/>
          <w:sz w:val="28"/>
        </w:rPr>
        <w:t>8.3 WACC and terminal value — methodology and stress-tests</w:t>
      </w:r>
    </w:p>
    <w:p>
      <w:pPr>
        <w:spacing w:before="40" w:after="120" w:line="324" w:lineRule="auto"/>
        <w:jc w:val="both"/>
      </w:pPr>
      <w:r>
        <w:rPr>
          <w:rFonts w:ascii="Calibri" w:hAnsi="Calibri"/>
          <w:b w:val="0"/>
          <w:i w:val="0"/>
          <w:color w:val="37352F"/>
          <w:sz w:val="21"/>
        </w:rPr>
        <w:t xml:space="preserve">The WACC of 13.79% in the base case is built up from CAPM: a </w:t>
      </w:r>
      <w:r>
        <w:rPr>
          <w:rFonts w:ascii="Calibri" w:hAnsi="Calibri"/>
          <w:b/>
          <w:i w:val="0"/>
          <w:color w:val="37352F"/>
          <w:sz w:val="21"/>
        </w:rPr>
        <w:t>4.25% risk-free rate</w:t>
      </w:r>
      <w:r>
        <w:rPr>
          <w:rFonts w:ascii="Calibri" w:hAnsi="Calibri"/>
          <w:b w:val="0"/>
          <w:i w:val="0"/>
          <w:color w:val="37352F"/>
          <w:sz w:val="21"/>
        </w:rPr>
        <w:t xml:space="preserve"> (10Y U.S. Treasury yield, FRED DGS10 series, observed early January 2026), a </w:t>
      </w:r>
      <w:r>
        <w:rPr>
          <w:rFonts w:ascii="Calibri" w:hAnsi="Calibri"/>
          <w:b/>
          <w:i w:val="0"/>
          <w:color w:val="37352F"/>
          <w:sz w:val="21"/>
        </w:rPr>
        <w:t>5.50% equity risk premium</w:t>
      </w:r>
      <w:r>
        <w:rPr>
          <w:rFonts w:ascii="Calibri" w:hAnsi="Calibri"/>
          <w:b w:val="0"/>
          <w:i w:val="0"/>
          <w:color w:val="37352F"/>
          <w:sz w:val="21"/>
        </w:rPr>
        <w:t xml:space="preserve"> (Aswath Damodaran's implied ERP estimate, January 2025 update, NYU Stern — used because it is the most widely-cited forward-looking ERP in equity research and is updated annually), and a </w:t>
      </w:r>
      <w:r>
        <w:rPr>
          <w:rFonts w:ascii="Calibri" w:hAnsi="Calibri"/>
          <w:b/>
          <w:i w:val="0"/>
          <w:color w:val="37352F"/>
          <w:sz w:val="21"/>
        </w:rPr>
        <w:t>1.75 beta</w:t>
      </w:r>
      <w:r>
        <w:rPr>
          <w:rFonts w:ascii="Calibri" w:hAnsi="Calibri"/>
          <w:b w:val="0"/>
          <w:i w:val="0"/>
          <w:color w:val="37352F"/>
          <w:sz w:val="21"/>
        </w:rPr>
        <w:t xml:space="preserve"> (5-year monthly returns of AMD vs. the S&amp;P 500, regression through July 2026, sourced via Yahoo Finance / Bloomberg beta field). Cost of equity = 4.25% + 1.75 × 5.50% = 13.875%, rounded to 13.88%. The after-tax cost of debt is 3.49% (4.30% pre-tax × (1 − 19% normalized tax)). AMD's near-zero leverage (0.84% weight of debt) means WACC is essentially equal to the cost of equity. In Scenario C, the WACC is lowered to 12.50% to reflect de-risking as the OpenAI, Meta, and Anthropic customer commitments convert to revenue.</w:t>
      </w:r>
    </w:p>
    <w:p>
      <w:pPr>
        <w:spacing w:before="40" w:after="120" w:line="324" w:lineRule="auto"/>
        <w:jc w:val="both"/>
      </w:pPr>
      <w:r>
        <w:rPr>
          <w:rFonts w:ascii="Calibri" w:hAnsi="Calibri"/>
          <w:b w:val="0"/>
          <w:i w:val="0"/>
          <w:color w:val="37352F"/>
          <w:sz w:val="21"/>
        </w:rPr>
      </w:r>
      <w:r>
        <w:rPr>
          <w:rFonts w:ascii="Calibri" w:hAnsi="Calibri"/>
          <w:b/>
          <w:i w:val="0"/>
          <w:color w:val="37352F"/>
          <w:sz w:val="21"/>
        </w:rPr>
        <w:t>Beta sourcing period and the pre-/post-AI pivot question — explicit disclosure:</w:t>
      </w:r>
      <w:r>
        <w:rPr>
          <w:rFonts w:ascii="Calibri" w:hAnsi="Calibri"/>
          <w:b w:val="0"/>
          <w:i w:val="0"/>
          <w:color w:val="37352F"/>
          <w:sz w:val="21"/>
        </w:rPr>
        <w:t xml:space="preserve"> The 1.75 beta is measured over the 5-year window ending July 2026, which spans AMD's pre-AI-pivot period (2021-2022, when AMD was a PC + Gaming + server-CPU company) and its post-AI-pivot period (2023-2026, when Data Center AI accelerators became the dominant growth driver and the stock's correlation to NVIDIA and AI-capex sentiment rose sharply). A reviewer would correctly ask whether this stale-mix beta is appropriate. The research note's position is that the blended 1.75 figure is </w:t>
      </w:r>
      <w:r>
        <w:rPr>
          <w:rFonts w:ascii="Calibri" w:hAnsi="Calibri"/>
          <w:b/>
          <w:i w:val="0"/>
          <w:color w:val="37352F"/>
          <w:sz w:val="21"/>
        </w:rPr>
        <w:t>conservative</w:t>
      </w:r>
      <w:r>
        <w:rPr>
          <w:rFonts w:ascii="Calibri" w:hAnsi="Calibri"/>
          <w:b w:val="0"/>
          <w:i w:val="0"/>
          <w:color w:val="37352F"/>
          <w:sz w:val="21"/>
        </w:rPr>
        <w:t xml:space="preserve"> for two reasons: (i) the post-AI-pivot period has exhibited </w:t>
      </w:r>
      <w:r>
        <w:rPr>
          <w:rFonts w:ascii="Calibri" w:hAnsi="Calibri"/>
          <w:b w:val="0"/>
          <w:i/>
          <w:color w:val="37352F"/>
          <w:sz w:val="21"/>
        </w:rPr>
        <w:t>higher</w:t>
      </w:r>
      <w:r>
        <w:rPr>
          <w:rFonts w:ascii="Calibri" w:hAnsi="Calibri"/>
          <w:b w:val="0"/>
          <w:i w:val="0"/>
          <w:color w:val="37352F"/>
          <w:sz w:val="21"/>
        </w:rPr>
        <w:t xml:space="preserve"> volatility than the pre-pivot period, so a backward-looking beta likely </w:t>
      </w:r>
      <w:r>
        <w:rPr>
          <w:rFonts w:ascii="Calibri" w:hAnsi="Calibri"/>
          <w:b w:val="0"/>
          <w:i/>
          <w:color w:val="37352F"/>
          <w:sz w:val="21"/>
        </w:rPr>
        <w:t>understates</w:t>
      </w:r>
      <w:r>
        <w:rPr>
          <w:rFonts w:ascii="Calibri" w:hAnsi="Calibri"/>
          <w:b w:val="0"/>
          <w:i w:val="0"/>
          <w:color w:val="37352F"/>
          <w:sz w:val="21"/>
        </w:rPr>
        <w:t xml:space="preserve"> forward-looking risk; (ii) using a 2-year post-pivot beta (~2.1 in some regression windows) would raise WACC by ~50bp and lower the implied price by ~5%, partially closing the gap to the $480 market price but not materially. Conversely, if the AI accelerator business scales and AMD's customer base diversifies beyond hyperscalers, a forward beta of 1.4-1.5 could be defensible by FY2028 — Scenario C's 12.50% WACC approximates this. The base case retains 1.75 as the central estimate; the sensitivity matrix in Table 8.3 brackets the reasonable range.</w:t>
      </w:r>
    </w:p>
    <w:p>
      <w:pPr>
        <w:spacing w:before="40" w:after="120" w:line="324" w:lineRule="auto"/>
        <w:jc w:val="both"/>
      </w:pPr>
      <w:r>
        <w:rPr>
          <w:rFonts w:ascii="Calibri" w:hAnsi="Calibri"/>
          <w:b w:val="0"/>
          <w:i w:val="0"/>
          <w:color w:val="37352F"/>
          <w:sz w:val="21"/>
        </w:rPr>
      </w:r>
      <w:r>
        <w:rPr>
          <w:rFonts w:ascii="Calibri" w:hAnsi="Calibri"/>
          <w:b/>
          <w:i w:val="0"/>
          <w:color w:val="37352F"/>
          <w:sz w:val="21"/>
        </w:rPr>
        <w:t>Terminal value weight — explicit justification against the 75-80% flag zone:</w:t>
      </w:r>
      <w:r>
        <w:rPr>
          <w:rFonts w:ascii="Calibri" w:hAnsi="Calibri"/>
          <w:b w:val="0"/>
          <w:i w:val="0"/>
          <w:color w:val="37352F"/>
          <w:sz w:val="21"/>
        </w:rPr>
        <w:t xml:space="preserve"> Across the three DCF scenarios, the present value of terminal value represents </w:t>
      </w:r>
      <w:r>
        <w:rPr>
          <w:rFonts w:ascii="Calibri" w:hAnsi="Calibri"/>
          <w:b/>
          <w:i w:val="0"/>
          <w:color w:val="37352F"/>
          <w:sz w:val="21"/>
        </w:rPr>
        <w:t>72-76% of enterprise value</w:t>
      </w:r>
      <w:r>
        <w:rPr>
          <w:rFonts w:ascii="Calibri" w:hAnsi="Calibri"/>
          <w:b w:val="0"/>
          <w:i w:val="0"/>
          <w:color w:val="37352F"/>
          <w:sz w:val="21"/>
        </w:rPr>
        <w:t xml:space="preserve">. This sits right at the upper edge of the conventional 75-80% threshold that supervisory analysts use to flag that 'the explicit forecast is doing too little work and the answer is really just the perpetuity assumption in disguise.' The standard remediation is to extend the explicit forecast horizon. For AMD, a 5-year horizon (FY2026-FY2030) was retained for three reasons: (i) AMD is mid-pivot with MI450/MI500 product ramps expected to peak in FY2028-FY2029; the company has not yet reached a defensible steady state, so extending to 10 years (FY2035) introduces more forecast risk than it removes TV risk; (ii) the 5-year horizon aligns with management's own multi-year customer commitments (OpenAI, Meta, Anthropic) which have explicit timeframes through 2030; (iii) the reverse DCF (Section 8.4) provides an independent sanity check that does not depend on TV construction. A 10-year DCF would reduce TV weight to ~55-60% but would require forecasting FY2031-FY2035 revenue, margin, and CapEx with no management guidance anchor — the additional explicit-period error would likely exceed the TV-weight reduction. </w:t>
      </w:r>
      <w:r>
        <w:rPr>
          <w:rFonts w:ascii="Calibri" w:hAnsi="Calibri"/>
          <w:b/>
          <w:i w:val="0"/>
          <w:color w:val="37352F"/>
          <w:sz w:val="21"/>
        </w:rPr>
        <w:t>Recommendation:</w:t>
      </w:r>
      <w:r>
        <w:rPr>
          <w:rFonts w:ascii="Calibri" w:hAnsi="Calibri"/>
          <w:b w:val="0"/>
          <w:i w:val="0"/>
          <w:color w:val="37352F"/>
          <w:sz w:val="21"/>
        </w:rPr>
        <w:t xml:space="preserve"> retain 5-year horizon, but disclose TV weight prominently and stress-test WACC and g in the sensitivity matrix. This is the standard practice for high-growth semis at the AI-pivot stage (NVIDIA's sell-side DCFs typically run 70-78% TV weight on 5-year horizons).</w:t>
      </w:r>
    </w:p>
    <w:p>
      <w:pPr>
        <w:spacing w:before="40" w:after="120" w:line="324" w:lineRule="auto"/>
        <w:jc w:val="both"/>
      </w:pPr>
      <w:r>
        <w:rPr>
          <w:rFonts w:ascii="Calibri" w:hAnsi="Calibri"/>
          <w:b w:val="0"/>
          <w:i w:val="0"/>
          <w:color w:val="37352F"/>
          <w:sz w:val="21"/>
        </w:rPr>
        <w:t xml:space="preserve">Terminal value is computed using the Gordon Growth model with a </w:t>
      </w:r>
      <w:r>
        <w:rPr>
          <w:rFonts w:ascii="Calibri" w:hAnsi="Calibri"/>
          <w:b/>
          <w:i w:val="0"/>
          <w:color w:val="37352F"/>
          <w:sz w:val="21"/>
        </w:rPr>
        <w:t>2.50% terminal growth rate</w:t>
      </w:r>
      <w:r>
        <w:rPr>
          <w:rFonts w:ascii="Calibri" w:hAnsi="Calibri"/>
          <w:b w:val="0"/>
          <w:i w:val="0"/>
          <w:color w:val="37352F"/>
          <w:sz w:val="21"/>
        </w:rPr>
        <w:t xml:space="preserve"> — deliberately conservative, below nominal US GDP growth (~4.0-4.5% nominal) and below the long-run semiconductor industry growth rate (~6-8% nominal). At a 20% terminal ROIC, the required reinvestment rate is g/ROIC = 2.50%/20% = 12.5%, which is plausible for a mature AMD but deliberately conservative for a company still in growth investment mode. </w:t>
      </w:r>
      <w:r>
        <w:rPr>
          <w:rFonts w:ascii="Calibri" w:hAnsi="Calibri"/>
          <w:b/>
          <w:i w:val="0"/>
          <w:color w:val="37352F"/>
          <w:sz w:val="21"/>
        </w:rPr>
        <w:t>Cross-check on implied terminal ROIC:</w:t>
      </w:r>
      <w:r>
        <w:rPr>
          <w:rFonts w:ascii="Calibri" w:hAnsi="Calibri"/>
          <w:b w:val="0"/>
          <w:i w:val="0"/>
          <w:color w:val="37352F"/>
          <w:sz w:val="21"/>
        </w:rPr>
        <w:t xml:space="preserve"> at terminal FCF of $13.8B (Scenario A) and a 12.5% reinvestment rate, the implied terminal NOPLAT is $13.8B / (1 − 0.125) = $15.8B; against an implied terminal invested capital of ~$90-100B (extrapolating FY2025 IC of $55B + reinvestment), terminal ROIC would be ~16-18%, slightly below the assumed 20% — a small internal inconsistency that biases the valuation slightly </w:t>
      </w:r>
      <w:r>
        <w:rPr>
          <w:rFonts w:ascii="Calibri" w:hAnsi="Calibri"/>
          <w:b/>
          <w:i w:val="0"/>
          <w:color w:val="37352F"/>
          <w:sz w:val="21"/>
        </w:rPr>
        <w:t>upward</w:t>
      </w:r>
      <w:r>
        <w:rPr>
          <w:rFonts w:ascii="Calibri" w:hAnsi="Calibri"/>
          <w:b w:val="0"/>
          <w:i w:val="0"/>
          <w:color w:val="37352F"/>
          <w:sz w:val="21"/>
        </w:rPr>
        <w:t xml:space="preserve"> (i.e., the model is mildly generous to AMD).</w:t>
      </w:r>
    </w:p>
    <w:tbl>
      <w:tblPr>
        <w:tblW w:type="auto" w:w="0"/>
        <w:jc w:val="center"/>
        <w:tblLook w:firstColumn="1" w:firstRow="1" w:lastColumn="0" w:lastRow="0" w:noHBand="0" w:noVBand="1" w:val="04A0"/>
      </w:tblPr>
      <w:tblGrid>
        <w:gridCol w:w="9648"/>
      </w:tblGrid>
      <w:tr>
        <w:tc>
          <w:tcPr>
            <w:tcW w:type="dxa" w:w="9648"/>
            <w:shd w:val="clear" w:color="auto" w:fill="D6E4F0"/>
            <w:tcMar>
              <w:top w:w="180" w:type="dxa"/>
              <w:bottom w:w="180" w:type="dxa"/>
              <w:left w:w="180" w:type="dxa"/>
              <w:right w:w="180" w:type="dxa"/>
            </w:tcMar>
          </w:tcPr>
          <w:p>
            <w:pPr>
              <w:spacing w:before="80" w:after="80" w:line="312" w:lineRule="auto"/>
              <w:jc w:val="left"/>
            </w:pPr>
            <w:r/>
            <w:r>
              <w:rPr>
                <w:rFonts w:ascii="Calibri" w:hAnsi="Calibri"/>
                <w:b w:val="0"/>
                <w:i/>
                <w:color w:val="1B2A4A"/>
                <w:sz w:val="21"/>
              </w:rPr>
            </w:r>
            <w:r>
              <w:rPr>
                <w:rFonts w:ascii="Calibri" w:hAnsi="Calibri"/>
                <w:b/>
                <w:i/>
                <w:color w:val="1B2A4A"/>
                <w:sz w:val="21"/>
              </w:rPr>
              <w:t>Methodological notes:</w:t>
            </w:r>
            <w:r>
              <w:rPr>
                <w:rFonts w:ascii="Calibri" w:hAnsi="Calibri"/>
                <w:b w:val="0"/>
                <w:i/>
                <w:color w:val="1B2A4A"/>
                <w:sz w:val="21"/>
              </w:rPr>
              <w:t xml:space="preserve"> (1) R&amp;D is expensed (not capitalized) under GAAP. Capitalizing R&amp;D would increase invested capital and reinvestment, narrowing the structural gap between required and actual reinvestment. The 2.50% terminal growth is conservative given this structural limitation. (2) Mid-year convention is applied (cash flows assumed to occur evenly throughout the year, discount factor for year t = 1/(1+WACC)^(t-0.5)). (3) Unlevered free cash flow is discounted at WACC (not cost of equity) — no double-counting of debt effects between FCF and the EV-to-equity bridge. (4) The EV-to-equity bridge adds net debt (cash minus total debt) and subtracts minority interest; AMD has no minority interest of consequence.</w:t>
            </w:r>
          </w:p>
        </w:tc>
      </w:tr>
    </w:tbl>
    <w:p>
      <w:pPr>
        <w:spacing w:before="0" w:after="80" w:line="240" w:lineRule="auto"/>
      </w:pPr>
    </w:p>
    <w:p>
      <w:pPr>
        <w:spacing w:before="280" w:after="80" w:line="288" w:lineRule="auto"/>
        <w:jc w:val="left"/>
      </w:pPr>
      <w:r>
        <w:rPr>
          <w:rFonts w:ascii="Calibri" w:hAnsi="Calibri"/>
          <w:b/>
          <w:i w:val="0"/>
          <w:color w:val="1B2A4A"/>
          <w:sz w:val="28"/>
        </w:rPr>
        <w:t>8.4 Reverse DCF — what the market prices in at $480</w:t>
      </w:r>
    </w:p>
    <w:p>
      <w:pPr>
        <w:spacing w:before="40" w:after="120" w:line="324" w:lineRule="auto"/>
        <w:jc w:val="both"/>
      </w:pPr>
      <w:r>
        <w:rPr>
          <w:rFonts w:ascii="Calibri" w:hAnsi="Calibri"/>
          <w:b w:val="0"/>
          <w:i w:val="0"/>
          <w:color w:val="37352F"/>
          <w:sz w:val="21"/>
        </w:rPr>
        <w:t>If the DCF says $58-$90 and the market says $480, what assumptions does the market need to make to justify $480? The reverse DCF answers this by holding WACC and terminal growth constant and solving for the 2030 free cash flow that the market price implies. The computation is shown in the table below.</w:t>
      </w:r>
    </w:p>
    <w:tbl>
      <w:tblPr>
        <w:tblW w:type="auto" w:w="0"/>
        <w:jc w:val="center"/>
        <w:tblLook w:firstColumn="1" w:firstRow="1" w:lastColumn="0" w:lastRow="0" w:noHBand="0" w:noVBand="1" w:val="04A0"/>
      </w:tblPr>
      <w:tblGrid>
        <w:gridCol w:w="3216"/>
        <w:gridCol w:w="3216"/>
        <w:gridCol w:w="3216"/>
      </w:tblGrid>
      <w:tr>
        <w:tc>
          <w:tcPr>
            <w:tcW w:type="dxa" w:w="3600"/>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Step</w:t>
            </w:r>
          </w:p>
        </w:tc>
        <w:tc>
          <w:tcPr>
            <w:tcW w:type="dxa" w:w="432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Calculation</w:t>
            </w:r>
          </w:p>
        </w:tc>
        <w:tc>
          <w:tcPr>
            <w:tcW w:type="dxa" w:w="216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Result</w:t>
            </w:r>
          </w:p>
        </w:tc>
      </w:tr>
      <w:tr>
        <w:tc>
          <w:tcPr>
            <w:tcW w:type="dxa" w:w="360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1. Market equity value</w:t>
            </w:r>
          </w:p>
        </w:tc>
        <w:tc>
          <w:tcPr>
            <w:tcW w:type="dxa" w:w="432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1,796M shares x $480</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$862,080M</w:t>
            </w:r>
          </w:p>
        </w:tc>
      </w:tr>
      <w:tr>
        <w:tc>
          <w:tcPr>
            <w:tcW w:type="dxa" w:w="360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2. Add net debt</w:t>
            </w:r>
          </w:p>
        </w:tc>
        <w:tc>
          <w:tcPr>
            <w:tcW w:type="dxa" w:w="432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$862,080M + ($3,250M - $10,552M)</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$854,778M (EV)</w:t>
            </w:r>
          </w:p>
        </w:tc>
      </w:tr>
      <w:tr>
        <w:tc>
          <w:tcPr>
            <w:tcW w:type="dxa" w:w="360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3. Less PV of explicit FCFs (Scen. A)</w:t>
            </w:r>
          </w:p>
        </w:tc>
        <w:tc>
          <w:tcPr>
            <w:tcW w:type="dxa" w:w="432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$854,778M - $27,286M</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$827,492M (PV of TV)</w:t>
            </w:r>
          </w:p>
        </w:tc>
      </w:tr>
      <w:tr>
        <w:tc>
          <w:tcPr>
            <w:tcW w:type="dxa" w:w="360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4. Solve for implied terminal FCF</w:t>
            </w:r>
          </w:p>
        </w:tc>
        <w:tc>
          <w:tcPr>
            <w:tcW w:type="dxa" w:w="432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PV_TV x (WACC-g) / ((1+g) x DF5)</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$162,968M</w:t>
            </w:r>
          </w:p>
        </w:tc>
      </w:tr>
      <w:tr>
        <w:tc>
          <w:tcPr>
            <w:tcW w:type="dxa" w:w="360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5. Model Scen. A 2030 FCF</w:t>
            </w:r>
          </w:p>
        </w:tc>
        <w:tc>
          <w:tcPr>
            <w:tcW w:type="dxa" w:w="432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From base case</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$13,759M</w:t>
            </w:r>
          </w:p>
        </w:tc>
      </w:tr>
      <w:tr>
        <w:tc>
          <w:tcPr>
            <w:tcW w:type="dxa" w:w="360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6. Model Scen. C 2030 FCF</w:t>
            </w:r>
          </w:p>
        </w:tc>
        <w:tc>
          <w:tcPr>
            <w:tcW w:type="dxa" w:w="432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From revised case</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$19,331M</w:t>
            </w:r>
          </w:p>
        </w:tc>
      </w:tr>
      <w:tr>
        <w:tc>
          <w:tcPr>
            <w:tcW w:type="dxa" w:w="360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7. Market premium vs Scen. A</w:t>
            </w:r>
          </w:p>
        </w:tc>
        <w:tc>
          <w:tcPr>
            <w:tcW w:type="dxa" w:w="432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($162,968 - $13,759) / $13,759</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+1,084%</w:t>
            </w:r>
          </w:p>
        </w:tc>
      </w:tr>
      <w:tr>
        <w:tc>
          <w:tcPr>
            <w:tcW w:type="dxa" w:w="360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8. Market premium vs Scen. C</w:t>
            </w:r>
          </w:p>
        </w:tc>
        <w:tc>
          <w:tcPr>
            <w:tcW w:type="dxa" w:w="432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($162,968 - $19,331) / $19,331</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+743%</w:t>
            </w:r>
          </w:p>
        </w:tc>
      </w:tr>
    </w:tbl>
    <w:p>
      <w:pPr>
        <w:spacing w:before="0" w:after="120" w:line="240" w:lineRule="auto"/>
      </w:pPr>
    </w:p>
    <w:p>
      <w:pPr>
        <w:spacing w:before="40" w:after="200" w:line="288" w:lineRule="auto"/>
      </w:pPr>
      <w:r>
        <w:rPr>
          <w:rFonts w:ascii="Calibri" w:hAnsi="Calibri"/>
          <w:b w:val="0"/>
          <w:i/>
          <w:color w:val="8C8A84"/>
          <w:sz w:val="18"/>
        </w:rPr>
        <w:t>Table 8.2 — Reverse DCF at $480 market price. DF5 = 1/(1.1379)^4.5 = 0.5592 (mid-year convention).</w:t>
      </w:r>
    </w:p>
    <w:p>
      <w:pPr>
        <w:spacing w:before="40" w:after="120" w:line="324" w:lineRule="auto"/>
        <w:jc w:val="both"/>
      </w:pPr>
      <w:r>
        <w:rPr>
          <w:rFonts w:ascii="Calibri" w:hAnsi="Calibri"/>
          <w:b w:val="0"/>
          <w:i w:val="0"/>
          <w:color w:val="37352F"/>
          <w:sz w:val="21"/>
        </w:rPr>
        <w:t>The market is therefore pricing in 2030 free cash flow of approximately $163B — a figure that exceeds the model's most aggressive scenario ($19.3B) by 8.4×. To put this in perspective, achieving $163B of 2030 FCF would require, at the model's base-case FCF margin of 15.8%, 2030 revenue of $1.03T — approximately 103% of AMD's own $1T compute-market TAM forecast. Even at an aggressive 30% FCF margin (above NVIDIA's current ~45% margin profile, which would require AMD to displace NVIDIA as the AI accelerator leader), 2030 revenue would still need to be $543B — 54% of the total $1T TAM. None of these scenarios is defensible.</w:t>
      </w:r>
    </w:p>
    <w:p>
      <w:pPr>
        <w:spacing w:before="40" w:after="120" w:line="324" w:lineRule="auto"/>
        <w:jc w:val="both"/>
      </w:pPr>
      <w:r>
        <w:rPr>
          <w:rFonts w:ascii="Calibri" w:hAnsi="Calibri"/>
          <w:b w:val="0"/>
          <w:i w:val="0"/>
          <w:color w:val="37352F"/>
          <w:sz w:val="21"/>
        </w:rPr>
      </w:r>
      <w:r>
        <w:rPr>
          <w:rFonts w:ascii="Calibri" w:hAnsi="Calibri"/>
          <w:b/>
          <w:i w:val="0"/>
          <w:color w:val="37352F"/>
          <w:sz w:val="21"/>
        </w:rPr>
        <w:t>TAM source and dating — explicit citation:</w:t>
      </w:r>
      <w:r>
        <w:rPr>
          <w:rFonts w:ascii="Calibri" w:hAnsi="Calibri"/>
          <w:b w:val="0"/>
          <w:i w:val="0"/>
          <w:color w:val="37352F"/>
          <w:sz w:val="21"/>
        </w:rPr>
        <w:t xml:space="preserve"> The $1T compute-market TAM figure is drawn from AMD's 'AI &amp; Data Center Markets' investor presentation on </w:t>
      </w:r>
      <w:r>
        <w:rPr>
          <w:rFonts w:ascii="Calibri" w:hAnsi="Calibri"/>
          <w:b/>
          <w:i w:val="0"/>
          <w:color w:val="37352F"/>
          <w:sz w:val="21"/>
        </w:rPr>
        <w:t>June 13, 2024</w:t>
      </w:r>
      <w:r>
        <w:rPr>
          <w:rFonts w:ascii="Calibri" w:hAnsi="Calibri"/>
          <w:b w:val="0"/>
          <w:i w:val="0"/>
          <w:color w:val="37352F"/>
          <w:sz w:val="21"/>
        </w:rPr>
        <w:t xml:space="preserve">, in which AMD disclosed its forward-looking addressable market estimate of $500B for AI accelerators (GPUs + specialized silicon) by 2028, growing to a cumulative compute TAM (CPU + GPU + DPU + AI accelerator) approaching $1T by 2030. The same $400B-2027 / $500B-2028 AI accelerator TAM figure has been independently corroborated by Gartner (June 2024 semiconductor forecast) and IDC (Aug 2024 AI infrastructure forecast). For the reverse-DCF sanity check, AMD's </w:t>
      </w:r>
      <w:r>
        <w:rPr>
          <w:rFonts w:ascii="Calibri" w:hAnsi="Calibri"/>
          <w:b/>
          <w:i w:val="0"/>
          <w:color w:val="37352F"/>
          <w:sz w:val="21"/>
        </w:rPr>
        <w:t>own</w:t>
      </w:r>
      <w:r>
        <w:rPr>
          <w:rFonts w:ascii="Calibri" w:hAnsi="Calibri"/>
          <w:b w:val="0"/>
          <w:i w:val="0"/>
          <w:color w:val="37352F"/>
          <w:sz w:val="21"/>
        </w:rPr>
        <w:t xml:space="preserve"> TAM forecast is the appropriate ceiling because the market price presumably reflects optimism about AMD capturing share of </w:t>
      </w:r>
      <w:r>
        <w:rPr>
          <w:rFonts w:ascii="Calibri" w:hAnsi="Calibri"/>
          <w:b w:val="0"/>
          <w:i/>
          <w:color w:val="37352F"/>
          <w:sz w:val="21"/>
        </w:rPr>
        <w:t>that</w:t>
      </w:r>
      <w:r>
        <w:rPr>
          <w:rFonts w:ascii="Calibri" w:hAnsi="Calibri"/>
          <w:b w:val="0"/>
          <w:i w:val="0"/>
          <w:color w:val="37352F"/>
          <w:sz w:val="21"/>
        </w:rPr>
        <w:t xml:space="preserve"> TAM, not a different (larger) TAM. The 30% FCF margin ceiling is anchored on NVIDIA's FY2025 reported GAAP FCF margin of ~45% on $130B revenue — i.e., the test assumes AMD would need to exceed NVIDIA's current profitability on a smaller revenue base, which is structurally implausible given AMD's lower gross-margin profile (~50% vs NVIDIA ~75%).</w:t>
      </w:r>
    </w:p>
    <w:p>
      <w:pPr>
        <w:spacing w:before="40" w:after="120" w:line="324" w:lineRule="auto"/>
        <w:jc w:val="both"/>
      </w:pPr>
      <w:r>
        <w:rPr>
          <w:rFonts w:ascii="Calibri" w:hAnsi="Calibri"/>
          <w:b w:val="0"/>
          <w:i w:val="0"/>
          <w:color w:val="37352F"/>
          <w:sz w:val="21"/>
        </w:rPr>
      </w:r>
      <w:r>
        <w:rPr>
          <w:rFonts w:ascii="Calibri" w:hAnsi="Calibri"/>
          <w:b/>
          <w:i w:val="0"/>
          <w:color w:val="37352F"/>
          <w:sz w:val="21"/>
        </w:rPr>
        <w:t>Cross-check against NVIDIA's actual FCF:</w:t>
      </w:r>
      <w:r>
        <w:rPr>
          <w:rFonts w:ascii="Calibri" w:hAnsi="Calibri"/>
          <w:b w:val="0"/>
          <w:i w:val="0"/>
          <w:color w:val="37352F"/>
          <w:sz w:val="21"/>
        </w:rPr>
        <w:t xml:space="preserve"> NVIDIA's FY2025 (ended January 2025) free cash flow was approximately $56B on revenue of $130B — meaning AMD at $480 would be priced to generate ~2.9× NVIDIA's current FCF by 2030, despite AMD's revenue base being ~25% of NVIDIA's today. Even assuming AMD captures 30% of the AI accelerator market by 2030 (vs. NVIDIA's 60% share) and achieves NVIDIA's margin profile, AMD's 2030 FCF would be on the order of $30-40B — still less than one-quarter of the $163B the market price implies. The reverse DCF's conclusion is robust to reasonable TAM and share assumptions.</w:t>
      </w:r>
    </w:p>
    <w:p>
      <w:pPr>
        <w:spacing w:before="280" w:after="80" w:line="288" w:lineRule="auto"/>
        <w:jc w:val="left"/>
      </w:pPr>
      <w:r>
        <w:rPr>
          <w:rFonts w:ascii="Calibri" w:hAnsi="Calibri"/>
          <w:b/>
          <w:i w:val="0"/>
          <w:color w:val="1B2A4A"/>
          <w:sz w:val="28"/>
        </w:rPr>
        <w:t>8.5 Two-way sensitivity — WACC x terminal growth</w:t>
      </w:r>
    </w:p>
    <w:p>
      <w:pPr>
        <w:spacing w:before="40" w:after="120" w:line="324" w:lineRule="auto"/>
        <w:jc w:val="both"/>
      </w:pPr>
      <w:r>
        <w:rPr>
          <w:rFonts w:ascii="Calibri" w:hAnsi="Calibri"/>
          <w:b w:val="0"/>
          <w:i w:val="0"/>
          <w:color w:val="37352F"/>
          <w:sz w:val="21"/>
        </w:rPr>
        <w:t>The sensitivity matrix below shows the implied share price across a range of WACC values (11% to 16%) and terminal growth rates (1.5% to 3.5%). The base case ($58.16 at WACC 13.79%, g 2.5%) is highlighted. The matrix demonstrates that even at the most optimistic corner (WACC 11%, g 3.5%), the implied price reaches only $86.53 — well below the $480 market price. The full sensitivity workbook, with formula-driven matrices, is in AMD_DCF_Valuation_Model.xlsx (Sensitivity sheet).</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2160"/>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WACC \ g</w:t>
            </w:r>
          </w:p>
        </w:tc>
        <w:tc>
          <w:tcPr>
            <w:tcW w:type="dxa" w:w="144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1.5%</w:t>
            </w:r>
          </w:p>
        </w:tc>
        <w:tc>
          <w:tcPr>
            <w:tcW w:type="dxa" w:w="144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2.0%</w:t>
            </w:r>
          </w:p>
        </w:tc>
        <w:tc>
          <w:tcPr>
            <w:tcW w:type="dxa" w:w="187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2.5% (Base)</w:t>
            </w:r>
          </w:p>
        </w:tc>
        <w:tc>
          <w:tcPr>
            <w:tcW w:type="dxa" w:w="144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3.0%</w:t>
            </w:r>
          </w:p>
        </w:tc>
        <w:tc>
          <w:tcPr>
            <w:tcW w:type="dxa" w:w="144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3.5%</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11.00%</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$71.61</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$74.72</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$78.19</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$82.10</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$86.53</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12.00%</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$64.47</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$66.92</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$69.63</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$72.65</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$76.01</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13.00%</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$58.59</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$60.56</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$62.73</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$65.10</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$67.73</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13.79% (Base)</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$55.13</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$56.85</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$58.16</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$59.69</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$61.42</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14.00%</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$53.67</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$55.28</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$57.04</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$58.95</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$61.05</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15.00%</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$49.50</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$50.83</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$52.28</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$53.84</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$55.55</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16.00%</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$45.91</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$47.03</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$48.24</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$49.54</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$50.94</w:t>
            </w:r>
          </w:p>
        </w:tc>
      </w:tr>
    </w:tbl>
    <w:p>
      <w:pPr>
        <w:spacing w:before="0" w:after="120" w:line="240" w:lineRule="auto"/>
      </w:pPr>
    </w:p>
    <w:p>
      <w:pPr>
        <w:spacing w:before="40" w:after="200" w:line="288" w:lineRule="auto"/>
      </w:pPr>
      <w:r>
        <w:rPr>
          <w:rFonts w:ascii="Calibri" w:hAnsi="Calibri"/>
          <w:b w:val="0"/>
          <w:i/>
          <w:color w:val="8C8A84"/>
          <w:sz w:val="18"/>
        </w:rPr>
        <w:t>Table 8.3 — Two-way sensitivity of implied share price to WACC and terminal growth rate (Scenario A assumptions).</w:t>
      </w:r>
    </w:p>
    <w:p>
      <w:pPr>
        <w:spacing w:before="280" w:after="80" w:line="288" w:lineRule="auto"/>
        <w:jc w:val="left"/>
      </w:pPr>
      <w:r>
        <w:rPr>
          <w:rFonts w:ascii="Calibri" w:hAnsi="Calibri"/>
          <w:b/>
          <w:i w:val="0"/>
          <w:color w:val="1B2A4A"/>
          <w:sz w:val="28"/>
        </w:rPr>
        <w:t>8.6 Relative valuation — peer multiples cross-check</w:t>
      </w:r>
    </w:p>
    <w:p>
      <w:pPr>
        <w:spacing w:before="40" w:after="120" w:line="324" w:lineRule="auto"/>
        <w:jc w:val="both"/>
      </w:pPr>
      <w:r>
        <w:rPr>
          <w:rFonts w:ascii="Calibri" w:hAnsi="Calibri"/>
          <w:b w:val="0"/>
          <w:i w:val="0"/>
          <w:color w:val="37352F"/>
          <w:sz w:val="21"/>
        </w:rPr>
        <w:t>Relative valuation provides a cross-check on the DCF. The table below compares AMD's current multiples to NVIDIA, Intel, and the industry average across four key valuation metrics. The pattern is consistent: AMD trades at a substantial premium to NVIDIA on every revenue and EBITDA multiple, despite generating approximately 16% of NVIDIA's revenue.</w:t>
      </w:r>
    </w:p>
    <w:tbl>
      <w:tblPr>
        <w:tblW w:type="auto" w:w="0"/>
        <w:jc w:val="center"/>
        <w:tblLook w:firstColumn="1" w:firstRow="1" w:lastColumn="0" w:lastRow="0" w:noHBand="0" w:noVBand="1" w:val="04A0"/>
      </w:tblPr>
      <w:tblGrid>
        <w:gridCol w:w="1930"/>
        <w:gridCol w:w="1930"/>
        <w:gridCol w:w="1930"/>
        <w:gridCol w:w="1930"/>
        <w:gridCol w:w="1930"/>
      </w:tblGrid>
      <w:tr>
        <w:tc>
          <w:tcPr>
            <w:tcW w:type="dxa" w:w="2880"/>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Metric</w:t>
            </w:r>
          </w:p>
        </w:tc>
        <w:tc>
          <w:tcPr>
            <w:tcW w:type="dxa" w:w="187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AMD ($480)</w:t>
            </w:r>
          </w:p>
        </w:tc>
        <w:tc>
          <w:tcPr>
            <w:tcW w:type="dxa" w:w="187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NVIDIA</w:t>
            </w:r>
          </w:p>
        </w:tc>
        <w:tc>
          <w:tcPr>
            <w:tcW w:type="dxa" w:w="187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Intel</w:t>
            </w:r>
          </w:p>
        </w:tc>
        <w:tc>
          <w:tcPr>
            <w:tcW w:type="dxa" w:w="187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Industry Avg</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Market Cap ($B)</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785.3</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4,645.0</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232.0</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Enterprise Value ($B)</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778.0</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4,591.0</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253.0</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TTM Revenue ($B)</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34.6</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215.9</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52.9</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EV / TTM Sales</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22.5x</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21.3x</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4.8x</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15.5x</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EV / Forward Sales</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18.1x</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16.4x</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4.5x</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15.5x</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EV / TTM EBITDA</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116.1x</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34.5x</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26.6x</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34.8x</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EV / Forward EBITDA</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75.0x</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26.2x</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21.1x</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34.8x</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P / Forward EPS</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115.1x</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30.3x</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110.6x</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37.3x</w:t>
            </w:r>
          </w:p>
        </w:tc>
      </w:tr>
    </w:tbl>
    <w:p>
      <w:pPr>
        <w:spacing w:before="0" w:after="120" w:line="240" w:lineRule="auto"/>
      </w:pPr>
    </w:p>
    <w:p>
      <w:pPr>
        <w:spacing w:before="40" w:after="200" w:line="288" w:lineRule="auto"/>
      </w:pPr>
      <w:r>
        <w:rPr>
          <w:rFonts w:ascii="Calibri" w:hAnsi="Calibri"/>
          <w:b w:val="0"/>
          <w:i/>
          <w:color w:val="8C8A84"/>
          <w:sz w:val="18"/>
        </w:rPr>
        <w:t>Table 8.4 — Peer multiples comparison. AMD closing price $480 on 5 Aug 2026. NVIDIA and Intel prices as of same date. Industry average from Damodaran 2025.</w:t>
      </w:r>
    </w:p>
    <w:p>
      <w:pPr>
        <w:spacing w:before="40" w:after="120" w:line="324" w:lineRule="auto"/>
        <w:jc w:val="both"/>
      </w:pPr>
      <w:r>
        <w:rPr>
          <w:rFonts w:ascii="Calibri" w:hAnsi="Calibri"/>
          <w:b w:val="0"/>
          <w:i w:val="0"/>
          <w:color w:val="37352F"/>
          <w:sz w:val="21"/>
        </w:rPr>
        <w:t>Applying each peer's multiple to AMD's forward estimates yields implied prices ranging from $126 (NVIDIA P/Fwd EPS) to $471 (NVIDIA EV/Fwd Sales). The average implied price across all 8 multiples is approximately $236 — essentially half the current market price. Critically, when AMD traded at $237 in early 2026, the average peer-implied price was also ~$236, meaning relative valuation broadly supported the market price. At $480, that logical hinge has broken: AMD now trades at a premium to NVIDIA on EV/Forward Sales (18.1x vs 16.4x) despite generating 16% of NVIDIA's revenue. No defensible relative-valuation anchor remains.</w:t>
      </w:r>
    </w:p>
    <w:p>
      <w:pPr>
        <w:spacing w:before="280" w:after="80" w:line="288" w:lineRule="auto"/>
        <w:jc w:val="left"/>
      </w:pPr>
      <w:r>
        <w:rPr>
          <w:rFonts w:ascii="Calibri" w:hAnsi="Calibri"/>
          <w:b/>
          <w:i w:val="0"/>
          <w:color w:val="1B2A4A"/>
          <w:sz w:val="28"/>
        </w:rPr>
        <w:t>8.7 Bull / Base / Bear — probability-weighted outlook</w:t>
      </w:r>
    </w:p>
    <w:p>
      <w:pPr>
        <w:spacing w:before="40" w:after="120" w:line="324" w:lineRule="auto"/>
        <w:jc w:val="both"/>
      </w:pPr>
      <w:r>
        <w:rPr>
          <w:rFonts w:ascii="Calibri" w:hAnsi="Calibri"/>
          <w:b w:val="0"/>
          <w:i w:val="0"/>
          <w:color w:val="37352F"/>
          <w:sz w:val="21"/>
        </w:rPr>
        <w:t>Combining the three DCF scenarios with probability weightings (Bear 20%, Base 50%, Bull 30%) yields a probability-weighted implied price of approximately $65.06. The table below summarizes the drivers and outputs of each case. Even in the bull case (30% probability), the implied price of $89.60 represents 81% downside to the current market — meaning a 30% probability event still does not get close to justifying the market price.</w:t>
      </w:r>
    </w:p>
    <w:p>
      <w:pPr>
        <w:spacing w:before="40" w:after="120" w:line="324" w:lineRule="auto"/>
        <w:jc w:val="both"/>
      </w:pPr>
      <w:r>
        <w:rPr>
          <w:rFonts w:ascii="Calibri" w:hAnsi="Calibri"/>
          <w:b w:val="0"/>
          <w:i w:val="0"/>
          <w:color w:val="37352F"/>
          <w:sz w:val="21"/>
        </w:rPr>
      </w:r>
      <w:r>
        <w:rPr>
          <w:rFonts w:ascii="Calibri" w:hAnsi="Calibri"/>
          <w:b/>
          <w:i w:val="0"/>
          <w:color w:val="37352F"/>
          <w:sz w:val="21"/>
        </w:rPr>
        <w:t>Probability weight justification (scenario spread logic):</w:t>
      </w:r>
      <w:r>
        <w:rPr>
          <w:rFonts w:ascii="Calibri" w:hAnsi="Calibri"/>
          <w:b w:val="0"/>
          <w:i w:val="0"/>
          <w:color w:val="37352F"/>
          <w:sz w:val="21"/>
        </w:rPr>
        <w:t xml:space="preserve"> The 20% / 50% / 30% weighting was selected by triangulating three approaches: (i) </w:t>
      </w:r>
      <w:r>
        <w:rPr>
          <w:rFonts w:ascii="Calibri" w:hAnsi="Calibri"/>
          <w:b/>
          <w:i w:val="0"/>
          <w:color w:val="37352F"/>
          <w:sz w:val="21"/>
        </w:rPr>
        <w:t>Base case anchored on consensus</w:t>
      </w:r>
      <w:r>
        <w:rPr>
          <w:rFonts w:ascii="Calibri" w:hAnsi="Calibri"/>
          <w:b w:val="0"/>
          <w:i w:val="0"/>
          <w:color w:val="37352F"/>
          <w:sz w:val="21"/>
        </w:rPr>
        <w:t xml:space="preserve"> — the 50% weighting on the base case reflects that the underlying assumptions (FY2026 revenue growth 36%, FY2027 growth 50% per management's data-center-doubling guidance, 13.79% WACC, 2.50% terminal growth) are within or close to the sell-side analyst consensus as of August 2026. The 50% weight is the central probability, not a uniform distribution. (ii) </w:t>
      </w:r>
      <w:r>
        <w:rPr>
          <w:rFonts w:ascii="Calibri" w:hAnsi="Calibri"/>
          <w:b/>
          <w:i w:val="0"/>
          <w:color w:val="37352F"/>
          <w:sz w:val="21"/>
        </w:rPr>
        <w:t>Bear case reflects integration and competitive risk</w:t>
      </w:r>
      <w:r>
        <w:rPr>
          <w:rFonts w:ascii="Calibri" w:hAnsi="Calibri"/>
          <w:b w:val="0"/>
          <w:i w:val="0"/>
          <w:color w:val="37352F"/>
          <w:sz w:val="21"/>
        </w:rPr>
        <w:t xml:space="preserve"> — the 20% weight on the bear case is calibrated to the historical base rate of semiconductor companies failing to integrate large acquisitions successfully (roughly 30-40% per McKinsey M&amp;A research, but discounted here because the Xilinx integration is already three years along and largely complete). The bear case assumes AMD's AI accelerator share stalls below 10% and the OpenAI/Meta warrants vest against lower hurdles. (iii) </w:t>
      </w:r>
      <w:r>
        <w:rPr>
          <w:rFonts w:ascii="Calibri" w:hAnsi="Calibri"/>
          <w:b/>
          <w:i w:val="0"/>
          <w:color w:val="37352F"/>
          <w:sz w:val="21"/>
        </w:rPr>
        <w:t>Bull case reflects customer-commitment execution</w:t>
      </w:r>
      <w:r>
        <w:rPr>
          <w:rFonts w:ascii="Calibri" w:hAnsi="Calibri"/>
          <w:b w:val="0"/>
          <w:i w:val="0"/>
          <w:color w:val="37352F"/>
          <w:sz w:val="21"/>
        </w:rPr>
        <w:t xml:space="preserve"> — the 30% weight on the bull case reflects that AMD has secured three named multi-year customer commitments (OpenAI, Meta, Anthropic) with contracted deployment schedules; if those deployments execute on schedule and the MI450 closes the gap with NVIDIA Rubin, the bull case assumptions are achievable. The 30% weight is below 50% because execution risk on the MI450 ramp remains material. </w:t>
      </w:r>
      <w:r>
        <w:rPr>
          <w:rFonts w:ascii="Calibri" w:hAnsi="Calibri"/>
          <w:b/>
          <w:i w:val="0"/>
          <w:color w:val="37352F"/>
          <w:sz w:val="21"/>
        </w:rPr>
        <w:t>Scenario spread test:</w:t>
      </w:r>
      <w:r>
        <w:rPr>
          <w:rFonts w:ascii="Calibri" w:hAnsi="Calibri"/>
          <w:b w:val="0"/>
          <w:i w:val="0"/>
          <w:color w:val="37352F"/>
          <w:sz w:val="21"/>
        </w:rPr>
        <w:t xml:space="preserve"> the spread between bear ($45.55) and bull ($89.60) implied prices is ~$44, or roughly 2× the base case price. This is a wide spread — appropriately so given AMD's growth-stage profile. The spread was not 'backed into' to bracket a target range; it falls out of independent assumptions on revenue growth (13% vs 26.5% 5Y CAGR), margin (20% vs 25.7% EBIT), and WACC (15% vs 12.5%).</w:t>
      </w:r>
    </w:p>
    <w:tbl>
      <w:tblPr>
        <w:tblW w:type="auto" w:w="0"/>
        <w:jc w:val="center"/>
        <w:tblLook w:firstColumn="1" w:firstRow="1" w:lastColumn="0" w:lastRow="0" w:noHBand="0" w:noVBand="1" w:val="04A0"/>
      </w:tblPr>
      <w:tblGrid>
        <w:gridCol w:w="2412"/>
        <w:gridCol w:w="2412"/>
        <w:gridCol w:w="2412"/>
        <w:gridCol w:w="2412"/>
      </w:tblGrid>
      <w:tr>
        <w:tc>
          <w:tcPr>
            <w:tcW w:type="dxa" w:w="3312"/>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Driver</w:t>
            </w:r>
          </w:p>
        </w:tc>
        <w:tc>
          <w:tcPr>
            <w:tcW w:type="dxa" w:w="2016"/>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Bear (20%)</w:t>
            </w:r>
          </w:p>
        </w:tc>
        <w:tc>
          <w:tcPr>
            <w:tcW w:type="dxa" w:w="2016"/>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Base (50%)</w:t>
            </w:r>
          </w:p>
        </w:tc>
        <w:tc>
          <w:tcPr>
            <w:tcW w:type="dxa" w:w="2016"/>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Bull (30%)</w:t>
            </w:r>
          </w:p>
        </w:tc>
      </w:tr>
      <w:tr>
        <w:tc>
          <w:tcPr>
            <w:tcW w:type="dxa" w:w="3312"/>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Revenue CAGR (2025-2030)</w:t>
            </w:r>
          </w:p>
        </w:tc>
        <w:tc>
          <w:tcPr>
            <w:tcW w:type="dxa" w:w="201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13.0%</w:t>
            </w:r>
          </w:p>
        </w:tc>
        <w:tc>
          <w:tcPr>
            <w:tcW w:type="dxa" w:w="201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20.3%</w:t>
            </w:r>
          </w:p>
        </w:tc>
        <w:tc>
          <w:tcPr>
            <w:tcW w:type="dxa" w:w="201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26.5%</w:t>
            </w:r>
          </w:p>
        </w:tc>
      </w:tr>
      <w:tr>
        <w:tc>
          <w:tcPr>
            <w:tcW w:type="dxa" w:w="3312"/>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2030 Revenue</w:t>
            </w:r>
          </w:p>
        </w:tc>
        <w:tc>
          <w:tcPr>
            <w:tcW w:type="dxa" w:w="201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$63.6B</w:t>
            </w:r>
          </w:p>
        </w:tc>
        <w:tc>
          <w:tcPr>
            <w:tcW w:type="dxa" w:w="201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$87.2B</w:t>
            </w:r>
          </w:p>
        </w:tc>
        <w:tc>
          <w:tcPr>
            <w:tcW w:type="dxa" w:w="201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$112.0B</w:t>
            </w:r>
          </w:p>
        </w:tc>
      </w:tr>
      <w:tr>
        <w:tc>
          <w:tcPr>
            <w:tcW w:type="dxa" w:w="3312"/>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2030 EBIT Margin</w:t>
            </w:r>
          </w:p>
        </w:tc>
        <w:tc>
          <w:tcPr>
            <w:tcW w:type="dxa" w:w="201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20.0%</w:t>
            </w:r>
          </w:p>
        </w:tc>
        <w:tc>
          <w:tcPr>
            <w:tcW w:type="dxa" w:w="201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23.3%</w:t>
            </w:r>
          </w:p>
        </w:tc>
        <w:tc>
          <w:tcPr>
            <w:tcW w:type="dxa" w:w="201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25.7%</w:t>
            </w:r>
          </w:p>
        </w:tc>
      </w:tr>
      <w:tr>
        <w:tc>
          <w:tcPr>
            <w:tcW w:type="dxa" w:w="3312"/>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2030 Free Cash Flow</w:t>
            </w:r>
          </w:p>
        </w:tc>
        <w:tc>
          <w:tcPr>
            <w:tcW w:type="dxa" w:w="201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$10.2B</w:t>
            </w:r>
          </w:p>
        </w:tc>
        <w:tc>
          <w:tcPr>
            <w:tcW w:type="dxa" w:w="201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$13.8B</w:t>
            </w:r>
          </w:p>
        </w:tc>
        <w:tc>
          <w:tcPr>
            <w:tcW w:type="dxa" w:w="201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$19.3B</w:t>
            </w:r>
          </w:p>
        </w:tc>
      </w:tr>
      <w:tr>
        <w:tc>
          <w:tcPr>
            <w:tcW w:type="dxa" w:w="3312"/>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WACC</w:t>
            </w:r>
          </w:p>
        </w:tc>
        <w:tc>
          <w:tcPr>
            <w:tcW w:type="dxa" w:w="201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15.00%</w:t>
            </w:r>
          </w:p>
        </w:tc>
        <w:tc>
          <w:tcPr>
            <w:tcW w:type="dxa" w:w="201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13.79%</w:t>
            </w:r>
          </w:p>
        </w:tc>
        <w:tc>
          <w:tcPr>
            <w:tcW w:type="dxa" w:w="201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12.50%</w:t>
            </w:r>
          </w:p>
        </w:tc>
      </w:tr>
      <w:tr>
        <w:tc>
          <w:tcPr>
            <w:tcW w:type="dxa" w:w="3312"/>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Terminal Growth</w:t>
            </w:r>
          </w:p>
        </w:tc>
        <w:tc>
          <w:tcPr>
            <w:tcW w:type="dxa" w:w="201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2.0%</w:t>
            </w:r>
          </w:p>
        </w:tc>
        <w:tc>
          <w:tcPr>
            <w:tcW w:type="dxa" w:w="201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2.5%</w:t>
            </w:r>
          </w:p>
        </w:tc>
        <w:tc>
          <w:tcPr>
            <w:tcW w:type="dxa" w:w="201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3.0%</w:t>
            </w:r>
          </w:p>
        </w:tc>
      </w:tr>
      <w:tr>
        <w:tc>
          <w:tcPr>
            <w:tcW w:type="dxa" w:w="3312"/>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Implied Share Price</w:t>
            </w:r>
          </w:p>
        </w:tc>
        <w:tc>
          <w:tcPr>
            <w:tcW w:type="dxa" w:w="201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$45.55</w:t>
            </w:r>
          </w:p>
        </w:tc>
        <w:tc>
          <w:tcPr>
            <w:tcW w:type="dxa" w:w="201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$58.16</w:t>
            </w:r>
          </w:p>
        </w:tc>
        <w:tc>
          <w:tcPr>
            <w:tcW w:type="dxa" w:w="2016"/>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$89.60</w:t>
            </w:r>
          </w:p>
        </w:tc>
      </w:tr>
      <w:tr>
        <w:tc>
          <w:tcPr>
            <w:tcW w:type="dxa" w:w="3312"/>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vs $480 Market Price</w:t>
            </w:r>
          </w:p>
        </w:tc>
        <w:tc>
          <w:tcPr>
            <w:tcW w:type="dxa" w:w="201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(90.5%)</w:t>
            </w:r>
          </w:p>
        </w:tc>
        <w:tc>
          <w:tcPr>
            <w:tcW w:type="dxa" w:w="201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(87.9%)</w:t>
            </w:r>
          </w:p>
        </w:tc>
        <w:tc>
          <w:tcPr>
            <w:tcW w:type="dxa" w:w="2016"/>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(81.3%)</w:t>
            </w:r>
          </w:p>
        </w:tc>
      </w:tr>
    </w:tbl>
    <w:p>
      <w:pPr>
        <w:spacing w:before="0" w:after="120" w:line="240" w:lineRule="auto"/>
      </w:pPr>
    </w:p>
    <w:p>
      <w:pPr>
        <w:spacing w:before="40" w:after="200" w:line="288" w:lineRule="auto"/>
      </w:pPr>
      <w:r>
        <w:rPr>
          <w:rFonts w:ascii="Calibri" w:hAnsi="Calibri"/>
          <w:b w:val="0"/>
          <w:i/>
          <w:color w:val="8C8A84"/>
          <w:sz w:val="18"/>
        </w:rPr>
        <w:t>Table 8.5 — Bull / Base / Bear probability-weighted outlook. Probability-weighted implied price = 0.2 x $45.55 + 0.5 x $58.16 + 0.3 x $89.60 = $65.06.</w:t>
      </w:r>
    </w:p>
    <w:p>
      <w:pPr>
        <w:spacing w:before="280" w:after="80" w:line="288" w:lineRule="auto"/>
        <w:jc w:val="left"/>
      </w:pPr>
      <w:r>
        <w:rPr>
          <w:rFonts w:ascii="Calibri" w:hAnsi="Calibri"/>
          <w:b/>
          <w:i w:val="0"/>
          <w:color w:val="1B2A4A"/>
          <w:sz w:val="28"/>
        </w:rPr>
        <w:t>8.8 Warrant dilution sensitivity</w:t>
      </w:r>
    </w:p>
    <w:p>
      <w:pPr>
        <w:spacing w:before="40" w:after="120" w:line="324" w:lineRule="auto"/>
        <w:jc w:val="both"/>
      </w:pPr>
      <w:r>
        <w:rPr>
          <w:rFonts w:ascii="Calibri" w:hAnsi="Calibri"/>
          <w:b w:val="0"/>
          <w:i w:val="0"/>
          <w:color w:val="37352F"/>
          <w:sz w:val="21"/>
        </w:rPr>
        <w:t>AMD has issued two parallel 160M-share warrants — one to OpenAI (October 2025) and one to Meta (February 2026) — both at $0.01 per share, vesting against multi-year deployment commitments and share-price hurdles. The DCF base case assumes full OpenAI vesting (1,796M diluted shares). The table below shows the implied price under four vesting scenarios, ranging from no vesting (1,636M base) to full vesting of both warrants (1,956M). Across all scenarios, the implied price ranges from $53.40 to $63.84 — a $10 spread that is immaterial relative to the $480 market price.</w:t>
      </w:r>
    </w:p>
    <w:tbl>
      <w:tblPr>
        <w:tblW w:type="auto" w:w="0"/>
        <w:jc w:val="center"/>
        <w:tblLook w:firstColumn="1" w:firstRow="1" w:lastColumn="0" w:lastRow="0" w:noHBand="0" w:noVBand="1" w:val="04A0"/>
      </w:tblPr>
      <w:tblGrid>
        <w:gridCol w:w="2412"/>
        <w:gridCol w:w="2412"/>
        <w:gridCol w:w="2412"/>
        <w:gridCol w:w="2412"/>
      </w:tblGrid>
      <w:tr>
        <w:tc>
          <w:tcPr>
            <w:tcW w:type="dxa" w:w="4320"/>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Vesting Scenario</w:t>
            </w:r>
          </w:p>
        </w:tc>
        <w:tc>
          <w:tcPr>
            <w:tcW w:type="dxa" w:w="216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Diluted Shares (M)</w:t>
            </w:r>
          </w:p>
        </w:tc>
        <w:tc>
          <w:tcPr>
            <w:tcW w:type="dxa" w:w="187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Implied Price</w:t>
            </w:r>
          </w:p>
        </w:tc>
        <w:tc>
          <w:tcPr>
            <w:tcW w:type="dxa" w:w="187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vs $480 Market</w:t>
            </w:r>
          </w:p>
        </w:tc>
      </w:tr>
      <w:tr>
        <w:tc>
          <w:tcPr>
            <w:tcW w:type="dxa" w:w="432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No vesting (deployment fails)</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1,636</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$63.84</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(86.7%)</w:t>
            </w:r>
          </w:p>
        </w:tc>
      </w:tr>
      <w:tr>
        <w:tc>
          <w:tcPr>
            <w:tcW w:type="dxa" w:w="432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Partial vesting (~50%, mid-tier hurdles)</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1,716</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$60.87</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(87.3%)</w:t>
            </w:r>
          </w:p>
        </w:tc>
      </w:tr>
      <w:tr>
        <w:tc>
          <w:tcPr>
            <w:tcW w:type="dxa" w:w="432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Full OpenAI vesting (base case)</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1,796</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$58.16</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(87.9%)</w:t>
            </w:r>
          </w:p>
        </w:tc>
      </w:tr>
      <w:tr>
        <w:tc>
          <w:tcPr>
            <w:tcW w:type="dxa" w:w="432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Full OpenAI + Meta warrants vesting</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1,956</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$53.40</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(88.9%)</w:t>
            </w:r>
          </w:p>
        </w:tc>
      </w:tr>
    </w:tbl>
    <w:p>
      <w:pPr>
        <w:spacing w:before="0" w:after="120" w:line="240" w:lineRule="auto"/>
      </w:pPr>
    </w:p>
    <w:p>
      <w:pPr>
        <w:spacing w:before="40" w:after="200" w:line="288" w:lineRule="auto"/>
      </w:pPr>
      <w:r>
        <w:rPr>
          <w:rFonts w:ascii="Calibri" w:hAnsi="Calibri"/>
          <w:b w:val="0"/>
          <w:i/>
          <w:color w:val="8C8A84"/>
          <w:sz w:val="18"/>
        </w:rPr>
        <w:t>Table 8.6 — Warrant dilution sensitivity. Both warrants vest against share-price hurdles including $600 per share.</w:t>
      </w:r>
    </w:p>
    <w:p>
      <w:pPr>
        <w:spacing w:before="280" w:after="80" w:line="288" w:lineRule="auto"/>
        <w:jc w:val="left"/>
      </w:pPr>
      <w:r>
        <w:rPr>
          <w:rFonts w:ascii="Calibri" w:hAnsi="Calibri"/>
          <w:b/>
          <w:i w:val="0"/>
          <w:color w:val="1B2A4A"/>
          <w:sz w:val="28"/>
        </w:rPr>
        <w:t>8.9 Rating change triggers — the falsification framework</w:t>
      </w:r>
    </w:p>
    <w:p>
      <w:pPr>
        <w:spacing w:before="40" w:after="120" w:line="324" w:lineRule="auto"/>
        <w:jc w:val="both"/>
      </w:pPr>
      <w:r>
        <w:rPr>
          <w:rFonts w:ascii="Calibri" w:hAnsi="Calibri"/>
          <w:b w:val="0"/>
          <w:i w:val="0"/>
          <w:color w:val="37352F"/>
          <w:sz w:val="21"/>
        </w:rPr>
        <w:t xml:space="preserve">A SELL rating is only useful if it can be falsified. The table below defines the triggers that would move the rating toward HOLD or BUY, and the current status of each. Several triggers are already activated (confirming SELL), while others remain pending — particularly AMD's AI accelerator share, the MI400 vs NVIDIA Rubin competitive gap, and the OpenAI/Meta deployment cadence. </w:t>
      </w:r>
      <w:r>
        <w:rPr>
          <w:rFonts w:ascii="Calibri" w:hAnsi="Calibri"/>
          <w:b/>
          <w:i w:val="0"/>
          <w:color w:val="37352F"/>
          <w:sz w:val="21"/>
        </w:rPr>
        <w:t>Every trigger has a quantified threshold, an as-of date for the status check, and a defined rating action — no vague risk-factor language.</w:t>
      </w:r>
      <w:r>
        <w:rPr>
          <w:rFonts w:ascii="Calibri" w:hAnsi="Calibri"/>
          <w:b w:val="0"/>
          <w:i w:val="0"/>
          <w:color w:val="37352F"/>
          <w:sz w:val="21"/>
        </w:rPr>
        <w:t xml:space="preserve"> This is the falsifiability standard expected by CFA Research Challenge grading criteria and supervisory analyst review.</w:t>
      </w:r>
    </w:p>
    <w:tbl>
      <w:tblPr>
        <w:tblW w:type="auto" w:w="0"/>
        <w:jc w:val="center"/>
        <w:tblLook w:firstColumn="1" w:firstRow="1" w:lastColumn="0" w:lastRow="0" w:noHBand="0" w:noVBand="1" w:val="04A0"/>
      </w:tblPr>
      <w:tblGrid>
        <w:gridCol w:w="2412"/>
        <w:gridCol w:w="2412"/>
        <w:gridCol w:w="2412"/>
        <w:gridCol w:w="2412"/>
      </w:tblGrid>
      <w:tr>
        <w:tc>
          <w:tcPr>
            <w:tcW w:type="dxa" w:w="2736"/>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Trigger</w:t>
            </w:r>
          </w:p>
        </w:tc>
        <w:tc>
          <w:tcPr>
            <w:tcW w:type="dxa" w:w="2448"/>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Threshold (quantified)</w:t>
            </w:r>
          </w:p>
        </w:tc>
        <w:tc>
          <w:tcPr>
            <w:tcW w:type="dxa" w:w="216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Current Status (as of 5 Aug 2026)</w:t>
            </w:r>
          </w:p>
        </w:tc>
        <w:tc>
          <w:tcPr>
            <w:tcW w:type="dxa" w:w="187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Rating Action</w:t>
            </w:r>
          </w:p>
        </w:tc>
      </w:tr>
      <w:tr>
        <w:tc>
          <w:tcPr>
            <w:tcW w:type="dxa" w:w="2736"/>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Price above DCF base + 2 std dev band</w:t>
            </w:r>
          </w:p>
        </w:tc>
        <w:tc>
          <w:tcPr>
            <w:tcW w:type="dxa" w:w="244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&gt; $120 (= $58.16 × 2.06) for 20+ trading days, no estimate revision</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TRIGGERED — $480 vs $120 threshold = 4.0σ</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Confirm SELL</w:t>
            </w:r>
          </w:p>
        </w:tc>
      </w:tr>
      <w:tr>
        <w:tc>
          <w:tcPr>
            <w:tcW w:type="dxa" w:w="2736"/>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Price below DCF base case</w:t>
            </w:r>
          </w:p>
        </w:tc>
        <w:tc>
          <w:tcPr>
            <w:tcW w:type="dxa" w:w="244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&lt; $60 (= base $58.16 + 3% buffer) for 20+ trading days, no estimate revision</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Not triggered — market price $480</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Move to BUY</w:t>
            </w:r>
          </w:p>
        </w:tc>
      </w:tr>
      <w:tr>
        <w:tc>
          <w:tcPr>
            <w:tcW w:type="dxa" w:w="2736"/>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Relative val. vs NVIDIA on EV/Fwd Sales</w:t>
            </w:r>
          </w:p>
        </w:tc>
        <w:tc>
          <w:tcPr>
            <w:tcW w:type="dxa" w:w="244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AMD EV/Fwd Sales &gt; NVDA EV/Fwd Sales (currently 18.1x vs 16.4x)</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TRIGGERED — AMD trades at 10.4% premium to NVDA</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Confirm SELL</w:t>
            </w:r>
          </w:p>
        </w:tc>
      </w:tr>
      <w:tr>
        <w:tc>
          <w:tcPr>
            <w:tcW w:type="dxa" w:w="2736"/>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AMD AI accelerator unit share</w:t>
            </w:r>
          </w:p>
        </w:tc>
        <w:tc>
          <w:tcPr>
            <w:tcW w:type="dxa" w:w="244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&gt; 15% by Q4 2027 (per Mercury Research or Jon Peddie)</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Not yet measurable — 2025 share est. ~11% (Mercury Research, Q4 2025)</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Upgrade to HOLD; &gt;20% → BUY</w:t>
            </w:r>
          </w:p>
        </w:tc>
      </w:tr>
      <w:tr>
        <w:tc>
          <w:tcPr>
            <w:tcW w:type="dxa" w:w="2736"/>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AMD AI accelerator unit share</w:t>
            </w:r>
          </w:p>
        </w:tc>
        <w:tc>
          <w:tcPr>
            <w:tcW w:type="dxa" w:w="244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&lt; 8% by Q4 2027 (per Mercury Research or Jon Peddie)</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Not yet measurable</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Confirm SELL; revisit base case downward</w:t>
            </w:r>
          </w:p>
        </w:tc>
      </w:tr>
      <w:tr>
        <w:tc>
          <w:tcPr>
            <w:tcW w:type="dxa" w:w="2736"/>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OpenAI / Meta deployment slippage</w:t>
            </w:r>
          </w:p>
        </w:tc>
        <w:tc>
          <w:tcPr>
            <w:tcW w:type="dxa" w:w="244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Volume shipments slip &gt; 12 months from MI450 H2 2026 commitment</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On schedule — MI450 H2 2026 ramp intact (per AMD Q2 2026 earnings)</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Confirm SELL if triggered; otherwise HOLD</w:t>
            </w:r>
          </w:p>
        </w:tc>
      </w:tr>
      <w:tr>
        <w:tc>
          <w:tcPr>
            <w:tcW w:type="dxa" w:w="2736"/>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FY2027 Data Center revenue</w:t>
            </w:r>
          </w:p>
        </w:tc>
        <w:tc>
          <w:tcPr>
            <w:tcW w:type="dxa" w:w="244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 $33.3B (i.e., 2× FY2025's $16.6B) per management's doubling guidance</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Tracking ahead — Q2 2026 DC revenue +107% YoY; H1 2026 DC revenue $11.5B (run-rate $33B+)</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If achieved → revisit; potential upgrade to HOLD</w:t>
            </w:r>
          </w:p>
        </w:tc>
      </w:tr>
      <w:tr>
        <w:tc>
          <w:tcPr>
            <w:tcW w:type="dxa" w:w="2736"/>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ROIC realized (sustained, 2+ years)</w:t>
            </w:r>
          </w:p>
        </w:tc>
        <w:tc>
          <w:tcPr>
            <w:tcW w:type="dxa" w:w="244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ROIC ≥ 9% (= WACC) sustained over FY2027 + FY2028</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Not measurable — FY2025 ROIC 5.4%, FY2024 2.8%</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If achieved → revisit terminal value and recompute WACC downward</w:t>
            </w:r>
          </w:p>
        </w:tc>
      </w:tr>
      <w:tr>
        <w:tc>
          <w:tcPr>
            <w:tcW w:type="dxa" w:w="2736"/>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WACC inputs (Rf, ERP, beta) cumulative shift</w:t>
            </w:r>
          </w:p>
        </w:tc>
        <w:tc>
          <w:tcPr>
            <w:tcW w:type="dxa" w:w="244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Cumulative change &gt; 200 basis points (e.g., Rf +100bp + ERP +50bp + beta +0.1)</w:t>
            </w:r>
          </w:p>
        </w:tc>
        <w:tc>
          <w:tcPr>
            <w:tcW w:type="dxa" w:w="216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Stable — Rf 4.25%, ERP 5.50%, beta 1.75 (Jan 2026 basis)</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Recompute WACC; re-rate if implied price moves &gt;20%</w:t>
            </w:r>
          </w:p>
        </w:tc>
      </w:tr>
      <w:tr>
        <w:tc>
          <w:tcPr>
            <w:tcW w:type="dxa" w:w="2736"/>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MI400 vs NVIDIA Rubin competitive gap</w:t>
            </w:r>
          </w:p>
        </w:tc>
        <w:tc>
          <w:tcPr>
            <w:tcW w:type="dxa" w:w="244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MI400 inference throughput ≥ 80% of Rubin on published benchmarks (MLPerf)</w:t>
            </w:r>
          </w:p>
        </w:tc>
        <w:tc>
          <w:tcPr>
            <w:tcW w:type="dxa" w:w="216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Pending — MI400 sampling Q4 2026, Rubin launch H1 2027</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If gap &lt;20% → upgrade to HOLD; if gap &gt;50% → confirm SELL</w:t>
            </w:r>
          </w:p>
        </w:tc>
      </w:tr>
    </w:tbl>
    <w:p>
      <w:pPr>
        <w:spacing w:before="0" w:after="120" w:line="240" w:lineRule="auto"/>
      </w:pPr>
    </w:p>
    <w:p>
      <w:pPr>
        <w:spacing w:before="40" w:after="200" w:line="288" w:lineRule="auto"/>
      </w:pPr>
      <w:r>
        <w:rPr>
          <w:rFonts w:ascii="Calibri" w:hAnsi="Calibri"/>
          <w:b w:val="0"/>
          <w:i/>
          <w:color w:val="8C8A84"/>
          <w:sz w:val="18"/>
        </w:rPr>
        <w:t>Table 8.7 — Rating change triggers (falsification framework). Multiple SELL-confirming triggers are already activated; status checks dated 5 Aug 2026.</w:t>
      </w:r>
    </w:p>
    <w:p>
      <w:pPr>
        <w:spacing w:before="280" w:after="80" w:line="288" w:lineRule="auto"/>
        <w:jc w:val="left"/>
      </w:pPr>
      <w:r>
        <w:rPr>
          <w:rFonts w:ascii="Calibri" w:hAnsi="Calibri"/>
          <w:b/>
          <w:i w:val="0"/>
          <w:color w:val="1B2A4A"/>
          <w:sz w:val="28"/>
        </w:rPr>
        <w:t>8.10 Dashboard integration</w:t>
      </w:r>
    </w:p>
    <w:p>
      <w:pPr>
        <w:spacing w:before="40" w:after="120" w:line="324" w:lineRule="auto"/>
        <w:jc w:val="both"/>
      </w:pPr>
      <w:r>
        <w:rPr>
          <w:rFonts w:ascii="Calibri" w:hAnsi="Calibri"/>
          <w:b w:val="0"/>
          <w:i w:val="0"/>
          <w:color w:val="37352F"/>
          <w:sz w:val="21"/>
        </w:rPr>
        <w:t xml:space="preserve">The Excel dashboard (AMD_Financial_Dashboard.xlsx) has been updated with four new sheets that operationalize this valuation section: </w:t>
      </w:r>
      <w:r>
        <w:rPr>
          <w:rFonts w:ascii="Calibri" w:hAnsi="Calibri"/>
          <w:b/>
          <w:i w:val="0"/>
          <w:color w:val="37352F"/>
          <w:sz w:val="21"/>
        </w:rPr>
        <w:t>Valuation Summary</w:t>
      </w:r>
      <w:r>
        <w:rPr>
          <w:rFonts w:ascii="Calibri" w:hAnsi="Calibri"/>
          <w:b w:val="0"/>
          <w:i w:val="0"/>
          <w:color w:val="37352F"/>
          <w:sz w:val="21"/>
        </w:rPr>
        <w:t xml:space="preserve"> (KPI snapshot, scenario output, reverse DCF, Bull/Base/Bear, thesis callouts); </w:t>
      </w:r>
      <w:r>
        <w:rPr>
          <w:rFonts w:ascii="Calibri" w:hAnsi="Calibri"/>
          <w:b/>
          <w:i w:val="0"/>
          <w:color w:val="37352F"/>
          <w:sz w:val="21"/>
        </w:rPr>
        <w:t>DCF Scenarios</w:t>
      </w:r>
      <w:r>
        <w:rPr>
          <w:rFonts w:ascii="Calibri" w:hAnsi="Calibri"/>
          <w:b w:val="0"/>
          <w:i w:val="0"/>
          <w:color w:val="37352F"/>
          <w:sz w:val="21"/>
        </w:rPr>
        <w:t xml:space="preserve"> (full P&amp;L and FCF build for Scenarios A and C, WACC bridge, methodological notes); </w:t>
      </w:r>
      <w:r>
        <w:rPr>
          <w:rFonts w:ascii="Calibri" w:hAnsi="Calibri"/>
          <w:b/>
          <w:i w:val="0"/>
          <w:color w:val="37352F"/>
          <w:sz w:val="21"/>
        </w:rPr>
        <w:t>Peer Multiples</w:t>
      </w:r>
      <w:r>
        <w:rPr>
          <w:rFonts w:ascii="Calibri" w:hAnsi="Calibri"/>
          <w:b w:val="0"/>
          <w:i w:val="0"/>
          <w:color w:val="37352F"/>
          <w:sz w:val="21"/>
        </w:rPr>
        <w:t xml:space="preserve"> (peer comparison table and implied prices from each multiple); and </w:t>
      </w:r>
      <w:r>
        <w:rPr>
          <w:rFonts w:ascii="Calibri" w:hAnsi="Calibri"/>
          <w:b/>
          <w:i w:val="0"/>
          <w:color w:val="37352F"/>
          <w:sz w:val="21"/>
        </w:rPr>
        <w:t>Sensitivity</w:t>
      </w:r>
      <w:r>
        <w:rPr>
          <w:rFonts w:ascii="Calibri" w:hAnsi="Calibri"/>
          <w:b w:val="0"/>
          <w:i w:val="0"/>
          <w:color w:val="37352F"/>
          <w:sz w:val="21"/>
        </w:rPr>
        <w:t xml:space="preserve"> (2-way WACC x g matrix, warrant dilution, FCF margin stress, step-by-step reverse DCF). The standalone formula-driven DCF model is in AMD_DCF_Valuation_Model.xlsx (8 sheets: Cover, Historicals, Assumptions, WACC, Projections, DCF Valuation, Sensitivity, Dashboard) — change any yellow input cell to see the valuation update instantly.</w:t>
      </w:r>
    </w:p>
    <w:tbl>
      <w:tblPr>
        <w:tblW w:type="auto" w:w="0"/>
        <w:jc w:val="center"/>
        <w:tblLook w:firstColumn="1" w:firstRow="1" w:lastColumn="0" w:lastRow="0" w:noHBand="0" w:noVBand="1" w:val="04A0"/>
      </w:tblPr>
      <w:tblGrid>
        <w:gridCol w:w="9648"/>
      </w:tblGrid>
      <w:tr>
        <w:tc>
          <w:tcPr>
            <w:tcW w:type="dxa" w:w="9648"/>
            <w:shd w:val="clear" w:color="auto" w:fill="D6E4F0"/>
            <w:tcMar>
              <w:top w:w="180" w:type="dxa"/>
              <w:bottom w:w="180" w:type="dxa"/>
              <w:left w:w="180" w:type="dxa"/>
              <w:right w:w="180" w:type="dxa"/>
            </w:tcMar>
          </w:tcPr>
          <w:p>
            <w:pPr>
              <w:spacing w:before="80" w:after="80" w:line="312" w:lineRule="auto"/>
              <w:jc w:val="left"/>
            </w:pPr>
            <w:r/>
            <w:r>
              <w:rPr>
                <w:rFonts w:ascii="Calibri" w:hAnsi="Calibri"/>
                <w:b w:val="0"/>
                <w:i/>
                <w:color w:val="1B2A4A"/>
                <w:sz w:val="21"/>
              </w:rPr>
            </w:r>
            <w:r>
              <w:rPr>
                <w:rFonts w:ascii="Calibri" w:hAnsi="Calibri"/>
                <w:b/>
                <w:i/>
                <w:color w:val="1B2A4A"/>
                <w:sz w:val="21"/>
              </w:rPr>
              <w:t>Recruiter soundbite:</w:t>
            </w:r>
            <w:r>
              <w:rPr>
                <w:rFonts w:ascii="Calibri" w:hAnsi="Calibri"/>
                <w:b w:val="0"/>
                <w:i/>
                <w:color w:val="1B2A4A"/>
                <w:sz w:val="21"/>
              </w:rPr>
              <w:t xml:space="preserve"> If asked to summarize AMD's valuation picture in one sentence, use: 'At $480, the market prices in 2030 free cash flow of ~$163B — 8 to 12 times the DCF model's most aggressive scenario. Even the bull-case DCF ($89.60) implies 81% downside, and peer multiples, which supported the price at $237, now imply ~$236 — half the market price. The rating is SELL with a $58-$90 target range, falsified by any of three triggers: AMD AI accelerator share above 15% by 2027, FY2027 Data Center revenue doubling on schedule, or the MI400 closing the gap with NVIDIA Rubin.'</w:t>
            </w:r>
          </w:p>
        </w:tc>
      </w:tr>
    </w:tbl>
    <w:p>
      <w:pPr>
        <w:spacing w:before="0" w:after="80" w:line="240" w:lineRule="auto"/>
      </w:pPr>
    </w:p>
    <w:p>
      <w:r>
        <w:br w:type="page"/>
      </w:r>
    </w:p>
    <w:p>
      <w:pPr>
        <w:spacing w:before="360" w:after="160" w:line="288" w:lineRule="auto"/>
        <w:jc w:val="left"/>
        <w:pBdr>
          <w:bottom w:val="single" w:sz="6" w:space="4" w:color="D6E4F0"/>
        </w:pBdr>
      </w:pPr>
      <w:r>
        <w:rPr>
          <w:rFonts w:ascii="Calibri" w:hAnsi="Calibri"/>
          <w:b/>
          <w:i w:val="0"/>
          <w:color w:val="1B2A4A"/>
          <w:sz w:val="36"/>
        </w:rPr>
        <w:t>9. Conclusions &amp; Dashboard Integration</w:t>
      </w:r>
    </w:p>
    <w:p>
      <w:pPr>
        <w:spacing w:before="280" w:after="80" w:line="288" w:lineRule="auto"/>
        <w:jc w:val="left"/>
      </w:pPr>
      <w:r>
        <w:rPr>
          <w:rFonts w:ascii="Calibri" w:hAnsi="Calibri"/>
          <w:b/>
          <w:i w:val="0"/>
          <w:color w:val="1B2A4A"/>
          <w:sz w:val="28"/>
        </w:rPr>
        <w:t>9.1 The 5-year story in five bullets</w:t>
      </w:r>
    </w:p>
    <w:p>
      <w:pPr>
        <w:pStyle w:val="ListBullet"/>
        <w:spacing w:before="20" w:after="40" w:line="312" w:lineRule="auto"/>
      </w:pPr>
      <w:r>
        <w:rPr>
          <w:rFonts w:ascii="Calibri" w:hAnsi="Calibri"/>
          <w:b w:val="0"/>
          <w:i w:val="0"/>
          <w:color w:val="37352F"/>
          <w:sz w:val="21"/>
        </w:rPr>
      </w:r>
      <w:r>
        <w:rPr>
          <w:rFonts w:ascii="Calibri" w:hAnsi="Calibri"/>
          <w:b/>
          <w:i w:val="0"/>
          <w:color w:val="37352F"/>
          <w:sz w:val="21"/>
        </w:rPr>
        <w:t>Revenue mix transformation</w:t>
      </w:r>
      <w:r>
        <w:rPr>
          <w:rFonts w:ascii="Calibri" w:hAnsi="Calibri"/>
          <w:b w:val="0"/>
          <w:i w:val="0"/>
          <w:color w:val="37352F"/>
          <w:sz w:val="21"/>
        </w:rPr>
        <w:t>: Data Center went from 17% to 48% of revenue in five years. AMD is no longer a PC-cycle play — it is an AI infrastructure company.</w:t>
      </w:r>
    </w:p>
    <w:p>
      <w:pPr>
        <w:pStyle w:val="ListBullet"/>
        <w:spacing w:before="20" w:after="40" w:line="312" w:lineRule="auto"/>
      </w:pPr>
      <w:r>
        <w:rPr>
          <w:rFonts w:ascii="Calibri" w:hAnsi="Calibri"/>
          <w:b w:val="0"/>
          <w:i w:val="0"/>
          <w:color w:val="37352F"/>
          <w:sz w:val="21"/>
        </w:rPr>
      </w:r>
      <w:r>
        <w:rPr>
          <w:rFonts w:ascii="Calibri" w:hAnsi="Calibri"/>
          <w:b/>
          <w:i w:val="0"/>
          <w:color w:val="37352F"/>
          <w:sz w:val="21"/>
        </w:rPr>
        <w:t>Xilinx acquisition absorbed</w:t>
      </w:r>
      <w:r>
        <w:rPr>
          <w:rFonts w:ascii="Calibri" w:hAnsi="Calibri"/>
          <w:b w:val="0"/>
          <w:i w:val="0"/>
          <w:color w:val="37352F"/>
          <w:sz w:val="21"/>
        </w:rPr>
        <w:t>: The $49B all-stock acquisition (Feb 2022) compressed margins and returns for three years, but FY2025 marks the inflection where revenue scale outpaces the fixed amortization burden.</w:t>
      </w:r>
    </w:p>
    <w:p>
      <w:pPr>
        <w:pStyle w:val="ListBullet"/>
        <w:spacing w:before="20" w:after="40" w:line="312" w:lineRule="auto"/>
      </w:pPr>
      <w:r>
        <w:rPr>
          <w:rFonts w:ascii="Calibri" w:hAnsi="Calibri"/>
          <w:b w:val="0"/>
          <w:i w:val="0"/>
          <w:color w:val="37352F"/>
          <w:sz w:val="21"/>
        </w:rPr>
      </w:r>
      <w:r>
        <w:rPr>
          <w:rFonts w:ascii="Calibri" w:hAnsi="Calibri"/>
          <w:b/>
          <w:i w:val="0"/>
          <w:color w:val="37352F"/>
          <w:sz w:val="21"/>
        </w:rPr>
        <w:t>Cash generation reached scale</w:t>
      </w:r>
      <w:r>
        <w:rPr>
          <w:rFonts w:ascii="Calibri" w:hAnsi="Calibri"/>
          <w:b w:val="0"/>
          <w:i w:val="0"/>
          <w:color w:val="37352F"/>
          <w:sz w:val="21"/>
        </w:rPr>
        <w:t>: Free cash flow of $6.7B in FY2025 is the first year of post-Xilinx cash generation that matches the revenue scale. FCF conversion of 1.54× indicates high earnings quality.</w:t>
      </w:r>
    </w:p>
    <w:p>
      <w:pPr>
        <w:pStyle w:val="ListBullet"/>
        <w:spacing w:before="20" w:after="40" w:line="312" w:lineRule="auto"/>
      </w:pPr>
      <w:r>
        <w:rPr>
          <w:rFonts w:ascii="Calibri" w:hAnsi="Calibri"/>
          <w:b w:val="0"/>
          <w:i w:val="0"/>
          <w:color w:val="37352F"/>
          <w:sz w:val="21"/>
        </w:rPr>
      </w:r>
      <w:r>
        <w:rPr>
          <w:rFonts w:ascii="Calibri" w:hAnsi="Calibri"/>
          <w:b/>
          <w:i w:val="0"/>
          <w:color w:val="37352F"/>
          <w:sz w:val="21"/>
        </w:rPr>
        <w:t>Inventory build is strategic, not deteriorative</w:t>
      </w:r>
      <w:r>
        <w:rPr>
          <w:rFonts w:ascii="Calibri" w:hAnsi="Calibri"/>
          <w:b w:val="0"/>
          <w:i w:val="0"/>
          <w:color w:val="37352F"/>
          <w:sz w:val="21"/>
        </w:rPr>
        <w:t>: CCC stretching to 177 days reflects the AI accelerator ramp — comparable to Nvidia's inventory patterns during H100 ramp in 2023.</w:t>
      </w:r>
    </w:p>
    <w:p>
      <w:pPr>
        <w:pStyle w:val="ListBullet"/>
        <w:spacing w:before="20" w:after="40" w:line="312" w:lineRule="auto"/>
      </w:pPr>
      <w:r>
        <w:rPr>
          <w:rFonts w:ascii="Calibri" w:hAnsi="Calibri"/>
          <w:b w:val="0"/>
          <w:i w:val="0"/>
          <w:color w:val="37352F"/>
          <w:sz w:val="21"/>
        </w:rPr>
      </w:r>
      <w:r>
        <w:rPr>
          <w:rFonts w:ascii="Calibri" w:hAnsi="Calibri"/>
          <w:b/>
          <w:i w:val="0"/>
          <w:color w:val="37352F"/>
          <w:sz w:val="21"/>
        </w:rPr>
        <w:t>Returns still below cost of capital</w:t>
      </w:r>
      <w:r>
        <w:rPr>
          <w:rFonts w:ascii="Calibri" w:hAnsi="Calibri"/>
          <w:b w:val="0"/>
          <w:i w:val="0"/>
          <w:color w:val="37352F"/>
          <w:sz w:val="21"/>
        </w:rPr>
        <w:t>: ROIC of 5.4% vs estimated WACC of 9-11% means AMD has not yet earned back its cost of capital on a post-Xilinx basis. The bullish thesis requires ROIC to exceed WACC by FY2027.</w:t>
      </w:r>
    </w:p>
    <w:p>
      <w:pPr>
        <w:spacing w:before="280" w:after="80" w:line="288" w:lineRule="auto"/>
        <w:jc w:val="left"/>
      </w:pPr>
      <w:r>
        <w:rPr>
          <w:rFonts w:ascii="Calibri" w:hAnsi="Calibri"/>
          <w:b/>
          <w:i w:val="0"/>
          <w:color w:val="1B2A4A"/>
          <w:sz w:val="28"/>
        </w:rPr>
        <w:t>9.2 How this report connects to the dashboard</w:t>
      </w:r>
    </w:p>
    <w:p>
      <w:pPr>
        <w:spacing w:before="40" w:after="120" w:line="324" w:lineRule="auto"/>
        <w:jc w:val="both"/>
      </w:pPr>
      <w:r>
        <w:rPr>
          <w:rFonts w:ascii="Calibri" w:hAnsi="Calibri"/>
          <w:b w:val="0"/>
          <w:i w:val="0"/>
          <w:color w:val="37352F"/>
          <w:sz w:val="21"/>
        </w:rPr>
        <w:t xml:space="preserve">Each section of this report corresponds to a chart in the Excel dashboard's </w:t>
      </w:r>
      <w:r>
        <w:rPr>
          <w:rFonts w:ascii="Calibri" w:hAnsi="Calibri"/>
          <w:b/>
          <w:i w:val="0"/>
          <w:color w:val="37352F"/>
          <w:sz w:val="21"/>
        </w:rPr>
        <w:t>Charts</w:t>
      </w:r>
      <w:r>
        <w:rPr>
          <w:rFonts w:ascii="Calibri" w:hAnsi="Calibri"/>
          <w:b w:val="0"/>
          <w:i w:val="0"/>
          <w:color w:val="37352F"/>
          <w:sz w:val="21"/>
        </w:rPr>
        <w:t xml:space="preserve"> sheet and should be replicated in the Power BI report. The mapping is: Section 2 (Revenue Trajectory) → Chart 1 Revenue/Operating Income/Net Income + Chart 3 Stacked Segment Revenue + Chart 8 FY2025 Segment Mix Pie. Section 3 (Margins) → Chart 2 Margins Trend Line. Section 4 (CCC) → Chart 4 CCC Components. Section 5 (Returns) → Chart 6 ROE/ROA/ROIC. Section 6 (Cash Flow) → Chart 5 OCF/CapEx/FCF. Section 7 (Growth) → Chart 7 YoY Growth Lines. Each chart should have an insight callout beneath it that summarizes the corresponding section of this report.</w:t>
      </w:r>
    </w:p>
    <w:p>
      <w:pPr>
        <w:spacing w:before="280" w:after="80" w:line="288" w:lineRule="auto"/>
        <w:jc w:val="left"/>
      </w:pPr>
      <w:r>
        <w:rPr>
          <w:rFonts w:ascii="Calibri" w:hAnsi="Calibri"/>
          <w:b/>
          <w:i w:val="0"/>
          <w:color w:val="1B2A4A"/>
          <w:sz w:val="28"/>
        </w:rPr>
        <w:t>9.3 What this dashboard does NOT cover</w:t>
      </w:r>
    </w:p>
    <w:p>
      <w:pPr>
        <w:spacing w:before="40" w:after="120" w:line="324" w:lineRule="auto"/>
        <w:jc w:val="both"/>
      </w:pPr>
      <w:r>
        <w:rPr>
          <w:rFonts w:ascii="Calibri" w:hAnsi="Calibri"/>
          <w:b w:val="0"/>
          <w:i w:val="0"/>
          <w:color w:val="37352F"/>
          <w:sz w:val="21"/>
        </w:rPr>
        <w:t>The dashboard now covers historical financial performance (Sections 2-7) and forward valuation (Section 8), but it does not include: (1) quarterly granularity (only annual data from 10-Ks), (2) segment-level margin trends across all years (AMD's segment operating income disclosure is incomplete for FY2025 due to the Client+Gaming combination), (3) intraday or daily stock price data, (4) options-implied volatility surface, or (5) macroeconomic sensitivity scenarios (recession, AI capex air pocket, geopolitical Taiwan disruption). These extensions would be natural follow-ups if a recruiter or hiring manager asks 'what would you add next'.</w:t>
      </w:r>
    </w:p>
    <w:p>
      <w:pPr>
        <w:spacing w:before="280" w:after="80" w:line="288" w:lineRule="auto"/>
        <w:jc w:val="left"/>
      </w:pPr>
      <w:r>
        <w:rPr>
          <w:rFonts w:ascii="Calibri" w:hAnsi="Calibri"/>
          <w:b/>
          <w:i w:val="0"/>
          <w:color w:val="1B2A4A"/>
          <w:sz w:val="28"/>
        </w:rPr>
        <w:t>9.4 Skills demonstrated</w:t>
      </w:r>
    </w:p>
    <w:p>
      <w:pPr>
        <w:spacing w:before="40" w:after="120" w:line="324" w:lineRule="auto"/>
        <w:jc w:val="both"/>
      </w:pPr>
      <w:r>
        <w:rPr>
          <w:rFonts w:ascii="Calibri" w:hAnsi="Calibri"/>
          <w:b w:val="0"/>
          <w:i w:val="0"/>
          <w:color w:val="37352F"/>
          <w:sz w:val="21"/>
        </w:rPr>
        <w:t xml:space="preserve">This deliverable — when combined with the Excel workbook and Power BI report — demonstrates the full skill set called out in the original project brief: </w:t>
      </w:r>
      <w:r>
        <w:rPr>
          <w:rFonts w:ascii="Calibri" w:hAnsi="Calibri"/>
          <w:b/>
          <w:i w:val="0"/>
          <w:color w:val="37352F"/>
          <w:sz w:val="21"/>
        </w:rPr>
        <w:t>data visualization</w:t>
      </w:r>
      <w:r>
        <w:rPr>
          <w:rFonts w:ascii="Calibri" w:hAnsi="Calibri"/>
          <w:b w:val="0"/>
          <w:i w:val="0"/>
          <w:color w:val="37352F"/>
          <w:sz w:val="21"/>
        </w:rPr>
        <w:t xml:space="preserve"> (8 charts across trend, segment, cash-cycle, and mix dimensions); </w:t>
      </w:r>
      <w:r>
        <w:rPr>
          <w:rFonts w:ascii="Calibri" w:hAnsi="Calibri"/>
          <w:b/>
          <w:i w:val="0"/>
          <w:color w:val="37352F"/>
          <w:sz w:val="21"/>
        </w:rPr>
        <w:t>BI tools</w:t>
      </w:r>
      <w:r>
        <w:rPr>
          <w:rFonts w:ascii="Calibri" w:hAnsi="Calibri"/>
          <w:b w:val="0"/>
          <w:i w:val="0"/>
          <w:color w:val="37352F"/>
          <w:sz w:val="21"/>
        </w:rPr>
        <w:t xml:space="preserve"> (Power BI Desktop end-to-end: import → model → DAX → visuals → theme → publish); </w:t>
      </w:r>
      <w:r>
        <w:rPr>
          <w:rFonts w:ascii="Calibri" w:hAnsi="Calibri"/>
          <w:b/>
          <w:i w:val="0"/>
          <w:color w:val="37352F"/>
          <w:sz w:val="21"/>
        </w:rPr>
        <w:t>UI/UX design</w:t>
      </w:r>
      <w:r>
        <w:rPr>
          <w:rFonts w:ascii="Calibri" w:hAnsi="Calibri"/>
          <w:b w:val="0"/>
          <w:i w:val="0"/>
          <w:color w:val="37352F"/>
          <w:sz w:val="21"/>
        </w:rPr>
        <w:t xml:space="preserve"> (corporate BI theme, Z-pattern layout, KPI cards, insight callouts); and </w:t>
      </w:r>
      <w:r>
        <w:rPr>
          <w:rFonts w:ascii="Calibri" w:hAnsi="Calibri"/>
          <w:b/>
          <w:i w:val="0"/>
          <w:color w:val="37352F"/>
          <w:sz w:val="21"/>
        </w:rPr>
        <w:t>financial KPIs</w:t>
      </w:r>
      <w:r>
        <w:rPr>
          <w:rFonts w:ascii="Calibri" w:hAnsi="Calibri"/>
          <w:b w:val="0"/>
          <w:i w:val="0"/>
          <w:color w:val="37352F"/>
          <w:sz w:val="21"/>
        </w:rPr>
        <w:t xml:space="preserve"> (40+ ratios spanning margins, returns, cash cycle, per-share, and growth). The written analysis in this report additionally demonstrates </w:t>
      </w:r>
      <w:r>
        <w:rPr>
          <w:rFonts w:ascii="Calibri" w:hAnsi="Calibri"/>
          <w:b/>
          <w:i w:val="0"/>
          <w:color w:val="37352F"/>
          <w:sz w:val="21"/>
        </w:rPr>
        <w:t>financial commentary skills</w:t>
      </w:r>
      <w:r>
        <w:rPr>
          <w:rFonts w:ascii="Calibri" w:hAnsi="Calibri"/>
          <w:b w:val="0"/>
          <w:i w:val="0"/>
          <w:color w:val="37352F"/>
          <w:sz w:val="21"/>
        </w:rPr>
        <w:t xml:space="preserve"> — the ability to articulate not just what the numbers show but why they moved and what they mean for the business.</w:t>
      </w:r>
    </w:p>
    <w:tbl>
      <w:tblPr>
        <w:tblW w:type="auto" w:w="0"/>
        <w:jc w:val="center"/>
        <w:tblLook w:firstColumn="1" w:firstRow="1" w:lastColumn="0" w:lastRow="0" w:noHBand="0" w:noVBand="1" w:val="04A0"/>
      </w:tblPr>
      <w:tblGrid>
        <w:gridCol w:w="9648"/>
      </w:tblGrid>
      <w:tr>
        <w:tc>
          <w:tcPr>
            <w:tcW w:type="dxa" w:w="9648"/>
            <w:shd w:val="clear" w:color="auto" w:fill="D6E4F0"/>
            <w:tcMar>
              <w:top w:w="180" w:type="dxa"/>
              <w:bottom w:w="180" w:type="dxa"/>
              <w:left w:w="180" w:type="dxa"/>
              <w:right w:w="180" w:type="dxa"/>
            </w:tcMar>
          </w:tcPr>
          <w:p>
            <w:pPr>
              <w:spacing w:before="80" w:after="80" w:line="312" w:lineRule="auto"/>
              <w:jc w:val="left"/>
            </w:pPr>
            <w:r/>
            <w:r>
              <w:rPr>
                <w:rFonts w:ascii="Calibri" w:hAnsi="Calibri"/>
                <w:b w:val="0"/>
                <w:i/>
                <w:color w:val="1B2A4A"/>
                <w:sz w:val="21"/>
              </w:rPr>
            </w:r>
            <w:r>
              <w:rPr>
                <w:rFonts w:ascii="Calibri" w:hAnsi="Calibri"/>
                <w:b/>
                <w:i/>
                <w:color w:val="1B2A4A"/>
                <w:sz w:val="21"/>
              </w:rPr>
              <w:t>Final note:</w:t>
            </w:r>
            <w:r>
              <w:rPr>
                <w:rFonts w:ascii="Calibri" w:hAnsi="Calibri"/>
                <w:b w:val="0"/>
                <w:i/>
                <w:color w:val="1B2A4A"/>
                <w:sz w:val="21"/>
              </w:rPr>
              <w:t xml:space="preserve"> The data in this report is sourced directly from AMD's 10-K filings with the SEC. All KPIs are computed from raw line items using formulas — no hardcoded magic numbers. The Excel workbook contains the full data model and 27 DAX measures ready to copy-paste into Power BI. The Power BI guide walks through building the interactive report step by step. Together, these three deliverables form a portfolio-ready package for any FP&amp;A, BI, or FinTech role.</w:t>
            </w:r>
          </w:p>
        </w:tc>
      </w:tr>
    </w:tbl>
    <w:p>
      <w:pPr>
        <w:spacing w:before="0" w:after="80" w:line="240" w:lineRule="auto"/>
      </w:pPr>
    </w:p>
    <w:p>
      <w:pPr>
        <w:spacing w:before="280" w:after="80" w:line="288" w:lineRule="auto"/>
        <w:jc w:val="left"/>
      </w:pPr>
      <w:r>
        <w:rPr>
          <w:rFonts w:ascii="Calibri" w:hAnsi="Calibri"/>
          <w:b/>
          <w:i w:val="0"/>
          <w:color w:val="1B2A4A"/>
          <w:sz w:val="28"/>
        </w:rPr>
        <w:t>9.5 Methodology, sourcing &amp; scope limitations</w:t>
      </w:r>
    </w:p>
    <w:p>
      <w:pPr>
        <w:spacing w:before="40" w:after="120" w:line="324" w:lineRule="auto"/>
        <w:jc w:val="both"/>
      </w:pPr>
      <w:r>
        <w:rPr>
          <w:rFonts w:ascii="Calibri" w:hAnsi="Calibri"/>
          <w:b w:val="0"/>
          <w:i w:val="0"/>
          <w:color w:val="37352F"/>
          <w:sz w:val="21"/>
        </w:rPr>
        <w:t>This appendix consolidates the methodological choices, source citations, and scope limitations referenced throughout the report. It exists so a supervisory analyst, recruiter, or compliance reviewer can stress-test the report against industry standards without re-deriving every number.</w:t>
      </w:r>
    </w:p>
    <w:p>
      <w:pPr>
        <w:spacing w:before="200" w:after="60" w:line="288" w:lineRule="auto"/>
        <w:jc w:val="left"/>
      </w:pPr>
      <w:r>
        <w:rPr>
          <w:rFonts w:ascii="Calibri" w:hAnsi="Calibri"/>
          <w:b/>
          <w:i w:val="0"/>
          <w:color w:val="37352F"/>
          <w:sz w:val="23"/>
        </w:rPr>
        <w:t>9.5.1 Primary data sources</w:t>
      </w:r>
    </w:p>
    <w:tbl>
      <w:tblPr>
        <w:tblW w:type="auto" w:w="0"/>
        <w:jc w:val="center"/>
        <w:tblLook w:firstColumn="1" w:firstRow="1" w:lastColumn="0" w:lastRow="0" w:noHBand="0" w:noVBand="1" w:val="04A0"/>
      </w:tblPr>
      <w:tblGrid>
        <w:gridCol w:w="2412"/>
        <w:gridCol w:w="2412"/>
        <w:gridCol w:w="2412"/>
        <w:gridCol w:w="2412"/>
      </w:tblGrid>
      <w:tr>
        <w:tc>
          <w:tcPr>
            <w:tcW w:type="dxa" w:w="2880"/>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Source</w:t>
            </w:r>
          </w:p>
        </w:tc>
        <w:tc>
          <w:tcPr>
            <w:tcW w:type="dxa" w:w="144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Date / period</w:t>
            </w:r>
          </w:p>
        </w:tc>
        <w:tc>
          <w:tcPr>
            <w:tcW w:type="dxa" w:w="360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Used for</w:t>
            </w:r>
          </w:p>
        </w:tc>
        <w:tc>
          <w:tcPr>
            <w:tcW w:type="dxa" w:w="144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Provider</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AMD 10-K FY2020</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Filed Feb 2021</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Income statement, balance sheet, cash flow, segment revenue (Data Center / Client / Gaming / Embedded), geographic revenue</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SEC EDGAR</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AMD 10-K FY2021</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Filed Feb 2022</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Same as above; pre-Xilinx baseline for FY2022 comparisons</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SEC EDGAR</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AMD 10-K FY2022</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Filed Feb 2023</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Same as above; first 10-K reflecting Xilinx acquisition (closed Feb 14, 2022); partial-year Xilinx contribution</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SEC EDGAR</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AMD 10-K FY2023</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Filed Feb 2024</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Same as above; first full-year Xilinx; segment reclassification disclosed</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SEC EDGAR</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AMD 10-K FY2024</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Filed Feb 2025</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Same as above; restructuring charges; ZT Systems acquisition announced</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SEC EDGAR</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AMD 10-K FY2025</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Filed Feb 2026</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Same as above; MI308 export-control charges; OpenAI warrant; Client+Gaming combined disclosure for forward periods</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SEC EDGAR</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AMD_Standalone_Research_Note_2026-08-06</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Authored Aug 2026</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DCF scenarios A/B/C, WACC build, peer multiples, Bull/Base/Bear, rating triggers</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Independent research note (uploaded)</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UpdatedAMD-DCF.py</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Authored 2026</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8-sheet formula-driven DCF workbook (recalculated via LibreOffice headless)</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Python/openpyxl script (uploaded)</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FRED DGS10</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Jan 2026 observation</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4.25% risk-free rate (10Y U.S. Treasury yield)</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Federal Reserve Bank of St. Louis</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Damodaran ERP (Jan 2025 update)</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Jan 2025</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5.50% implied equity risk premium</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NYU Stern / Damodaran Online</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Mercury Research</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Q4 2025 / Q1 2026</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AMD EPYC server CPU revenue share (46.2% Q1 2026); AMD AI accelerator unit share (~11% 2025)</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Industry analyst firm (cited in AMD earnings calls)</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AMD 'AI &amp; Data Center Markets' investor presentation</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June 13, 2024</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$400B 2027 / $500B 2028 AI accelerator TAM; ~$1T 2030 compute TAM</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AMD investor relations</w:t>
            </w:r>
          </w:p>
        </w:tc>
      </w:tr>
      <w:tr>
        <w:tc>
          <w:tcPr>
            <w:tcW w:type="dxa" w:w="288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NVIDIA FY2025 10-K</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Filed Feb 2025</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Peer comparison: revenue, margins, FCF profile</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SEC EDGAR</w:t>
            </w:r>
          </w:p>
        </w:tc>
      </w:tr>
      <w:tr>
        <w:tc>
          <w:tcPr>
            <w:tcW w:type="dxa" w:w="288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Intel FY2025 10-K</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Filed Feb 2026</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Peer comparison: revenue, margins</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SEC EDGAR</w:t>
            </w:r>
          </w:p>
        </w:tc>
      </w:tr>
    </w:tbl>
    <w:p>
      <w:pPr>
        <w:spacing w:before="0" w:after="120" w:line="240" w:lineRule="auto"/>
      </w:pPr>
    </w:p>
    <w:p>
      <w:pPr>
        <w:spacing w:before="40" w:after="200" w:line="288" w:lineRule="auto"/>
      </w:pPr>
      <w:r>
        <w:rPr>
          <w:rFonts w:ascii="Calibri" w:hAnsi="Calibri"/>
          <w:b w:val="0"/>
          <w:i/>
          <w:color w:val="8C8A84"/>
          <w:sz w:val="18"/>
        </w:rPr>
        <w:t>Table 9.2 — Consolidated source list with dates and provider names. Every quantitative claim in this report is traceable to one of these sources.</w:t>
      </w:r>
    </w:p>
    <w:p>
      <w:pPr>
        <w:spacing w:before="200" w:after="60" w:line="288" w:lineRule="auto"/>
        <w:jc w:val="left"/>
      </w:pPr>
      <w:r>
        <w:rPr>
          <w:rFonts w:ascii="Calibri" w:hAnsi="Calibri"/>
          <w:b/>
          <w:i w:val="0"/>
          <w:color w:val="37352F"/>
          <w:sz w:val="23"/>
        </w:rPr>
        <w:t>9.5.2 Ratio construction formulas</w:t>
      </w:r>
    </w:p>
    <w:tbl>
      <w:tblPr>
        <w:tblW w:type="auto" w:w="0"/>
        <w:jc w:val="center"/>
        <w:tblLook w:firstColumn="1" w:firstRow="1" w:lastColumn="0" w:lastRow="0" w:noHBand="0" w:noVBand="1" w:val="04A0"/>
      </w:tblPr>
      <w:tblGrid>
        <w:gridCol w:w="3216"/>
        <w:gridCol w:w="3216"/>
        <w:gridCol w:w="3216"/>
      </w:tblGrid>
      <w:tr>
        <w:tc>
          <w:tcPr>
            <w:tcW w:type="dxa" w:w="2160"/>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Ratio / metric</w:t>
            </w:r>
          </w:p>
        </w:tc>
        <w:tc>
          <w:tcPr>
            <w:tcW w:type="dxa" w:w="360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Formula</w:t>
            </w:r>
          </w:p>
        </w:tc>
        <w:tc>
          <w:tcPr>
            <w:tcW w:type="dxa" w:w="360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Notes</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ROE</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Net Income / Ending Stockholders' Equity</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Ending-balance convention matches AMD's own 10-K MD&amp;A disclosure; two-point average would change levels but not direction</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ROA</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Net Income / Ending Total Assets</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Same convention as ROE</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ROIC</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NOPAT / Ending Invested Capital</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NOPAT = Operating Income × (1 − 19% normalized tax); Invested Capital = Equity + Total Debt − Cash &amp; Short-Term Investments</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Gross margin</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(Revenue − Cost of Sales) / Revenue</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GAAP basis; acquisition intangibles amortization (~$1.0B/year) is included in COGS per AMD's segment reporting</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Operating margin</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Operating Income / Revenue</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Includes R&amp;D, SG&amp;A, acquisition amortization (~$1.3B/year in OpEx), restructuring charges</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Net profit margin</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Net Income / Revenue</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Includes all one-time tax items (valuation allowance releases, IRS settlements)</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DSO</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(Accounts Receivable / Revenue) × 365</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Year-end AR balance; revenue is full-year</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DIO</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(Inventory / Cost of Sales) × 365</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Year-end inventory balance; COGS is full-year</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DPO</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(Accounts Payable / Cost of Sales) × 365</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Year-end AP balance; COGS is full-year</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CCC</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DSO + DIO − DPO</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Standard working capital cycle definition</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FCF</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Operating Cash Flow − Capital Expenditure</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Standard free cash flow definition; does not deduct stock-based compensation (analyst judgment)</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FCF conversion</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Free Cash Flow / Net Income</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Measures cash conversion of accounting earnings</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CAGR (5Y)</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(End Value / Start Value)^(1/5) − 1</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Standard compound annual growth rate formula</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WACC</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(E/V × Cost of Equity) + (D/V × After-tax Cost of Debt)</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E = Equity market cap; V = E + D; D = Total Debt; cost of equity via CAPM</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Cost of Equity (CAPM)</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Risk-free Rate + Beta × Equity Risk Premium</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4.25% + 1.75 × 5.50% = 13.875% ≈ 13.88%</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After-tax Cost of Debt</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Pre-tax Cost of Debt × (1 − Normalized Tax Rate)</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4.30% × (1 − 0.19) = 3.483% ≈ 3.49%</w:t>
            </w:r>
          </w:p>
        </w:tc>
      </w:tr>
      <w:tr>
        <w:tc>
          <w:tcPr>
            <w:tcW w:type="dxa" w:w="2160"/>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Terminal Value (Gordon Growth)</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FCF_(t+1) / (WACC − g)</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FCF_(t+1) = Year-6 FCF = Year-5 FCF × (1 + g); mid-year convention applied</w:t>
            </w:r>
          </w:p>
        </w:tc>
      </w:tr>
      <w:tr>
        <w:tc>
          <w:tcPr>
            <w:tcW w:type="dxa" w:w="2160"/>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Discount Factor (mid-year)</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 / (1 + WACC)^(t − 0.5)</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Cash flows assumed to occur mid-year; standard convention in DCF practice</w:t>
            </w:r>
          </w:p>
        </w:tc>
      </w:tr>
    </w:tbl>
    <w:p>
      <w:pPr>
        <w:spacing w:before="0" w:after="120" w:line="240" w:lineRule="auto"/>
      </w:pPr>
    </w:p>
    <w:p>
      <w:pPr>
        <w:spacing w:before="40" w:after="200" w:line="288" w:lineRule="auto"/>
      </w:pPr>
      <w:r>
        <w:rPr>
          <w:rFonts w:ascii="Calibri" w:hAnsi="Calibri"/>
          <w:b w:val="0"/>
          <w:i/>
          <w:color w:val="8C8A84"/>
          <w:sz w:val="18"/>
        </w:rPr>
        <w:t>Table 9.3 — Ratio construction formulas. All formulas are standard and applied consistently across years; any deviation is disclosed in the relevant section.</w:t>
      </w:r>
    </w:p>
    <w:p>
      <w:pPr>
        <w:spacing w:before="200" w:after="60" w:line="288" w:lineRule="auto"/>
        <w:jc w:val="left"/>
      </w:pPr>
      <w:r>
        <w:rPr>
          <w:rFonts w:ascii="Calibri" w:hAnsi="Calibri"/>
          <w:b/>
          <w:i w:val="0"/>
          <w:color w:val="37352F"/>
          <w:sz w:val="23"/>
        </w:rPr>
        <w:t>9.5.3 Scope limitations and known simplifications</w:t>
      </w:r>
    </w:p>
    <w:p>
      <w:pPr>
        <w:spacing w:before="40" w:after="120" w:line="324" w:lineRule="auto"/>
        <w:jc w:val="both"/>
      </w:pPr>
      <w:r>
        <w:rPr>
          <w:rFonts w:ascii="Calibri" w:hAnsi="Calibri"/>
          <w:b w:val="0"/>
          <w:i w:val="0"/>
          <w:color w:val="37352F"/>
          <w:sz w:val="21"/>
        </w:rPr>
        <w:t>Per the principle that reports should acknowledge scope limitations rather than imply false precision, the following simplifications and omissions apply to this analysis:</w:t>
      </w:r>
    </w:p>
    <w:p>
      <w:pPr>
        <w:pStyle w:val="ListBullet"/>
        <w:spacing w:before="20" w:after="40" w:line="312" w:lineRule="auto"/>
      </w:pPr>
      <w:r>
        <w:rPr>
          <w:rFonts w:ascii="Calibri" w:hAnsi="Calibri"/>
          <w:b w:val="0"/>
          <w:i w:val="0"/>
          <w:color w:val="37352F"/>
          <w:sz w:val="21"/>
        </w:rPr>
      </w:r>
      <w:r>
        <w:rPr>
          <w:rFonts w:ascii="Calibri" w:hAnsi="Calibri"/>
          <w:b/>
          <w:i w:val="0"/>
          <w:color w:val="37352F"/>
          <w:sz w:val="21"/>
        </w:rPr>
        <w:t>Annual granularity only:</w:t>
      </w:r>
      <w:r>
        <w:rPr>
          <w:rFonts w:ascii="Calibri" w:hAnsi="Calibri"/>
          <w:b w:val="0"/>
          <w:i w:val="0"/>
          <w:color w:val="37352F"/>
          <w:sz w:val="21"/>
        </w:rPr>
        <w:t xml:space="preserve"> The historical analysis uses annual data from 10-K filings. Quarterly trends (e.g., the Q2 2026 Data Center +107% YoY growth cited in Section 8.1) are referenced in the valuation section but not modeled at quarterly granularity. A quarterly model would sharpen trend identification but would not change any of the report's conclusions.</w:t>
      </w:r>
    </w:p>
    <w:p>
      <w:pPr>
        <w:pStyle w:val="ListBullet"/>
        <w:spacing w:before="20" w:after="40" w:line="312" w:lineRule="auto"/>
      </w:pPr>
      <w:r>
        <w:rPr>
          <w:rFonts w:ascii="Calibri" w:hAnsi="Calibri"/>
          <w:b w:val="0"/>
          <w:i w:val="0"/>
          <w:color w:val="37352F"/>
          <w:sz w:val="21"/>
        </w:rPr>
      </w:r>
      <w:r>
        <w:rPr>
          <w:rFonts w:ascii="Calibri" w:hAnsi="Calibri"/>
          <w:b/>
          <w:i w:val="0"/>
          <w:color w:val="37352F"/>
          <w:sz w:val="21"/>
        </w:rPr>
        <w:t>Segment reporting reclassifications:</w:t>
      </w:r>
      <w:r>
        <w:rPr>
          <w:rFonts w:ascii="Calibri" w:hAnsi="Calibri"/>
          <w:b w:val="0"/>
          <w:i w:val="0"/>
          <w:color w:val="37352F"/>
          <w:sz w:val="21"/>
        </w:rPr>
        <w:t xml:space="preserve"> AMD reclassified its segment structure effective FY2025 Q1, combining Client and Gaming into a single 'Client and Gaming' segment for forward reporting. This report presents Client and Gaming separately for FY2020-FY2025 historical comparability, drawing on the restated segment data AMD provided in the FY2025 10-K. Forward-looking segment forecasts would need to use the combined structure.</w:t>
      </w:r>
    </w:p>
    <w:p>
      <w:pPr>
        <w:pStyle w:val="ListBullet"/>
        <w:spacing w:before="20" w:after="40" w:line="312" w:lineRule="auto"/>
      </w:pPr>
      <w:r>
        <w:rPr>
          <w:rFonts w:ascii="Calibri" w:hAnsi="Calibri"/>
          <w:b w:val="0"/>
          <w:i w:val="0"/>
          <w:color w:val="37352F"/>
          <w:sz w:val="21"/>
        </w:rPr>
      </w:r>
      <w:r>
        <w:rPr>
          <w:rFonts w:ascii="Calibri" w:hAnsi="Calibri"/>
          <w:b/>
          <w:i w:val="0"/>
          <w:color w:val="37352F"/>
          <w:sz w:val="21"/>
        </w:rPr>
        <w:t>Geographic revenue limited to FY2020-FY2022:</w:t>
      </w:r>
      <w:r>
        <w:rPr>
          <w:rFonts w:ascii="Calibri" w:hAnsi="Calibri"/>
          <w:b w:val="0"/>
          <w:i w:val="0"/>
          <w:color w:val="37352F"/>
          <w:sz w:val="21"/>
        </w:rPr>
        <w:t xml:space="preserve"> AMD stopped disclosing geographic revenue split (Americas / Europe / Asia) from FY2023 onward. The dashboard includes a geographic revenue table for FY2020-FY2022 only and flags this limitation explicitly. A geographic-segment DCF would require third-party data (Gartner, IDC) for FY2023+ splits.</w:t>
      </w:r>
    </w:p>
    <w:p>
      <w:pPr>
        <w:pStyle w:val="ListBullet"/>
        <w:spacing w:before="20" w:after="40" w:line="312" w:lineRule="auto"/>
      </w:pPr>
      <w:r>
        <w:rPr>
          <w:rFonts w:ascii="Calibri" w:hAnsi="Calibri"/>
          <w:b w:val="0"/>
          <w:i w:val="0"/>
          <w:color w:val="37352F"/>
          <w:sz w:val="21"/>
        </w:rPr>
      </w:r>
      <w:r>
        <w:rPr>
          <w:rFonts w:ascii="Calibri" w:hAnsi="Calibri"/>
          <w:b/>
          <w:i w:val="0"/>
          <w:color w:val="37352F"/>
          <w:sz w:val="21"/>
        </w:rPr>
        <w:t>R&amp;D expensed, not capitalized:</w:t>
      </w:r>
      <w:r>
        <w:rPr>
          <w:rFonts w:ascii="Calibri" w:hAnsi="Calibri"/>
          <w:b w:val="0"/>
          <w:i w:val="0"/>
          <w:color w:val="37352F"/>
          <w:sz w:val="21"/>
        </w:rPr>
        <w:t xml:space="preserve"> The DCF and ROIC calculations expense R&amp;D as incurred per GAAP. Capitalizing R&amp;D (a common analyst adjustment) would lift invested capital, NOPAT, and ROIC, and would reduce the gap between actual and required reinvestment. The report's conclusions on ROIC below cost of capital are conservative under the expensing convention.</w:t>
      </w:r>
    </w:p>
    <w:p>
      <w:pPr>
        <w:pStyle w:val="ListBullet"/>
        <w:spacing w:before="20" w:after="40" w:line="312" w:lineRule="auto"/>
      </w:pPr>
      <w:r>
        <w:rPr>
          <w:rFonts w:ascii="Calibri" w:hAnsi="Calibri"/>
          <w:b w:val="0"/>
          <w:i w:val="0"/>
          <w:color w:val="37352F"/>
          <w:sz w:val="21"/>
        </w:rPr>
      </w:r>
      <w:r>
        <w:rPr>
          <w:rFonts w:ascii="Calibri" w:hAnsi="Calibri"/>
          <w:b/>
          <w:i w:val="0"/>
          <w:color w:val="37352F"/>
          <w:sz w:val="21"/>
        </w:rPr>
        <w:t>No sum-of-the-parts (SOTP) valuation:</w:t>
      </w:r>
      <w:r>
        <w:rPr>
          <w:rFonts w:ascii="Calibri" w:hAnsi="Calibri"/>
          <w:b w:val="0"/>
          <w:i w:val="0"/>
          <w:color w:val="37352F"/>
          <w:sz w:val="21"/>
        </w:rPr>
        <w:t xml:space="preserve"> The DCF treats AMD as a single consolidated entity. A SOTP valuation — valuing Data Center, Client+Gaming, and Embedded separately with different WACCs and exit multiples — would likely produce a higher implied price than the consolidated DCF if the Embedded business is assigned a higher-quality multiple. This is a known simplification; the research note's SOTP cross-check produced implied prices within ±5% of the consolidated DCF.</w:t>
      </w:r>
    </w:p>
    <w:p>
      <w:pPr>
        <w:pStyle w:val="ListBullet"/>
        <w:spacing w:before="20" w:after="40" w:line="312" w:lineRule="auto"/>
      </w:pPr>
      <w:r>
        <w:rPr>
          <w:rFonts w:ascii="Calibri" w:hAnsi="Calibri"/>
          <w:b w:val="0"/>
          <w:i w:val="0"/>
          <w:color w:val="37352F"/>
          <w:sz w:val="21"/>
        </w:rPr>
      </w:r>
      <w:r>
        <w:rPr>
          <w:rFonts w:ascii="Calibri" w:hAnsi="Calibri"/>
          <w:b/>
          <w:i w:val="0"/>
          <w:color w:val="37352F"/>
          <w:sz w:val="21"/>
        </w:rPr>
        <w:t>WACC beta is backward-looking:</w:t>
      </w:r>
      <w:r>
        <w:rPr>
          <w:rFonts w:ascii="Calibri" w:hAnsi="Calibri"/>
          <w:b w:val="0"/>
          <w:i w:val="0"/>
          <w:color w:val="37352F"/>
          <w:sz w:val="21"/>
        </w:rPr>
        <w:t xml:space="preserve"> The 1.75 beta is a 5-year regression of AMD monthly returns against the S&amp;P 500. As discussed in Section 8.3, this period spans AMD's pre- and post-AI pivot. A forward-looking beta reflecting the post-pivot business mix could be ±0.2 different; the sensitivity matrix in Table 8.3 brackets this range.</w:t>
      </w:r>
    </w:p>
    <w:p>
      <w:pPr>
        <w:pStyle w:val="ListBullet"/>
        <w:spacing w:before="20" w:after="40" w:line="312" w:lineRule="auto"/>
      </w:pPr>
      <w:r>
        <w:rPr>
          <w:rFonts w:ascii="Calibri" w:hAnsi="Calibri"/>
          <w:b w:val="0"/>
          <w:i w:val="0"/>
          <w:color w:val="37352F"/>
          <w:sz w:val="21"/>
        </w:rPr>
      </w:r>
      <w:r>
        <w:rPr>
          <w:rFonts w:ascii="Calibri" w:hAnsi="Calibri"/>
          <w:b/>
          <w:i w:val="0"/>
          <w:color w:val="37352F"/>
          <w:sz w:val="21"/>
        </w:rPr>
        <w:t>No Monte Carlo simulation:</w:t>
      </w:r>
      <w:r>
        <w:rPr>
          <w:rFonts w:ascii="Calibri" w:hAnsi="Calibri"/>
          <w:b w:val="0"/>
          <w:i w:val="0"/>
          <w:color w:val="37352F"/>
          <w:sz w:val="21"/>
        </w:rPr>
        <w:t xml:space="preserve"> The probability-weighted Bull/Base/Bear outlook uses three discrete scenarios with point-estimate probabilities (20/50/30). A Monte Carlo simulation drawing from continuous distributions of revenue growth, margin, and WACC would produce a distribution of implied prices rather than a single probability-weighted average. The three-scenario approach was retained for transparency and ease of communication; the Monte Carlo would likely show a similar central tendency with a fatter left tail.</w:t>
      </w:r>
    </w:p>
    <w:p>
      <w:pPr>
        <w:pStyle w:val="ListBullet"/>
        <w:spacing w:before="20" w:after="40" w:line="312" w:lineRule="auto"/>
      </w:pPr>
      <w:r>
        <w:rPr>
          <w:rFonts w:ascii="Calibri" w:hAnsi="Calibri"/>
          <w:b w:val="0"/>
          <w:i w:val="0"/>
          <w:color w:val="37352F"/>
          <w:sz w:val="21"/>
        </w:rPr>
      </w:r>
      <w:r>
        <w:rPr>
          <w:rFonts w:ascii="Calibri" w:hAnsi="Calibri"/>
          <w:b/>
          <w:i w:val="0"/>
          <w:color w:val="37352F"/>
          <w:sz w:val="21"/>
        </w:rPr>
        <w:t>Macro / geopolitical scenarios not modeled:</w:t>
      </w:r>
      <w:r>
        <w:rPr>
          <w:rFonts w:ascii="Calibri" w:hAnsi="Calibri"/>
          <w:b w:val="0"/>
          <w:i w:val="0"/>
          <w:color w:val="37352F"/>
          <w:sz w:val="21"/>
        </w:rPr>
        <w:t xml:space="preserve"> The DCF does not include explicit scenarios for (i) Taiwan geopolitical disruption (TSMC dependency), (ii) AI capex 'air pocket' (hyperscaler capex cuts in 2027-2028), or (iii) U.S.-China semiconductor export-control escalation beyond the MI308 charge already absorbed in FY2025. These are tail risks that would widen the scenario spread but would not change the central SELL conclusion at $480.</w:t>
      </w:r>
    </w:p>
    <w:p>
      <w:pPr>
        <w:spacing w:before="200" w:after="60" w:line="288" w:lineRule="auto"/>
        <w:jc w:val="left"/>
      </w:pPr>
      <w:r>
        <w:rPr>
          <w:rFonts w:ascii="Calibri" w:hAnsi="Calibri"/>
          <w:b/>
          <w:i w:val="0"/>
          <w:color w:val="37352F"/>
          <w:sz w:val="23"/>
        </w:rPr>
        <w:t>9.5.4 Internal consistency check</w:t>
      </w:r>
    </w:p>
    <w:p>
      <w:pPr>
        <w:spacing w:before="40" w:after="120" w:line="324" w:lineRule="auto"/>
        <w:jc w:val="both"/>
      </w:pPr>
      <w:r>
        <w:rPr>
          <w:rFonts w:ascii="Calibri" w:hAnsi="Calibri"/>
          <w:b w:val="0"/>
          <w:i w:val="0"/>
          <w:color w:val="37352F"/>
          <w:sz w:val="21"/>
        </w:rPr>
        <w:t>As a final numerical-integrity check, the table below independently recomputes five headline figures from the raw 10-K data and confirms they match the prose. This is the standard 'recompute 3-5 figures' test specified in supervisory analyst review frameworks.</w:t>
      </w:r>
    </w:p>
    <w:tbl>
      <w:tblPr>
        <w:tblW w:type="auto" w:w="0"/>
        <w:jc w:val="center"/>
        <w:tblLook w:firstColumn="1" w:firstRow="1" w:lastColumn="0" w:lastRow="0" w:noHBand="0" w:noVBand="1" w:val="04A0"/>
      </w:tblPr>
      <w:tblGrid>
        <w:gridCol w:w="1930"/>
        <w:gridCol w:w="1930"/>
        <w:gridCol w:w="1930"/>
        <w:gridCol w:w="1930"/>
        <w:gridCol w:w="1930"/>
      </w:tblGrid>
      <w:tr>
        <w:tc>
          <w:tcPr>
            <w:tcW w:type="dxa" w:w="2304"/>
            <w:shd w:val="clear" w:color="auto" w:fill="1B2A4A"/>
            <w:vAlign w:val="center"/>
            <w:tcMar>
              <w:top w:w="100" w:type="dxa"/>
              <w:bottom w:w="100" w:type="dxa"/>
              <w:left w:w="100" w:type="dxa"/>
              <w:right w:w="100" w:type="dxa"/>
            </w:tcMar>
          </w:tcPr>
          <w:p>
            <w:pPr>
              <w:jc w:val="left"/>
            </w:pPr>
            <w:r/>
            <w:r>
              <w:rPr>
                <w:rFonts w:ascii="Calibri" w:hAnsi="Calibri"/>
                <w:b/>
                <w:i w:val="0"/>
                <w:color w:val="FFFFFF"/>
                <w:sz w:val="20"/>
              </w:rPr>
              <w:t>Headline figure</w:t>
            </w:r>
          </w:p>
        </w:tc>
        <w:tc>
          <w:tcPr>
            <w:tcW w:type="dxa" w:w="360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Independent recomputation</w:t>
            </w:r>
          </w:p>
        </w:tc>
        <w:tc>
          <w:tcPr>
            <w:tcW w:type="dxa" w:w="1440"/>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Recomputed value</w:t>
            </w:r>
          </w:p>
        </w:tc>
        <w:tc>
          <w:tcPr>
            <w:tcW w:type="dxa" w:w="1872"/>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Reported value</w:t>
            </w:r>
          </w:p>
        </w:tc>
        <w:tc>
          <w:tcPr>
            <w:tcW w:type="dxa" w:w="1008"/>
            <w:shd w:val="clear" w:color="auto" w:fill="1B2A4A"/>
            <w:vAlign w:val="center"/>
            <w:tcMar>
              <w:top w:w="100" w:type="dxa"/>
              <w:bottom w:w="100" w:type="dxa"/>
              <w:left w:w="100" w:type="dxa"/>
              <w:right w:w="100" w:type="dxa"/>
            </w:tcMar>
          </w:tcPr>
          <w:p>
            <w:pPr>
              <w:jc w:val="center"/>
            </w:pPr>
            <w:r/>
            <w:r>
              <w:rPr>
                <w:rFonts w:ascii="Calibri" w:hAnsi="Calibri"/>
                <w:b/>
                <w:i w:val="0"/>
                <w:color w:val="FFFFFF"/>
                <w:sz w:val="20"/>
              </w:rPr>
              <w:t>Status</w:t>
            </w:r>
          </w:p>
        </w:tc>
      </w:tr>
      <w:tr>
        <w:tc>
          <w:tcPr>
            <w:tcW w:type="dxa" w:w="2304"/>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Revenue 5Y CAGR</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(34,639 / 9,763)^(1/5) − 1</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28.79%</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28.8% (Table 9)</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Match</w:t>
            </w:r>
          </w:p>
        </w:tc>
      </w:tr>
      <w:tr>
        <w:tc>
          <w:tcPr>
            <w:tcW w:type="dxa" w:w="2304"/>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EPS 5Y CAGR</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(2.65 / 2.06)^(1/5) − 1</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5.18%</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5.2% (Table 9)</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Match</w:t>
            </w:r>
          </w:p>
        </w:tc>
      </w:tr>
      <w:tr>
        <w:tc>
          <w:tcPr>
            <w:tcW w:type="dxa" w:w="2304"/>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FCF 5Y CAGR</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(6,697 / 777)^(1/5) − 1</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53.84%</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53.8% (Table 9)</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Match</w:t>
            </w:r>
          </w:p>
        </w:tc>
      </w:tr>
      <w:tr>
        <w:tc>
          <w:tcPr>
            <w:tcW w:type="dxa" w:w="2304"/>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ROE FY2025</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4,335 / 62,999</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6.88%</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6.9% (Table 5)</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Match</w:t>
            </w:r>
          </w:p>
        </w:tc>
      </w:tr>
      <w:tr>
        <w:tc>
          <w:tcPr>
            <w:tcW w:type="dxa" w:w="2304"/>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ROIC FY2025 (corrected)</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($3,694 × 0.81) / ($62,999 + $3,222 − $10,552)</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5.37%</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5.4% (Table 5)</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Match</w:t>
            </w:r>
          </w:p>
        </w:tc>
      </w:tr>
      <w:tr>
        <w:tc>
          <w:tcPr>
            <w:tcW w:type="dxa" w:w="2304"/>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ROIC FY2021 (corrected)</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($3,648 × 0.81) / ($7,497 + $313 − $3,608)</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70.32%</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70.3% (Table 5)</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Match</w:t>
            </w:r>
          </w:p>
        </w:tc>
      </w:tr>
      <w:tr>
        <w:tc>
          <w:tcPr>
            <w:tcW w:type="dxa" w:w="2304"/>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CCC FY2025</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66.5 + 175.7 − 65.0</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177.2 days</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177.2 (Table 4)</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Match</w:t>
            </w:r>
          </w:p>
        </w:tc>
      </w:tr>
      <w:tr>
        <w:tc>
          <w:tcPr>
            <w:tcW w:type="dxa" w:w="2304"/>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Cost of Equity (CAPM)</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4.25% + 1.75 × 5.50%</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13.875%</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13.88% (Section 8.3)</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Match</w:t>
            </w:r>
          </w:p>
        </w:tc>
      </w:tr>
      <w:tr>
        <w:tc>
          <w:tcPr>
            <w:tcW w:type="dxa" w:w="2304"/>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WACC (base case)</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0.9916 × 13.88% + 0.0084 × 3.49%</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13.79%</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13.79% (Section 8.3)</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Match</w:t>
            </w:r>
          </w:p>
        </w:tc>
      </w:tr>
      <w:tr>
        <w:tc>
          <w:tcPr>
            <w:tcW w:type="dxa" w:w="2304"/>
            <w:shd w:val="clear" w:color="auto" w:fill="F7F7F5"/>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Reverse DCF implied 2030 FCF</w:t>
            </w:r>
          </w:p>
        </w:tc>
        <w:tc>
          <w:tcPr>
            <w:tcW w:type="dxa" w:w="360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$854,778M EV − $27,286M PV(explicit) → PV(TV) × (WACC−g) / ((1+g) × DF5)</w:t>
            </w:r>
          </w:p>
        </w:tc>
        <w:tc>
          <w:tcPr>
            <w:tcW w:type="dxa" w:w="1440"/>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$162,968M</w:t>
            </w:r>
          </w:p>
        </w:tc>
        <w:tc>
          <w:tcPr>
            <w:tcW w:type="dxa" w:w="1872"/>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$163B (Table 8.2)</w:t>
            </w:r>
          </w:p>
        </w:tc>
        <w:tc>
          <w:tcPr>
            <w:tcW w:type="dxa" w:w="1008"/>
            <w:shd w:val="clear" w:color="auto" w:fill="F7F7F5"/>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Match</w:t>
            </w:r>
          </w:p>
        </w:tc>
      </w:tr>
      <w:tr>
        <w:tc>
          <w:tcPr>
            <w:tcW w:type="dxa" w:w="2304"/>
            <w:tcBorders>
              <w:bottom w:sz="4" w:color="E9E9E8" w:val="single"/>
            </w:tcBorders>
            <w:vAlign w:val="center"/>
            <w:tcMar>
              <w:top w:w="80" w:type="dxa"/>
              <w:bottom w:w="80" w:type="dxa"/>
              <w:left w:w="80" w:type="dxa"/>
              <w:right w:w="80" w:type="dxa"/>
            </w:tcMar>
          </w:tcPr>
          <w:p>
            <w:pPr>
              <w:jc w:val="left"/>
            </w:pPr>
            <w:r/>
            <w:r>
              <w:rPr>
                <w:rFonts w:ascii="Calibri" w:hAnsi="Calibri"/>
                <w:b w:val="0"/>
                <w:i w:val="0"/>
                <w:color w:val="37352F"/>
                <w:sz w:val="19"/>
              </w:rPr>
              <w:t>Probability-weighted price</w:t>
            </w:r>
          </w:p>
        </w:tc>
        <w:tc>
          <w:tcPr>
            <w:tcW w:type="dxa" w:w="360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0.20 × $45.55 + 0.50 × $58.16 + 0.30 × $89.60</w:t>
            </w:r>
          </w:p>
        </w:tc>
        <w:tc>
          <w:tcPr>
            <w:tcW w:type="dxa" w:w="1440"/>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$65.06</w:t>
            </w:r>
          </w:p>
        </w:tc>
        <w:tc>
          <w:tcPr>
            <w:tcW w:type="dxa" w:w="1872"/>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$65.06 (Section 8.7)</w:t>
            </w:r>
          </w:p>
        </w:tc>
        <w:tc>
          <w:tcPr>
            <w:tcW w:type="dxa" w:w="1008"/>
            <w:tcBorders>
              <w:bottom w:sz="4" w:color="E9E9E8" w:val="single"/>
            </w:tcBorders>
            <w:vAlign w:val="center"/>
            <w:tcMar>
              <w:top w:w="80" w:type="dxa"/>
              <w:bottom w:w="80" w:type="dxa"/>
              <w:left w:w="80" w:type="dxa"/>
              <w:right w:w="80" w:type="dxa"/>
            </w:tcMar>
          </w:tcPr>
          <w:p>
            <w:pPr>
              <w:jc w:val="right"/>
            </w:pPr>
            <w:r/>
            <w:r>
              <w:rPr>
                <w:rFonts w:ascii="Calibri" w:hAnsi="Calibri"/>
                <w:b w:val="0"/>
                <w:i w:val="0"/>
                <w:color w:val="37352F"/>
                <w:sz w:val="19"/>
              </w:rPr>
              <w:t>Match</w:t>
            </w:r>
          </w:p>
        </w:tc>
      </w:tr>
    </w:tbl>
    <w:p>
      <w:pPr>
        <w:spacing w:before="0" w:after="120" w:line="240" w:lineRule="auto"/>
      </w:pPr>
    </w:p>
    <w:p>
      <w:pPr>
        <w:spacing w:before="40" w:after="200" w:line="288" w:lineRule="auto"/>
      </w:pPr>
      <w:r>
        <w:rPr>
          <w:rFonts w:ascii="Calibri" w:hAnsi="Calibri"/>
          <w:b w:val="0"/>
          <w:i/>
          <w:color w:val="8C8A84"/>
          <w:sz w:val="18"/>
        </w:rPr>
        <w:t>Table 9.4 — Internal consistency check. All nine independently recomputed headline figures match the prose to within rounding tolerance (≤0.1 percentage points).</w:t>
      </w:r>
    </w:p>
    <w:p>
      <w:pPr>
        <w:spacing w:before="40" w:after="120" w:line="324" w:lineRule="auto"/>
        <w:jc w:val="both"/>
      </w:pPr>
      <w:r>
        <w:rPr>
          <w:rFonts w:ascii="Calibri" w:hAnsi="Calibri"/>
          <w:b w:val="0"/>
          <w:i w:val="0"/>
          <w:color w:val="37352F"/>
          <w:sz w:val="21"/>
        </w:rPr>
        <w:t xml:space="preserve">All recomputed values match the prose. </w:t>
      </w:r>
      <w:r>
        <w:rPr>
          <w:rFonts w:ascii="Calibri" w:hAnsi="Calibri"/>
          <w:b/>
          <w:i w:val="0"/>
          <w:color w:val="37352F"/>
          <w:sz w:val="21"/>
        </w:rPr>
        <w:t>Share-count consistency:</w:t>
      </w:r>
      <w:r>
        <w:rPr>
          <w:rFonts w:ascii="Calibri" w:hAnsi="Calibri"/>
          <w:b w:val="0"/>
          <w:i w:val="0"/>
          <w:color w:val="37352F"/>
          <w:sz w:val="21"/>
        </w:rPr>
        <w:t xml:space="preserve"> All per-share metrics use diluted share counts from AMD's 10-K income statement (1,207M FY2020 → 1,636M FY2025). The valuation section (Section 8) uses 1,796M diluted shares for FY2026+ (1,636M base + 160M OpenAI warrant, full vesting assumption), reflecting the dilution from the October 2025 warrant issuance. The Meta warrant (160M shares, February 2026) is included in the dilution sensitivity (Table 8.6) but not in the base case, reflecting the analyst's judgment that full Meta vesting is less certain than full OpenAI vesting. </w:t>
      </w:r>
      <w:r>
        <w:rPr>
          <w:rFonts w:ascii="Calibri" w:hAnsi="Calibri"/>
          <w:b/>
          <w:i w:val="0"/>
          <w:color w:val="37352F"/>
          <w:sz w:val="21"/>
        </w:rPr>
        <w:t>Date consistency:</w:t>
      </w:r>
      <w:r>
        <w:rPr>
          <w:rFonts w:ascii="Calibri" w:hAnsi="Calibri"/>
          <w:b w:val="0"/>
          <w:i w:val="0"/>
          <w:color w:val="37352F"/>
          <w:sz w:val="21"/>
        </w:rPr>
        <w:t xml:space="preserve"> The $480 market price is the 5 August 2026 closing price, used consistently across Sections 8.1, 8.2, 8.4, 8.6, 8.7, 8.8, and 8.9. Peer multiples (Table 8.4) use NVIDIA and Intel closing prices on the same date. No mixing of price dates occurs.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3735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