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C7BA" w14:textId="77777777" w:rsidR="00AC30F5" w:rsidRDefault="00000000">
      <w:r>
        <w:rPr>
          <w:b/>
          <w:color w:val="808080"/>
          <w:sz w:val="16"/>
        </w:rPr>
        <w:t>EQUITY RESEARCH NOTE</w:t>
      </w:r>
    </w:p>
    <w:p w14:paraId="021D016B" w14:textId="77777777" w:rsidR="00AC30F5" w:rsidRDefault="00000000">
      <w:pPr>
        <w:spacing w:after="40"/>
      </w:pPr>
      <w:r>
        <w:rPr>
          <w:b/>
          <w:color w:val="1F4E78"/>
          <w:sz w:val="40"/>
        </w:rPr>
        <w:t>Advanced Micro Devices, Inc.</w:t>
      </w:r>
    </w:p>
    <w:p w14:paraId="2DCC06FE" w14:textId="77777777" w:rsidR="00AC30F5" w:rsidRDefault="00000000">
      <w:pPr>
        <w:spacing w:after="160"/>
      </w:pPr>
      <w:r>
        <w:rPr>
          <w:b/>
          <w:sz w:val="24"/>
        </w:rPr>
        <w:t xml:space="preserve">AMD (NASDAQ)  |  </w:t>
      </w:r>
      <w:r>
        <w:rPr>
          <w:sz w:val="24"/>
        </w:rPr>
        <w:t xml:space="preserve">Rating: </w:t>
      </w:r>
      <w:r>
        <w:rPr>
          <w:b/>
          <w:color w:val="C00000"/>
          <w:sz w:val="24"/>
        </w:rPr>
        <w:t>SELL</w:t>
      </w:r>
      <w:r>
        <w:rPr>
          <w:i/>
          <w:color w:val="595959"/>
          <w:sz w:val="20"/>
        </w:rPr>
        <w:t xml:space="preserve">  |  Market price beyond any defensible valuation framework</w:t>
      </w:r>
    </w:p>
    <w:tbl>
      <w:tblPr>
        <w:tblW w:w="0" w:type="auto"/>
        <w:tblLook w:val="04A0" w:firstRow="1" w:lastRow="0" w:firstColumn="1" w:lastColumn="0" w:noHBand="0" w:noVBand="1"/>
      </w:tblPr>
      <w:tblGrid>
        <w:gridCol w:w="2550"/>
        <w:gridCol w:w="2550"/>
        <w:gridCol w:w="2550"/>
        <w:gridCol w:w="2550"/>
      </w:tblGrid>
      <w:tr w:rsidR="00AC30F5" w14:paraId="56D83C0D" w14:textId="77777777">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34FCB2" w14:textId="77777777" w:rsidR="00AC30F5" w:rsidRDefault="00000000">
            <w:r>
              <w:rPr>
                <w:b/>
                <w:color w:val="808080"/>
                <w:sz w:val="15"/>
              </w:rPr>
              <w:t>Price Target</w:t>
            </w:r>
          </w:p>
          <w:p w14:paraId="16CEE88C" w14:textId="77777777" w:rsidR="00AC30F5" w:rsidRDefault="00000000">
            <w:r>
              <w:rPr>
                <w:b/>
                <w:color w:val="1F4E78"/>
                <w:sz w:val="22"/>
              </w:rPr>
              <w:t>$58 – $90</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BBF8F6" w14:textId="77777777" w:rsidR="00AC30F5" w:rsidRDefault="00000000">
            <w:r>
              <w:rPr>
                <w:b/>
                <w:color w:val="808080"/>
                <w:sz w:val="15"/>
              </w:rPr>
              <w:t>Current Price</w:t>
            </w:r>
          </w:p>
          <w:p w14:paraId="384AAE63" w14:textId="77777777" w:rsidR="00AC30F5" w:rsidRDefault="00000000">
            <w:r>
              <w:rPr>
                <w:b/>
                <w:color w:val="1F4E78"/>
                <w:sz w:val="22"/>
              </w:rPr>
              <w:t>$480.00</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10EE93" w14:textId="77777777" w:rsidR="00AC30F5" w:rsidRDefault="00000000">
            <w:r>
              <w:rPr>
                <w:b/>
                <w:color w:val="808080"/>
                <w:sz w:val="15"/>
              </w:rPr>
              <w:t>Implied Downside</w:t>
            </w:r>
          </w:p>
          <w:p w14:paraId="389D3261" w14:textId="77777777" w:rsidR="00AC30F5" w:rsidRDefault="00000000">
            <w:r>
              <w:rPr>
                <w:b/>
                <w:color w:val="1F4E78"/>
                <w:sz w:val="22"/>
              </w:rPr>
              <w:t>(81%) to (88%)</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1A276D4" w14:textId="77777777" w:rsidR="00AC30F5" w:rsidRDefault="00000000">
            <w:r>
              <w:rPr>
                <w:b/>
                <w:color w:val="808080"/>
                <w:sz w:val="15"/>
              </w:rPr>
              <w:t>Reference Date</w:t>
            </w:r>
          </w:p>
          <w:p w14:paraId="50B55059" w14:textId="77777777" w:rsidR="00AC30F5" w:rsidRDefault="00000000">
            <w:r>
              <w:rPr>
                <w:b/>
                <w:color w:val="1F4E78"/>
                <w:sz w:val="22"/>
              </w:rPr>
              <w:t>5 August 2026</w:t>
            </w:r>
          </w:p>
        </w:tc>
      </w:tr>
      <w:tr w:rsidR="00AC30F5" w14:paraId="06003316" w14:textId="77777777">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849C3C" w14:textId="77777777" w:rsidR="00AC30F5" w:rsidRDefault="00000000">
            <w:r>
              <w:rPr>
                <w:b/>
                <w:color w:val="808080"/>
                <w:sz w:val="15"/>
              </w:rPr>
              <w:t>Market Cap</w:t>
            </w:r>
          </w:p>
          <w:p w14:paraId="3A6A77A6" w14:textId="77777777" w:rsidR="00AC30F5" w:rsidRDefault="00000000">
            <w:r>
              <w:rPr>
                <w:b/>
                <w:color w:val="1F4E78"/>
                <w:sz w:val="22"/>
              </w:rPr>
              <w:t>$785.3B</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7CEA95" w14:textId="77777777" w:rsidR="00AC30F5" w:rsidRDefault="00000000">
            <w:r>
              <w:rPr>
                <w:b/>
                <w:color w:val="808080"/>
                <w:sz w:val="15"/>
              </w:rPr>
              <w:t>Enterprise Value</w:t>
            </w:r>
          </w:p>
          <w:p w14:paraId="50401059" w14:textId="77777777" w:rsidR="00AC30F5" w:rsidRDefault="00000000">
            <w:r>
              <w:rPr>
                <w:b/>
                <w:color w:val="1F4E78"/>
                <w:sz w:val="22"/>
              </w:rPr>
              <w:t>$778.0B</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4C00557" w14:textId="77777777" w:rsidR="00AC30F5" w:rsidRDefault="00000000">
            <w:r>
              <w:rPr>
                <w:b/>
                <w:color w:val="808080"/>
                <w:sz w:val="15"/>
              </w:rPr>
              <w:t>52-Week Range</w:t>
            </w:r>
          </w:p>
          <w:p w14:paraId="1599C0BC" w14:textId="77777777" w:rsidR="00AC30F5" w:rsidRDefault="00000000">
            <w:r>
              <w:rPr>
                <w:b/>
                <w:color w:val="1F4E78"/>
                <w:sz w:val="22"/>
              </w:rPr>
              <w:t>$94.31 – $584.73</w:t>
            </w:r>
          </w:p>
        </w:tc>
        <w:tc>
          <w:tcPr>
            <w:tcW w:w="25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683B5E0" w14:textId="77777777" w:rsidR="00AC30F5" w:rsidRDefault="00000000">
            <w:r>
              <w:rPr>
                <w:b/>
                <w:color w:val="808080"/>
                <w:sz w:val="15"/>
              </w:rPr>
              <w:t>Shares Outstanding</w:t>
            </w:r>
          </w:p>
          <w:p w14:paraId="45E53A73" w14:textId="77777777" w:rsidR="00AC30F5" w:rsidRDefault="00000000">
            <w:r>
              <w:rPr>
                <w:b/>
                <w:color w:val="1F4E78"/>
                <w:sz w:val="22"/>
              </w:rPr>
              <w:t>1,636M (base) / 1,796M (incl. OpenAI warrant)</w:t>
            </w:r>
          </w:p>
        </w:tc>
      </w:tr>
    </w:tbl>
    <w:p w14:paraId="50B47648" w14:textId="17F76AFA" w:rsidR="00AC30F5" w:rsidRDefault="00000000">
      <w:pPr>
        <w:spacing w:before="80"/>
      </w:pPr>
      <w:r>
        <w:rPr>
          <w:b/>
          <w:i/>
          <w:sz w:val="18"/>
        </w:rPr>
        <w:t xml:space="preserve">Price Target Detail: </w:t>
      </w:r>
      <w:r>
        <w:rPr>
          <w:i/>
          <w:color w:val="595959"/>
          <w:sz w:val="18"/>
        </w:rPr>
        <w:t>Range; mid-point ~$74</w:t>
      </w:r>
    </w:p>
    <w:p w14:paraId="362A9733" w14:textId="77777777" w:rsidR="00AC30F5" w:rsidRDefault="00000000">
      <w:pPr>
        <w:spacing w:before="120" w:after="160"/>
      </w:pPr>
      <w:r>
        <w:rPr>
          <w:b/>
          <w:i/>
          <w:color w:val="808080"/>
          <w:sz w:val="16"/>
        </w:rPr>
        <w:t xml:space="preserve">Disclaimer: </w:t>
      </w:r>
      <w:r>
        <w:rPr>
          <w:i/>
          <w:color w:val="808080"/>
          <w:sz w:val="16"/>
        </w:rPr>
        <w:t>This document is a personal educational project prepared for portfolio and curriculum-vitae purposes. It is not investment advice, not a solicitation to buy or sell any security, and not a research report distributed by a regulated broker-dealer. The author does not hold a position in AMD, NVIDIA, or Intel securities at the time of writing. All historical financial data are sourced from AMD's 10-K and 10-Q filings (FY2021-FY2025 plus Q1-Q2 2026); peer multiples are sourced from company press releases and Aswath Damodaran's NYU Stern industry data pages (January 2026 update). Forward estimates and valuation outputs reflect the author's independent analysis. The price target range of $58-$90 reflects the span from the author's original DCF (stale, FY2025-based assumptions) to a revised scenario incorporating H1 2026 actuals and management's FY2027 data center doubling guidance; a full model rebuild is pending. Readers should conduct their own due diligence before making any investment decision.</w:t>
      </w:r>
    </w:p>
    <w:p w14:paraId="1AF760B6" w14:textId="77777777" w:rsidR="00AC30F5" w:rsidRDefault="00000000">
      <w:pPr>
        <w:pStyle w:val="Heading1"/>
      </w:pPr>
      <w:r>
        <w:t>Executive Summary</w:t>
      </w:r>
    </w:p>
    <w:p w14:paraId="1F45F026" w14:textId="43193453" w:rsidR="00AC30F5" w:rsidRDefault="00000000">
      <w:pPr>
        <w:spacing w:after="80"/>
        <w:jc w:val="both"/>
      </w:pPr>
      <w:r>
        <w:t>We initiate coverage of Advanced Micro Devices, Inc. (AMD) with a SELL rating and a 12-month price target range of $58 to $90, implying 81% to 88% downside to the 5 August 2026 closing price of $480.00. The range reflects the span between our original DCF (built on FY2025 assumptions) and a revised scenario incorporating H1 2026 actual results and management's guidance that data center revenue will double again in 2027. Even at the upper bound of $90, the implied downside exceeds 80%, because the market price has moved far beyond what any defensible discounted cash flow framework can support. The rating and price target are intended for</w:t>
      </w:r>
      <w:r w:rsidR="00472B20">
        <w:t xml:space="preserve"> </w:t>
      </w:r>
      <w:r>
        <w:t>evaluating valuation rigor; they are not investment advice.</w:t>
      </w:r>
    </w:p>
    <w:p w14:paraId="591AA6F6" w14:textId="77777777" w:rsidR="00AC30F5" w:rsidRDefault="00000000">
      <w:pPr>
        <w:pStyle w:val="ListBullet"/>
        <w:spacing w:after="60"/>
        <w:jc w:val="both"/>
      </w:pPr>
      <w:r>
        <w:rPr>
          <w:b/>
        </w:rPr>
        <w:t>The paradox.</w:t>
      </w:r>
      <w:r>
        <w:t xml:space="preserve"> AMD's underlying business has arguably never been stronger: Q2 2026 Data Center revenue more than doubled year-over-year (+107% to $6.7B), the company has secured three major multi-year customer commitments (OpenAI, Meta, and Anthropic, plus Microsoft as the first Helios customer), and CEO Lisa Su has guided to a further doubling of data center sales in 2027. Yet the stock, having risen approximately 103% since the start of 2026 to $480, trades at a valuation that no defensible framework — DCF or relative — can support.</w:t>
      </w:r>
    </w:p>
    <w:p w14:paraId="6E841E4E" w14:textId="77777777" w:rsidR="00AC30F5" w:rsidRDefault="00000000">
      <w:pPr>
        <w:pStyle w:val="ListBullet"/>
        <w:spacing w:after="60"/>
        <w:jc w:val="both"/>
      </w:pPr>
      <w:r>
        <w:rPr>
          <w:b/>
        </w:rPr>
        <w:t>Price target range, not a point estimate.</w:t>
      </w:r>
      <w:r>
        <w:t xml:space="preserve"> We present a range of $58 to $90 rather than a single figure because the underlying DCF assumptions span a wide plausibility band. The lower bound ($58) reflects our original model built on FY2025 10-K data, which is now stale given the H1 2026 beats. The upper bound ($90) reflects a revised scenario with higher revenue growth (tracking the 2027 doubling guidance), lifted gross margins (reflecting the ongoing data center mix shift), and a lower WACC (reflecting reduced risk post-customer commitments). A full model rebuild would produce a figure within this range; we do not believe a defensible rebuild can exceed $90.</w:t>
      </w:r>
    </w:p>
    <w:p w14:paraId="5D8B889A" w14:textId="77777777" w:rsidR="00AC30F5" w:rsidRDefault="00000000">
      <w:pPr>
        <w:pStyle w:val="ListBullet"/>
        <w:spacing w:after="60"/>
        <w:jc w:val="both"/>
      </w:pPr>
      <w:r>
        <w:rPr>
          <w:b/>
        </w:rPr>
        <w:t>Reverse DCF shows the market prices in outcomes beyond any defensible scenario.</w:t>
      </w:r>
      <w:r>
        <w:t xml:space="preserve"> At $480, the market implies a 2030 free cash flow of approximately $163B. Even against our revised upper-bound projection of $19B, this represents a 743% premium. Achieving $163B of 2030 FCF would require, at a 30% FCF margin (itself above NVIDIA's current profile), approximately $543B in revenue — representing roughly 54% of the $1 trillion compute market opportunity that AMD's management has forecast. Whether the $1T TAM forecast itself is conservative or optimistic is an open question; it is management-sourced and not independently verified. But even accepting the </w:t>
      </w:r>
      <w:r>
        <w:lastRenderedPageBreak/>
        <w:t>forecast at face value, AMD capturing over half of it at industry-leading margins would require displacing NVIDIA as the dominant AI accelerator supplier, an outcome no defensible scenario supports.</w:t>
      </w:r>
    </w:p>
    <w:p w14:paraId="4D0455EF" w14:textId="77777777" w:rsidR="00AC30F5" w:rsidRDefault="00000000">
      <w:pPr>
        <w:pStyle w:val="ListBullet"/>
        <w:spacing w:after="60"/>
        <w:jc w:val="both"/>
      </w:pPr>
      <w:r>
        <w:rPr>
          <w:b/>
        </w:rPr>
        <w:t>Relative valuation support has collapsed.</w:t>
      </w:r>
      <w:r>
        <w:t xml:space="preserve"> When AMD traded at approximately $237 in early 2026, peer multiples broadly supported the market price: the average implied price from NVIDIA, Intel, and industry-average multiples was approximately $236, essentially matching the market. At $480, AMD trades at a premium to even NVIDIA's multiples on EV/Sales (18.1x vs 16.4x) and at more than 3x the industry P/E (115x vs 37x). The relative valuation bridge has fallen away, and both the DCF and relative valuation methods now agree that the market is overvalued.</w:t>
      </w:r>
    </w:p>
    <w:p w14:paraId="3A61916F" w14:textId="77777777" w:rsidR="00AC30F5" w:rsidRDefault="00000000">
      <w:pPr>
        <w:pStyle w:val="ListBullet"/>
        <w:spacing w:after="60"/>
        <w:jc w:val="both"/>
      </w:pPr>
      <w:r>
        <w:rPr>
          <w:b/>
        </w:rPr>
        <w:t>Why SELL, not HOLD.</w:t>
      </w:r>
      <w:r>
        <w:t xml:space="preserve"> A HOLD rating requires at least one of: DCF support near the market price, relative valuation support near the market price, or a credible catalyst path to fundamentals justifying the price within the horizon. At $480, none of these hold. The DCF says $58-$90 (81-88% downside). Relative valuation says $179-$239 (50-63% downside, and only by importing NVIDIA's premium). The catalyst path would require AMD to capture over half the forecast $1T compute TAM at industry-leading margins — an outcome that is conceivable in its components but arithmetically extreme in combination. We acknowledge the market may nonetheless be pricing in AI scenario outcomes that lie outside any conventional framework; the SELL reflects the gap between any defensible framework and the prevailing price, not a directional call on AMD's genuinely improving business.</w:t>
      </w:r>
    </w:p>
    <w:p w14:paraId="4C152079" w14:textId="77777777" w:rsidR="00AC30F5" w:rsidRDefault="00000000">
      <w:pPr>
        <w:pStyle w:val="Heading1"/>
      </w:pPr>
      <w:r>
        <w:t>Opening Hook: The Paradox of AMD at $480</w:t>
      </w:r>
    </w:p>
    <w:p w14:paraId="618B90EE" w14:textId="77777777" w:rsidR="00AC30F5" w:rsidRDefault="00000000">
      <w:pPr>
        <w:spacing w:after="80"/>
        <w:jc w:val="both"/>
      </w:pPr>
      <w:r>
        <w:t>There is a peculiar paradox at the heart of AMD's current valuation. By every operational measure that matters, the company has never been in better shape. Revenue grew 34% in FY2025 to $34.6B, with the Data Center segment — the principal AI-driven growth engine — up 32% to $16.6B. In Q2 2026, Data Center revenue more than doubled year-over-year, reaching $6.7B and growing 107% — a rate of acceleration that would, in any normal valuation context, trigger a correspondingly dramatic upward revision to forward estimates. CEO Lisa Su has publicly committed to a further doubling of data center sales in 2027. Three of the largest AI customers in the world — OpenAI, Meta, and Anthropic — have signed multi-year, multi-gigawatt supply commitments backed by equity warrants. EPYC server CPU revenue share passed 46% in Q1 2026, meaning AMD now generates more server CPU revenue than Intel, a position that would have been unimaginable a decade ago.</w:t>
      </w:r>
    </w:p>
    <w:p w14:paraId="4243E589" w14:textId="77777777" w:rsidR="00AC30F5" w:rsidRDefault="00000000">
      <w:pPr>
        <w:spacing w:after="80"/>
        <w:jc w:val="both"/>
      </w:pPr>
      <w:r>
        <w:t>And yet, at $480 per share, AMD's stock trades at a valuation that no defensible analytical framework can support. The discounted cash flow model, even after generous revisions to reflect the H1 2026 beats and the 2027 doubling guidance, implies an intrinsic value of $58 to $90 per share — 81% to 88% below the current market price. The relative valuation cross-check, which broadly supported the market price as recently as January 2026, now shows AMD trading at a premium to even NVIDIA's elevated multiples. The reverse DCF reveals that the market is pricing in a 2030 free cash flow of approximately $163B, a figure that would require AMD to capture over half of the forecast $1 trillion compute market opportunity at industry-leading margins — an outcome that, while not literally impossible, lies well outside the range of any defensible scenario.</w:t>
      </w:r>
    </w:p>
    <w:p w14:paraId="41C981E6" w14:textId="77777777" w:rsidR="00AC30F5" w:rsidRDefault="00000000">
      <w:pPr>
        <w:spacing w:after="80"/>
        <w:jc w:val="both"/>
      </w:pPr>
      <w:r>
        <w:t>This note attempts to resolve that paradox, or at least to frame it honestly. The central thesis is that AMD's business improvement is real and material, but the market price has moved beyond even the most optimistic defensible interpretation of that improvement. The gap between intrinsic value ($58-$90) and market price ($480) is too wide to be explained by reasonable parameter adjustments within any conventional valuation framework, and reflects an explicit market bet on AI scenario outcomes that, while conceivable, cannot be reconciled with discounted cash flow analysis. Whether the market is ultimately right or wrong is a separate question; the analytical task here is to make the market's implicit assumptions explicit, auditable, and comparable to a defensible baseline.</w:t>
      </w:r>
    </w:p>
    <w:p w14:paraId="6A89392E" w14:textId="77777777" w:rsidR="00AC30F5" w:rsidRDefault="00000000">
      <w:pPr>
        <w:pStyle w:val="Heading1"/>
      </w:pPr>
      <w:r>
        <w:lastRenderedPageBreak/>
        <w:t>Background &amp; Context</w:t>
      </w:r>
    </w:p>
    <w:p w14:paraId="2D6397BE" w14:textId="77777777" w:rsidR="00AC30F5" w:rsidRDefault="00000000">
      <w:pPr>
        <w:pStyle w:val="Heading2"/>
      </w:pPr>
      <w:r>
        <w:t>Company Overview</w:t>
      </w:r>
    </w:p>
    <w:p w14:paraId="60C11B6E" w14:textId="77777777" w:rsidR="00AC30F5" w:rsidRDefault="00000000">
      <w:pPr>
        <w:spacing w:after="80"/>
        <w:jc w:val="both"/>
      </w:pPr>
      <w:r>
        <w:t>Advanced Micro Devices, Inc. (AMD) is a fabless semiconductor designer headquartered in Santa Clara, California. Founded in 1969, AMD spent most of its first four decades as the secondary x86 CPU supplier to Intel, with periodic cycles of technological competitiveness followed by extended periods of market share loss. The company's strategic trajectory changed materially following the appointment of Dr. Lisa Su as President and CEO in October 2014. Under her leadership, AMD executed a multi-year turnaround built around three pillars: a refocused product roadmap centered on the Zen microarchitecture for x86 CPUs; a disciplined outsourcing of leading-edge manufacturing to TSMC, which freed AMD from the capital intensity that had structurally disadvantaged Intel; and a series of strategic acquisitions that broadened AMD's total addressable market beyond traditional CPUs into GPUs, field-programmable gate arrays (FPGAs), and adaptive computing.</w:t>
      </w:r>
    </w:p>
    <w:p w14:paraId="6B4628C5" w14:textId="77777777" w:rsidR="00AC30F5" w:rsidRDefault="00000000">
      <w:pPr>
        <w:spacing w:after="80"/>
        <w:jc w:val="both"/>
      </w:pPr>
      <w:r>
        <w:t>Today, AMD reports three operating segments effective FY2025: Data Center (EPYC server CPUs and Instinct MI-series GPU accelerators); Client and Gaming (Ryzen consumer CPUs, Radeon discrete GPUs, and semi-custom console SoCs for Microsoft Xbox and Sony PlayStation); and Embedded (Xilinx FPGAs and Pensando data processing units, or DPUs). The Data Center segment is the principal growth engine and the principal driver of the market's AI-driven re-rating, representing approximately 48% of FY2025 revenue and carrying the highest gross margins in the portfolio. The company's market capitalization at the $480 reference price is approximately $785B, making it one of the largest publicly traded semiconductor companies in the world.</w:t>
      </w:r>
    </w:p>
    <w:p w14:paraId="7D96F749" w14:textId="77777777" w:rsidR="00AC30F5" w:rsidRDefault="00000000">
      <w:pPr>
        <w:pStyle w:val="Heading2"/>
      </w:pPr>
      <w:r>
        <w:t>Strategic Acquisitions and Partnerships</w:t>
      </w:r>
    </w:p>
    <w:p w14:paraId="2399B71D" w14:textId="77777777" w:rsidR="00AC30F5" w:rsidRDefault="00000000">
      <w:pPr>
        <w:spacing w:after="80"/>
        <w:jc w:val="both"/>
      </w:pPr>
      <w:r>
        <w:t>Three corporate transactions materially shape the AMD analyzed in this note. The Xilinx acquisition, completed 14 February 2022 in an all-stock transaction valued at approximately $48.8B ($48.5B of equity consideration plus $275M of assumed compensation), was the largest semiconductor deal in history at the time and is the primary driver of the elevated amortization of acquired intangibles that will persist through the forecast horizon. The Pensando acquisition, completed 26 May 2022, added DPU technology that complements the data center networking stack. The ZT Systems acquisition, announced 19 August 2024 for $4.9B in cash and stock and closed 31 March 2025, added hyperscale-scale server system design and integration capabilities; AMD subsequently divested ZT Systems' data center infrastructure manufacturing business to Sanmina on 19 May 2025, retaining the design and engineering teams while outsourcing the lower-margin manufacturing function.</w:t>
      </w:r>
    </w:p>
    <w:p w14:paraId="5B12964C" w14:textId="77777777" w:rsidR="00AC30F5" w:rsidRDefault="00000000">
      <w:pPr>
        <w:spacing w:after="80"/>
        <w:jc w:val="both"/>
      </w:pPr>
      <w:r>
        <w:t>Most consequential for the valuation are the OpenAI and Meta warrant arrangements. Under the OpenAI strategic partnership announced 6 October 2025, AMD issued OpenAI a warrant to purchase up to 160 million shares of AMD common stock at $0.01 per share, vesting against a multi-year commitment of up to 6 gigawatts of AMD Instinct GPU capacity, beginning with 1 gigawatt in 2026. Critically, the warrant vesting is subject to three cumulative conditions: (i) deployment milestones tied to the 6 GW commitment, (ii) AMD share-price hurdles escalating to $600 per share for the final tranche, and (iii) additional technical and commercial conditions (the specific intermediate price thresholds are not publicly disclosed). A second, structurally similar 160M-share warrant was issued to Meta on 24 February 2026, expiring February 2031. If both warrants fully vest, combined dilution would total approximately 320M shares, or roughly 19.6% of AMD's current share base. This note treats the OpenAI warrant as fully diluted (1,796M total shares) for the base-case valuation, consistent with a conservative stance, and treats the Meta warrant as a contingent risk disclosed in the risk factors.</w:t>
      </w:r>
    </w:p>
    <w:p w14:paraId="731CB560" w14:textId="77777777" w:rsidR="00AC30F5" w:rsidRDefault="00000000">
      <w:pPr>
        <w:pStyle w:val="Heading2"/>
      </w:pPr>
      <w:r>
        <w:t>Industry and Competitive Position</w:t>
      </w:r>
    </w:p>
    <w:p w14:paraId="2F6726ED" w14:textId="77777777" w:rsidR="00AC30F5" w:rsidRDefault="00000000">
      <w:pPr>
        <w:spacing w:after="80"/>
        <w:jc w:val="both"/>
      </w:pPr>
      <w:r>
        <w:t xml:space="preserve">AMD competes on two distinct fronts, each with different competitive dynamics. In server CPUs, AMD's EPYC platform has taken share from Intel's Xeon for eight consecutive years, with Q1 2026 revenue share reaching 46.2% according to Mercury Research data — meaning AMD now generates more server CPU revenue than Intel, a position that would have been unimaginable when AMD held below 5% share in 2017. This share gain reflects the architectural advantage </w:t>
      </w:r>
      <w:r>
        <w:lastRenderedPageBreak/>
        <w:t>of AMD's chiplet-based design combined with TSMC's process leadership, which together allow EPYC to deliver higher core counts and superior performance per watt than Intel's monolithic Xeon dies. The competitive dynamic in server CPUs therefore favors AMD over the forecast horizon, and EPYC share gains are the most defensible element of AMD's competitive position.</w:t>
      </w:r>
    </w:p>
    <w:p w14:paraId="234D201A" w14:textId="77777777" w:rsidR="00AC30F5" w:rsidRDefault="00000000">
      <w:pPr>
        <w:spacing w:after="80"/>
        <w:jc w:val="both"/>
      </w:pPr>
      <w:r>
        <w:t>In data center GPUs, by contrast, AMD remains a distant second to NVIDIA, whose CUDA software ecosystem has accumulated over 15 years of developer lock-in and remains the de facto standard for AI training workloads. TechInsights estimates NVIDIA held approximately 65% of the $17.7B data center AI chip market in 2023, with AMD at approximately 11%; by 2025, NVIDIA's share of the discrete GPU market had risen to approximately 92% according to Carbon Credits. AMD's Instinct MI300, MI325X, and MI350 series represent the principal non-NVIDIA alternative at scale, and the company has committed to an annual cadence of new Instinct accelerators, with the MI400 series expected in the second half of 2026 on the CDNA Next architecture. Reports that the MI325X struggled to gain traction with large customers in mid-2025 illustrate the execution risk in converting hardware competitiveness into share gains against NVIDIA's software moat. The competitive dynamic in data center GPUs is therefore far less favorable to AMD than in server CPUs, and the forecast assumptions reflect this asymmetry.</w:t>
      </w:r>
    </w:p>
    <w:p w14:paraId="60D53C4B" w14:textId="77777777" w:rsidR="00AC30F5" w:rsidRDefault="00000000">
      <w:pPr>
        <w:pStyle w:val="Heading2"/>
      </w:pPr>
      <w:r>
        <w:t>The AI Accelerator Opportunity</w:t>
      </w:r>
    </w:p>
    <w:p w14:paraId="6F76E195" w14:textId="77777777" w:rsidR="00AC30F5" w:rsidRDefault="00000000">
      <w:pPr>
        <w:spacing w:after="80"/>
        <w:jc w:val="both"/>
      </w:pPr>
      <w:r>
        <w:t>AMD's own total addressable market (TAM) forecasts have been revised upward twice in the period covered by this note: from $400B AI accelerator TAM by 2027 (originally announced June 2025) to a $1 trillion broader compute market opportunity by 2030 (announced at the November 2025 Financial Analyst Day). Third-party estimates corroborate the direction if not always the magnitude: Jon Peddie Research estimated global AI infrastructure spending at $375B in 2025, rising to $500B in 2026; Precedence Research projects the data center GPU market growing from $21.8B in 2025 to $226.9B by 2035. Hyperscaler capital expenditure provides a direct demand signal: CreditSights estimates the five largest hyperscalers will deploy approximately $602B in capital expenditure in 2026, with Goldman Sachs forecasting $5.3 trillion in cumulative four-hyperscaler capex over the AI buildout cycle. It is important to note that the $1T TAM forecast is management-sourced and not independently verified; it may prove conservative or optimistic, and this uncertainty is relevant to the reverse DCF analysis in Section 5.</w:t>
      </w:r>
    </w:p>
    <w:p w14:paraId="3EB91740" w14:textId="77777777" w:rsidR="00AC30F5" w:rsidRDefault="00000000">
      <w:pPr>
        <w:pStyle w:val="Heading2"/>
      </w:pPr>
      <w:r>
        <w:t>Post-January 2026 Developments</w:t>
      </w:r>
    </w:p>
    <w:p w14:paraId="5DBDD17B" w14:textId="77777777" w:rsidR="00AC30F5" w:rsidRDefault="00000000">
      <w:pPr>
        <w:spacing w:after="80"/>
        <w:jc w:val="both"/>
      </w:pPr>
      <w:r>
        <w:t>Seven material developments between 30 January and 5 August 2026 drove AMD's price to roughly double. We document these because they are essential context for the valuation: the market's re-rating is not speculative but is grounded in concrete fundamental beats and strategic commitments. Critically, the doubling was AMD-specific: NVIDIA was essentially flat at +8.75% year-to-date over the same period, confirming this was a re-rating of AMD's specific competitive position rather than a sector-wide re-rating.</w:t>
      </w:r>
    </w:p>
    <w:p w14:paraId="561A56B7" w14:textId="77777777" w:rsidR="00AC30F5" w:rsidRDefault="00000000">
      <w:pPr>
        <w:spacing w:before="120" w:after="40"/>
      </w:pPr>
      <w:r>
        <w:rPr>
          <w:b/>
          <w:color w:val="1F4E78"/>
          <w:sz w:val="19"/>
        </w:rPr>
        <w:t>Table 1: Key Developments, 30 January – 5 August 2026</w:t>
      </w:r>
    </w:p>
    <w:tbl>
      <w:tblPr>
        <w:tblW w:w="0" w:type="auto"/>
        <w:jc w:val="center"/>
        <w:tblLook w:val="04A0" w:firstRow="1" w:lastRow="0" w:firstColumn="1" w:lastColumn="0" w:noHBand="0" w:noVBand="1"/>
      </w:tblPr>
      <w:tblGrid>
        <w:gridCol w:w="2550"/>
        <w:gridCol w:w="2550"/>
        <w:gridCol w:w="2550"/>
        <w:gridCol w:w="2550"/>
      </w:tblGrid>
      <w:tr w:rsidR="00AC30F5" w14:paraId="02F7B19E"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B7D8E0F" w14:textId="77777777" w:rsidR="00AC30F5" w:rsidRDefault="00000000">
            <w:pPr>
              <w:jc w:val="center"/>
            </w:pPr>
            <w:r>
              <w:rPr>
                <w:b/>
                <w:color w:val="FFFFFF"/>
                <w:sz w:val="17"/>
              </w:rPr>
              <w:t>Date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ABFBEA6" w14:textId="77777777" w:rsidR="00AC30F5" w:rsidRDefault="00000000">
            <w:pPr>
              <w:jc w:val="center"/>
            </w:pPr>
            <w:r>
              <w:rPr>
                <w:b/>
                <w:color w:val="FFFFFF"/>
                <w:sz w:val="17"/>
              </w:rPr>
              <w:t>Event</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901C10C" w14:textId="77777777" w:rsidR="00AC30F5" w:rsidRDefault="00000000">
            <w:pPr>
              <w:jc w:val="center"/>
            </w:pPr>
            <w:r>
              <w:rPr>
                <w:b/>
                <w:color w:val="FFFFFF"/>
                <w:sz w:val="17"/>
              </w:rPr>
              <w:t>Stock Impact</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3579B8F" w14:textId="77777777" w:rsidR="00AC30F5" w:rsidRDefault="00000000">
            <w:pPr>
              <w:jc w:val="center"/>
            </w:pPr>
            <w:r>
              <w:rPr>
                <w:b/>
                <w:color w:val="FFFFFF"/>
                <w:sz w:val="17"/>
              </w:rPr>
              <w:t>Fundamental Significance</w:t>
            </w:r>
          </w:p>
        </w:tc>
      </w:tr>
      <w:tr w:rsidR="00AC30F5" w14:paraId="28F4B437"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7365A6D4" w14:textId="77777777" w:rsidR="00AC30F5" w:rsidRDefault="00000000">
            <w:r>
              <w:rPr>
                <w:sz w:val="17"/>
              </w:rPr>
              <w:t>24 Feb 2026</w:t>
            </w:r>
          </w:p>
        </w:tc>
        <w:tc>
          <w:tcPr>
            <w:tcW w:w="2550" w:type="dxa"/>
            <w:tcBorders>
              <w:top w:val="single" w:sz="4" w:space="0" w:color="808080"/>
              <w:left w:val="single" w:sz="4" w:space="0" w:color="808080"/>
              <w:bottom w:val="single" w:sz="4" w:space="0" w:color="808080"/>
              <w:right w:val="single" w:sz="4" w:space="0" w:color="808080"/>
            </w:tcBorders>
            <w:vAlign w:val="center"/>
          </w:tcPr>
          <w:p w14:paraId="1DBE0835" w14:textId="77777777" w:rsidR="00AC30F5" w:rsidRDefault="00000000">
            <w:pPr>
              <w:jc w:val="center"/>
            </w:pPr>
            <w:r>
              <w:rPr>
                <w:sz w:val="17"/>
              </w:rPr>
              <w:t>Meta warrant deal ($60B / 5-year / 6 GW; 160M shares at $0.01 strike)</w:t>
            </w:r>
          </w:p>
        </w:tc>
        <w:tc>
          <w:tcPr>
            <w:tcW w:w="2550" w:type="dxa"/>
            <w:tcBorders>
              <w:top w:val="single" w:sz="4" w:space="0" w:color="808080"/>
              <w:left w:val="single" w:sz="4" w:space="0" w:color="808080"/>
              <w:bottom w:val="single" w:sz="4" w:space="0" w:color="808080"/>
              <w:right w:val="single" w:sz="4" w:space="0" w:color="808080"/>
            </w:tcBorders>
            <w:vAlign w:val="center"/>
          </w:tcPr>
          <w:p w14:paraId="1E4DA71B" w14:textId="77777777" w:rsidR="00AC30F5" w:rsidRDefault="00000000">
            <w:pPr>
              <w:jc w:val="center"/>
            </w:pPr>
            <w:r>
              <w:rPr>
                <w:sz w:val="17"/>
              </w:rPr>
              <w:t>+14%</w:t>
            </w:r>
          </w:p>
        </w:tc>
        <w:tc>
          <w:tcPr>
            <w:tcW w:w="2550" w:type="dxa"/>
            <w:tcBorders>
              <w:top w:val="single" w:sz="4" w:space="0" w:color="808080"/>
              <w:left w:val="single" w:sz="4" w:space="0" w:color="808080"/>
              <w:bottom w:val="single" w:sz="4" w:space="0" w:color="808080"/>
              <w:right w:val="single" w:sz="4" w:space="0" w:color="808080"/>
            </w:tcBorders>
            <w:vAlign w:val="center"/>
          </w:tcPr>
          <w:p w14:paraId="24108616" w14:textId="77777777" w:rsidR="00AC30F5" w:rsidRDefault="00000000">
            <w:pPr>
              <w:jc w:val="center"/>
            </w:pPr>
            <w:r>
              <w:rPr>
                <w:sz w:val="17"/>
              </w:rPr>
              <w:t>Second major hyperscaler commitment parallel to OpenAI structure</w:t>
            </w:r>
          </w:p>
        </w:tc>
      </w:tr>
      <w:tr w:rsidR="00AC30F5" w14:paraId="4AC832AD"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EB25AA0" w14:textId="77777777" w:rsidR="00AC30F5" w:rsidRDefault="00000000">
            <w:r>
              <w:rPr>
                <w:sz w:val="17"/>
              </w:rPr>
              <w:t>5 May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B4B9241" w14:textId="77777777" w:rsidR="00AC30F5" w:rsidRDefault="00000000">
            <w:pPr>
              <w:jc w:val="center"/>
            </w:pPr>
            <w:r>
              <w:rPr>
                <w:sz w:val="17"/>
              </w:rPr>
              <w:t>Q1 2026 earnings: Rev $10.25B (+3.6% beat); Data Center +57% YoY to $5.8B; Q2 guide $11.2B (+46% YoY); Lisa Su doubled server CPU TAM forecast to $120B by 2030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D369132" w14:textId="77777777" w:rsidR="00AC30F5" w:rsidRDefault="00000000">
            <w:pPr>
              <w:jc w:val="center"/>
            </w:pPr>
            <w:r>
              <w:rPr>
                <w:sz w:val="17"/>
              </w:rPr>
              <w:t>+16-19%</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16CECE1" w14:textId="77777777" w:rsidR="00AC30F5" w:rsidRDefault="00000000">
            <w:pPr>
              <w:jc w:val="center"/>
            </w:pPr>
            <w:r>
              <w:rPr>
                <w:sz w:val="17"/>
              </w:rPr>
              <w:t>First confirmation MI350 ramp delivering; expanded TAM</w:t>
            </w:r>
          </w:p>
        </w:tc>
      </w:tr>
      <w:tr w:rsidR="00AC30F5" w14:paraId="5FD6FC85"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7D4D06DD" w14:textId="77777777" w:rsidR="00AC30F5" w:rsidRDefault="00000000">
            <w:r>
              <w:rPr>
                <w:sz w:val="17"/>
              </w:rPr>
              <w:t>May 2026</w:t>
            </w:r>
          </w:p>
        </w:tc>
        <w:tc>
          <w:tcPr>
            <w:tcW w:w="2550" w:type="dxa"/>
            <w:tcBorders>
              <w:top w:val="single" w:sz="4" w:space="0" w:color="808080"/>
              <w:left w:val="single" w:sz="4" w:space="0" w:color="808080"/>
              <w:bottom w:val="single" w:sz="4" w:space="0" w:color="808080"/>
              <w:right w:val="single" w:sz="4" w:space="0" w:color="808080"/>
            </w:tcBorders>
            <w:vAlign w:val="center"/>
          </w:tcPr>
          <w:p w14:paraId="0F0D46CC" w14:textId="77777777" w:rsidR="00AC30F5" w:rsidRDefault="00000000">
            <w:pPr>
              <w:jc w:val="center"/>
            </w:pPr>
            <w:r>
              <w:rPr>
                <w:sz w:val="17"/>
              </w:rPr>
              <w:t xml:space="preserve">Analyst upgrade cascade: BofA $310 to $560; Morgan Stanley $255 to $410; Goldman upgraded </w:t>
            </w:r>
            <w:r>
              <w:rPr>
                <w:sz w:val="17"/>
              </w:rPr>
              <w:lastRenderedPageBreak/>
              <w:t>to Buy $450; consensus PT rose from $277 to $539</w:t>
            </w:r>
          </w:p>
        </w:tc>
        <w:tc>
          <w:tcPr>
            <w:tcW w:w="2550" w:type="dxa"/>
            <w:tcBorders>
              <w:top w:val="single" w:sz="4" w:space="0" w:color="808080"/>
              <w:left w:val="single" w:sz="4" w:space="0" w:color="808080"/>
              <w:bottom w:val="single" w:sz="4" w:space="0" w:color="808080"/>
              <w:right w:val="single" w:sz="4" w:space="0" w:color="808080"/>
            </w:tcBorders>
            <w:vAlign w:val="center"/>
          </w:tcPr>
          <w:p w14:paraId="0B61B2FD" w14:textId="77777777" w:rsidR="00AC30F5" w:rsidRDefault="00000000">
            <w:pPr>
              <w:jc w:val="center"/>
            </w:pPr>
            <w:r>
              <w:rPr>
                <w:sz w:val="17"/>
              </w:rPr>
              <w:lastRenderedPageBreak/>
              <w:t>Reinforcing</w:t>
            </w:r>
          </w:p>
        </w:tc>
        <w:tc>
          <w:tcPr>
            <w:tcW w:w="2550" w:type="dxa"/>
            <w:tcBorders>
              <w:top w:val="single" w:sz="4" w:space="0" w:color="808080"/>
              <w:left w:val="single" w:sz="4" w:space="0" w:color="808080"/>
              <w:bottom w:val="single" w:sz="4" w:space="0" w:color="808080"/>
              <w:right w:val="single" w:sz="4" w:space="0" w:color="808080"/>
            </w:tcBorders>
            <w:vAlign w:val="center"/>
          </w:tcPr>
          <w:p w14:paraId="3E1C5433" w14:textId="77777777" w:rsidR="00AC30F5" w:rsidRDefault="00000000">
            <w:pPr>
              <w:jc w:val="center"/>
            </w:pPr>
            <w:r>
              <w:rPr>
                <w:sz w:val="17"/>
              </w:rPr>
              <w:t>Sell-side consensus re-rated; legitimizes the price move</w:t>
            </w:r>
          </w:p>
        </w:tc>
      </w:tr>
      <w:tr w:rsidR="00AC30F5" w14:paraId="67E1CB53"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5A26BE8" w14:textId="77777777" w:rsidR="00AC30F5" w:rsidRDefault="00000000">
            <w:r>
              <w:rPr>
                <w:sz w:val="17"/>
              </w:rPr>
              <w:t>13 May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3128B35" w14:textId="77777777" w:rsidR="00AC30F5" w:rsidRDefault="00000000">
            <w:pPr>
              <w:jc w:val="center"/>
            </w:pPr>
            <w:r>
              <w:rPr>
                <w:sz w:val="17"/>
              </w:rPr>
              <w:t>Mercury Research: AMD EPYC server CPU revenue share 46.2% in Q1 2026 (+6.8pp YoY); 'effectively sold out through end of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7347A0" w14:textId="77777777" w:rsidR="00AC30F5" w:rsidRDefault="00000000">
            <w:pPr>
              <w:jc w:val="center"/>
            </w:pPr>
            <w:r>
              <w:rPr>
                <w:sz w:val="17"/>
              </w:rPr>
              <w:t>Positive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68F70A9" w14:textId="77777777" w:rsidR="00AC30F5" w:rsidRDefault="00000000">
            <w:pPr>
              <w:jc w:val="center"/>
            </w:pPr>
            <w:r>
              <w:rPr>
                <w:sz w:val="17"/>
              </w:rPr>
              <w:t>AMD now generates more server CPU revenue than Intel</w:t>
            </w:r>
          </w:p>
        </w:tc>
      </w:tr>
      <w:tr w:rsidR="00AC30F5" w14:paraId="6B403EC8"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C421760" w14:textId="77777777" w:rsidR="00AC30F5" w:rsidRDefault="00000000">
            <w:r>
              <w:rPr>
                <w:sz w:val="17"/>
              </w:rPr>
              <w:t>30 Jun 2026</w:t>
            </w:r>
          </w:p>
        </w:tc>
        <w:tc>
          <w:tcPr>
            <w:tcW w:w="2550" w:type="dxa"/>
            <w:tcBorders>
              <w:top w:val="single" w:sz="4" w:space="0" w:color="808080"/>
              <w:left w:val="single" w:sz="4" w:space="0" w:color="808080"/>
              <w:bottom w:val="single" w:sz="4" w:space="0" w:color="808080"/>
              <w:right w:val="single" w:sz="4" w:space="0" w:color="808080"/>
            </w:tcBorders>
            <w:vAlign w:val="center"/>
          </w:tcPr>
          <w:p w14:paraId="6E87B11D" w14:textId="77777777" w:rsidR="00AC30F5" w:rsidRDefault="00000000">
            <w:pPr>
              <w:jc w:val="center"/>
            </w:pPr>
            <w:r>
              <w:rPr>
                <w:sz w:val="17"/>
              </w:rPr>
              <w:t>Stock peaked at $584.73 (+147% YTD)</w:t>
            </w:r>
          </w:p>
        </w:tc>
        <w:tc>
          <w:tcPr>
            <w:tcW w:w="2550" w:type="dxa"/>
            <w:tcBorders>
              <w:top w:val="single" w:sz="4" w:space="0" w:color="808080"/>
              <w:left w:val="single" w:sz="4" w:space="0" w:color="808080"/>
              <w:bottom w:val="single" w:sz="4" w:space="0" w:color="808080"/>
              <w:right w:val="single" w:sz="4" w:space="0" w:color="808080"/>
            </w:tcBorders>
            <w:vAlign w:val="center"/>
          </w:tcPr>
          <w:p w14:paraId="66A28D4F" w14:textId="77777777" w:rsidR="00AC30F5" w:rsidRDefault="00000000">
            <w:pPr>
              <w:jc w:val="center"/>
            </w:pPr>
            <w:r>
              <w:rPr>
                <w:sz w:val="17"/>
              </w:rPr>
              <w:t>Peak</w:t>
            </w:r>
          </w:p>
        </w:tc>
        <w:tc>
          <w:tcPr>
            <w:tcW w:w="2550" w:type="dxa"/>
            <w:tcBorders>
              <w:top w:val="single" w:sz="4" w:space="0" w:color="808080"/>
              <w:left w:val="single" w:sz="4" w:space="0" w:color="808080"/>
              <w:bottom w:val="single" w:sz="4" w:space="0" w:color="808080"/>
              <w:right w:val="single" w:sz="4" w:space="0" w:color="808080"/>
            </w:tcBorders>
            <w:vAlign w:val="center"/>
          </w:tcPr>
          <w:p w14:paraId="0513FF92" w14:textId="77777777" w:rsidR="00AC30F5" w:rsidRDefault="00000000">
            <w:pPr>
              <w:jc w:val="center"/>
            </w:pPr>
            <w:r>
              <w:rPr>
                <w:sz w:val="17"/>
              </w:rPr>
              <w:t>Sentiment peak before Q2 results and pullback</w:t>
            </w:r>
          </w:p>
        </w:tc>
      </w:tr>
      <w:tr w:rsidR="00AC30F5" w14:paraId="0257F457"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AB56815" w14:textId="77777777" w:rsidR="00AC30F5" w:rsidRDefault="00000000">
            <w:r>
              <w:rPr>
                <w:sz w:val="17"/>
              </w:rPr>
              <w:t>20 Jul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C66B6FC" w14:textId="77777777" w:rsidR="00AC30F5" w:rsidRDefault="00000000">
            <w:pPr>
              <w:jc w:val="center"/>
            </w:pPr>
            <w:r>
              <w:rPr>
                <w:sz w:val="17"/>
              </w:rPr>
              <w:t>Helios rack-scale AI system launched (MI455X + EPYC Venice + networking; 64 GPUs/rack); Microsoft as first customer</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B86B4B8" w14:textId="77777777" w:rsidR="00AC30F5" w:rsidRDefault="00000000">
            <w:pPr>
              <w:jc w:val="center"/>
            </w:pPr>
            <w:r>
              <w:rPr>
                <w:sz w:val="17"/>
              </w:rPr>
              <w:t>+25% premarket</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CFC226" w14:textId="77777777" w:rsidR="00AC30F5" w:rsidRDefault="00000000">
            <w:pPr>
              <w:jc w:val="center"/>
            </w:pPr>
            <w:r>
              <w:rPr>
                <w:sz w:val="17"/>
              </w:rPr>
              <w:t>AMD enters rack-scale AI systems market; competes with NVIDIA DGX/GB200</w:t>
            </w:r>
          </w:p>
        </w:tc>
      </w:tr>
      <w:tr w:rsidR="00AC30F5" w14:paraId="4B6ABF2D"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03455A7E" w14:textId="77777777" w:rsidR="00AC30F5" w:rsidRDefault="00000000">
            <w:r>
              <w:rPr>
                <w:sz w:val="17"/>
              </w:rPr>
              <w:t>22-23 Jul 2026</w:t>
            </w:r>
          </w:p>
        </w:tc>
        <w:tc>
          <w:tcPr>
            <w:tcW w:w="2550" w:type="dxa"/>
            <w:tcBorders>
              <w:top w:val="single" w:sz="4" w:space="0" w:color="808080"/>
              <w:left w:val="single" w:sz="4" w:space="0" w:color="808080"/>
              <w:bottom w:val="single" w:sz="4" w:space="0" w:color="808080"/>
              <w:right w:val="single" w:sz="4" w:space="0" w:color="808080"/>
            </w:tcBorders>
            <w:vAlign w:val="center"/>
          </w:tcPr>
          <w:p w14:paraId="16AD3FB0" w14:textId="77777777" w:rsidR="00AC30F5" w:rsidRDefault="00000000">
            <w:pPr>
              <w:jc w:val="center"/>
            </w:pPr>
            <w:r>
              <w:rPr>
                <w:sz w:val="17"/>
              </w:rPr>
              <w:t>Anthropic deal: AMD invests up to $5B in Anthropic; Anthropic buys 2 GW of chips starting 2027; 'tens of billions' in server sales</w:t>
            </w:r>
          </w:p>
        </w:tc>
        <w:tc>
          <w:tcPr>
            <w:tcW w:w="2550" w:type="dxa"/>
            <w:tcBorders>
              <w:top w:val="single" w:sz="4" w:space="0" w:color="808080"/>
              <w:left w:val="single" w:sz="4" w:space="0" w:color="808080"/>
              <w:bottom w:val="single" w:sz="4" w:space="0" w:color="808080"/>
              <w:right w:val="single" w:sz="4" w:space="0" w:color="808080"/>
            </w:tcBorders>
            <w:vAlign w:val="center"/>
          </w:tcPr>
          <w:p w14:paraId="0F70F7FC" w14:textId="77777777" w:rsidR="00AC30F5" w:rsidRDefault="00000000">
            <w:pPr>
              <w:jc w:val="center"/>
            </w:pPr>
            <w:r>
              <w:rPr>
                <w:sz w:val="17"/>
              </w:rPr>
              <w:t>+10%</w:t>
            </w:r>
          </w:p>
        </w:tc>
        <w:tc>
          <w:tcPr>
            <w:tcW w:w="2550" w:type="dxa"/>
            <w:tcBorders>
              <w:top w:val="single" w:sz="4" w:space="0" w:color="808080"/>
              <w:left w:val="single" w:sz="4" w:space="0" w:color="808080"/>
              <w:bottom w:val="single" w:sz="4" w:space="0" w:color="808080"/>
              <w:right w:val="single" w:sz="4" w:space="0" w:color="808080"/>
            </w:tcBorders>
            <w:vAlign w:val="center"/>
          </w:tcPr>
          <w:p w14:paraId="7BE64179" w14:textId="77777777" w:rsidR="00AC30F5" w:rsidRDefault="00000000">
            <w:pPr>
              <w:jc w:val="center"/>
            </w:pPr>
            <w:r>
              <w:rPr>
                <w:sz w:val="17"/>
              </w:rPr>
              <w:t>Third major customer commitment; multi-year visibility</w:t>
            </w:r>
          </w:p>
        </w:tc>
      </w:tr>
      <w:tr w:rsidR="00AC30F5" w14:paraId="08221396"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93511AA" w14:textId="77777777" w:rsidR="00AC30F5" w:rsidRDefault="00000000">
            <w:r>
              <w:rPr>
                <w:sz w:val="17"/>
              </w:rPr>
              <w:t>4 Aug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3F38B4F" w14:textId="77777777" w:rsidR="00AC30F5" w:rsidRDefault="00000000">
            <w:pPr>
              <w:jc w:val="center"/>
            </w:pPr>
            <w:r>
              <w:rPr>
                <w:sz w:val="17"/>
              </w:rPr>
              <w:t>Q2 2026 earnings: Rev $11.54B (+50% YoY); Data Center $6.718B (+107% YoY — more than doubled); EPS $1.66 (+246%); Q3 guide $13B (beat $12.52B consensus); Lisa Su: 'data center sales to double again in 2027'</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344CC3" w14:textId="77777777" w:rsidR="00AC30F5" w:rsidRDefault="00000000">
            <w:pPr>
              <w:jc w:val="center"/>
            </w:pPr>
            <w:r>
              <w:rPr>
                <w:sz w:val="17"/>
              </w:rPr>
              <w:t>(7%) next day</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71A05F" w14:textId="77777777" w:rsidR="00AC30F5" w:rsidRDefault="00000000">
            <w:pPr>
              <w:jc w:val="center"/>
            </w:pPr>
            <w:r>
              <w:rPr>
                <w:sz w:val="17"/>
              </w:rPr>
              <w:t>DC more than doubled; stock fell on valuation mismatch concerns</w:t>
            </w:r>
          </w:p>
        </w:tc>
      </w:tr>
    </w:tbl>
    <w:p w14:paraId="1E562860" w14:textId="77777777" w:rsidR="00AC30F5" w:rsidRDefault="00AC30F5">
      <w:pPr>
        <w:spacing w:after="80"/>
      </w:pPr>
    </w:p>
    <w:p w14:paraId="6A57BE45" w14:textId="77777777" w:rsidR="00AC30F5" w:rsidRDefault="00000000">
      <w:pPr>
        <w:spacing w:after="80"/>
        <w:jc w:val="both"/>
      </w:pPr>
      <w:r>
        <w:t>The most consequential fundamental development is Lisa Su's guidance that data center sales will double again in 2027. Applied to the Q2 2026 annualized data center run rate of approximately $26B, this implies FY2027 data center revenue of approximately $52B — well above what a linear extrapolation of prior growth rates would suggest. This guidance directly informs the revised revenue assumptions in the upper-bound DCF scenario presented in Section 4.</w:t>
      </w:r>
    </w:p>
    <w:p w14:paraId="432B3D46" w14:textId="77777777" w:rsidR="00AC30F5" w:rsidRDefault="00000000">
      <w:pPr>
        <w:pStyle w:val="Heading1"/>
      </w:pPr>
      <w:r>
        <w:t>Historical Financial Analysis (FY2021-FY2025)</w:t>
      </w:r>
    </w:p>
    <w:p w14:paraId="6CDA88F5" w14:textId="77777777" w:rsidR="00AC30F5" w:rsidRDefault="00000000">
      <w:pPr>
        <w:pStyle w:val="Heading2"/>
      </w:pPr>
      <w:r>
        <w:t>Revenue and Growth Trajectory</w:t>
      </w:r>
    </w:p>
    <w:p w14:paraId="16C519BD" w14:textId="77777777" w:rsidR="00AC30F5" w:rsidRDefault="00000000">
      <w:pPr>
        <w:spacing w:after="80"/>
        <w:jc w:val="both"/>
      </w:pPr>
      <w:r>
        <w:t>AMD's revenue grew from $16.4B in FY2021 to $34.6B in FY2025, a compound annual growth rate of 20.5%. The trajectory was highly non-linear, reflecting both cyclical and structural forces. FY2022 revenue of $23.6B represented 43.6% year-over-year growth, of which approximately 25 percentage points was attributable to the consolidation of Xilinx revenue following the February 2022 acquisition close. FY2023 saw revenue decline 3.9% to $22.7B, driven by a sharp cyclical correction in client and gaming segments and an inventory digestion phase across the PC supply chain. FY2024 and FY2025 then saw revenue recover to $25.8B (+13.7%) and $34.6B (+34.3%) respectively, with the FY2025 acceleration driven principally by the Data Center segment ramping on the Instinct MI300 and MI350 accelerators alongside continued EPYC share gains. The segment mix shift over the historical period is strategically significant: by FY2025, the Data Center segment had become the largest single contributor at $16.6B, providing a higher-ASP, higher-margin foundation than the more cyclical Client and Gaming segments that dominated AMD's revenue profile in earlier years.</w:t>
      </w:r>
    </w:p>
    <w:p w14:paraId="22792F85" w14:textId="77777777" w:rsidR="00AC30F5" w:rsidRDefault="00000000">
      <w:pPr>
        <w:pStyle w:val="Heading2"/>
      </w:pPr>
      <w:r>
        <w:lastRenderedPageBreak/>
        <w:t>Profitability and Cash Flow</w:t>
      </w:r>
    </w:p>
    <w:p w14:paraId="1E20BC36" w14:textId="77777777" w:rsidR="00AC30F5" w:rsidRDefault="00000000">
      <w:pPr>
        <w:spacing w:after="80"/>
        <w:jc w:val="both"/>
      </w:pPr>
      <w:r>
        <w:t>AMD's gross margin exhibited substantial volatility over the historical period, ranging from 44.9% in FY2022 to 49.5% in FY2025. The FY2022 compression reflected the dilutive impact of consolidating Xilinx's lower-margin embedded revenue at the same time as amortization of acquired intangibles began to flow through cost of goods sold, combined with inventory charges and pricing actions in the Client and Gaming segments during the PC cyclical downturn. The recovery to 49.5% in FY2025 reflects the structural mix shift towards Data Center, where EPYC and Instinct products carry meaningfully higher gross margins than consumer client CPUs or semi-custom console SoCs. Reported operating income fell from $3.6B (22.2% margin) in FY2021 to just $0.4B (1.8% margin) in FY2023, before recovering to $3.7B (10.7% margin) in FY2025. The FY2023 trough was driven by $2.8B of acquired-intangible amortization; stripping out this non-cash charge, AMD's underlying FY2025 operating income was closer to $6.0B (17.3% margin), which better reflects the operating economics.</w:t>
      </w:r>
    </w:p>
    <w:p w14:paraId="68E1349D" w14:textId="77777777" w:rsidR="00AC30F5" w:rsidRDefault="00000000">
      <w:pPr>
        <w:spacing w:after="80"/>
        <w:jc w:val="both"/>
      </w:pPr>
      <w:r>
        <w:t>Free cash flow grew from $3.2B in FY2021 to $5.5B in FY2025, with a cyclical low of $1.1B in FY2023. Capital intensity, measured as capital expenditure as a percentage of revenue, ranged from 1.8% to 2.8% over the historical period — substantially below the 8% to 12% typical of integrated manufacturers such as Intel, reflecting AMD's asset-light fabless model. Stock-based compensation (SBC) grew from $379M in FY2021 to $1.6B in FY2025 (4.7% of revenue), and is treated as a real economic cost in the free cash flow calculation rather than as a non-cash add-back, consistent with the treatment in standard valuation practice (SBC represents a real transfer of value from existing shareholders to employees). The balance sheet at FY2025 year-end reflects a strong net cash position of $7.3B, with total stockholders' equity of $63.0B materially elevated by the goodwill and intangible assets recognized in the Xilinx and Pensando acquisitions.</w:t>
      </w:r>
    </w:p>
    <w:p w14:paraId="22AC5270" w14:textId="77777777" w:rsidR="00AC30F5" w:rsidRDefault="00000000">
      <w:pPr>
        <w:spacing w:before="120" w:after="40"/>
      </w:pPr>
      <w:r>
        <w:rPr>
          <w:b/>
          <w:color w:val="1F4E78"/>
          <w:sz w:val="19"/>
        </w:rPr>
        <w:t>Table 2: AMD Historical Financials, FY2021-FY2025 ($ in millions)</w:t>
      </w:r>
    </w:p>
    <w:tbl>
      <w:tblPr>
        <w:tblW w:w="0" w:type="auto"/>
        <w:jc w:val="center"/>
        <w:tblLook w:val="04A0" w:firstRow="1" w:lastRow="0" w:firstColumn="1" w:lastColumn="0" w:noHBand="0" w:noVBand="1"/>
      </w:tblPr>
      <w:tblGrid>
        <w:gridCol w:w="1700"/>
        <w:gridCol w:w="1700"/>
        <w:gridCol w:w="1700"/>
        <w:gridCol w:w="1700"/>
        <w:gridCol w:w="1700"/>
        <w:gridCol w:w="1700"/>
      </w:tblGrid>
      <w:tr w:rsidR="00AC30F5" w14:paraId="40B48711"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7E35FA4" w14:textId="77777777" w:rsidR="00AC30F5" w:rsidRDefault="00000000">
            <w:pPr>
              <w:jc w:val="center"/>
            </w:pPr>
            <w:r>
              <w:rPr>
                <w:b/>
                <w:color w:val="FFFFFF"/>
                <w:sz w:val="17"/>
              </w:rPr>
              <w:t>Line Item</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8D8DEF5" w14:textId="77777777" w:rsidR="00AC30F5" w:rsidRDefault="00000000">
            <w:pPr>
              <w:jc w:val="center"/>
            </w:pPr>
            <w:r>
              <w:rPr>
                <w:b/>
                <w:color w:val="FFFFFF"/>
                <w:sz w:val="17"/>
              </w:rPr>
              <w:t>FY2021</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32EE48AD" w14:textId="77777777" w:rsidR="00AC30F5" w:rsidRDefault="00000000">
            <w:pPr>
              <w:jc w:val="center"/>
            </w:pPr>
            <w:r>
              <w:rPr>
                <w:b/>
                <w:color w:val="FFFFFF"/>
                <w:sz w:val="17"/>
              </w:rPr>
              <w:t>FY2022</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A66EF6F" w14:textId="77777777" w:rsidR="00AC30F5" w:rsidRDefault="00000000">
            <w:pPr>
              <w:jc w:val="center"/>
            </w:pPr>
            <w:r>
              <w:rPr>
                <w:b/>
                <w:color w:val="FFFFFF"/>
                <w:sz w:val="17"/>
              </w:rPr>
              <w:t>FY2023</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9FC6651" w14:textId="77777777" w:rsidR="00AC30F5" w:rsidRDefault="00000000">
            <w:pPr>
              <w:jc w:val="center"/>
            </w:pPr>
            <w:r>
              <w:rPr>
                <w:b/>
                <w:color w:val="FFFFFF"/>
                <w:sz w:val="17"/>
              </w:rPr>
              <w:t>FY2024</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2EE07F8" w14:textId="77777777" w:rsidR="00AC30F5" w:rsidRDefault="00000000">
            <w:pPr>
              <w:jc w:val="center"/>
            </w:pPr>
            <w:r>
              <w:rPr>
                <w:b/>
                <w:color w:val="FFFFFF"/>
                <w:sz w:val="17"/>
              </w:rPr>
              <w:t>FY2025</w:t>
            </w:r>
          </w:p>
        </w:tc>
      </w:tr>
      <w:tr w:rsidR="00AC30F5" w14:paraId="55EDBB16"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68AE6613" w14:textId="77777777" w:rsidR="00AC30F5" w:rsidRDefault="00000000">
            <w:r>
              <w:rPr>
                <w:sz w:val="17"/>
              </w:rPr>
              <w:t>Net Revenue</w:t>
            </w:r>
          </w:p>
        </w:tc>
        <w:tc>
          <w:tcPr>
            <w:tcW w:w="1700" w:type="dxa"/>
            <w:tcBorders>
              <w:top w:val="single" w:sz="4" w:space="0" w:color="808080"/>
              <w:left w:val="single" w:sz="4" w:space="0" w:color="808080"/>
              <w:bottom w:val="single" w:sz="4" w:space="0" w:color="808080"/>
              <w:right w:val="single" w:sz="4" w:space="0" w:color="808080"/>
            </w:tcBorders>
            <w:vAlign w:val="center"/>
          </w:tcPr>
          <w:p w14:paraId="058ECB03" w14:textId="77777777" w:rsidR="00AC30F5" w:rsidRDefault="00000000">
            <w:pPr>
              <w:jc w:val="center"/>
            </w:pPr>
            <w:r>
              <w:rPr>
                <w:sz w:val="17"/>
              </w:rPr>
              <w:t>16,434</w:t>
            </w:r>
          </w:p>
        </w:tc>
        <w:tc>
          <w:tcPr>
            <w:tcW w:w="1700" w:type="dxa"/>
            <w:tcBorders>
              <w:top w:val="single" w:sz="4" w:space="0" w:color="808080"/>
              <w:left w:val="single" w:sz="4" w:space="0" w:color="808080"/>
              <w:bottom w:val="single" w:sz="4" w:space="0" w:color="808080"/>
              <w:right w:val="single" w:sz="4" w:space="0" w:color="808080"/>
            </w:tcBorders>
            <w:vAlign w:val="center"/>
          </w:tcPr>
          <w:p w14:paraId="520ED8FA" w14:textId="77777777" w:rsidR="00AC30F5" w:rsidRDefault="00000000">
            <w:pPr>
              <w:jc w:val="center"/>
            </w:pPr>
            <w:r>
              <w:rPr>
                <w:sz w:val="17"/>
              </w:rPr>
              <w:t>23,601</w:t>
            </w:r>
          </w:p>
        </w:tc>
        <w:tc>
          <w:tcPr>
            <w:tcW w:w="1700" w:type="dxa"/>
            <w:tcBorders>
              <w:top w:val="single" w:sz="4" w:space="0" w:color="808080"/>
              <w:left w:val="single" w:sz="4" w:space="0" w:color="808080"/>
              <w:bottom w:val="single" w:sz="4" w:space="0" w:color="808080"/>
              <w:right w:val="single" w:sz="4" w:space="0" w:color="808080"/>
            </w:tcBorders>
            <w:vAlign w:val="center"/>
          </w:tcPr>
          <w:p w14:paraId="1EA6D314" w14:textId="77777777" w:rsidR="00AC30F5" w:rsidRDefault="00000000">
            <w:pPr>
              <w:jc w:val="center"/>
            </w:pPr>
            <w:r>
              <w:rPr>
                <w:sz w:val="17"/>
              </w:rPr>
              <w:t>22,680</w:t>
            </w:r>
          </w:p>
        </w:tc>
        <w:tc>
          <w:tcPr>
            <w:tcW w:w="1700" w:type="dxa"/>
            <w:tcBorders>
              <w:top w:val="single" w:sz="4" w:space="0" w:color="808080"/>
              <w:left w:val="single" w:sz="4" w:space="0" w:color="808080"/>
              <w:bottom w:val="single" w:sz="4" w:space="0" w:color="808080"/>
              <w:right w:val="single" w:sz="4" w:space="0" w:color="808080"/>
            </w:tcBorders>
            <w:vAlign w:val="center"/>
          </w:tcPr>
          <w:p w14:paraId="00FC5B18" w14:textId="77777777" w:rsidR="00AC30F5" w:rsidRDefault="00000000">
            <w:pPr>
              <w:jc w:val="center"/>
            </w:pPr>
            <w:r>
              <w:rPr>
                <w:sz w:val="17"/>
              </w:rPr>
              <w:t>25,785</w:t>
            </w:r>
          </w:p>
        </w:tc>
        <w:tc>
          <w:tcPr>
            <w:tcW w:w="1700" w:type="dxa"/>
            <w:tcBorders>
              <w:top w:val="single" w:sz="4" w:space="0" w:color="808080"/>
              <w:left w:val="single" w:sz="4" w:space="0" w:color="808080"/>
              <w:bottom w:val="single" w:sz="4" w:space="0" w:color="808080"/>
              <w:right w:val="single" w:sz="4" w:space="0" w:color="808080"/>
            </w:tcBorders>
            <w:vAlign w:val="center"/>
          </w:tcPr>
          <w:p w14:paraId="6C3F5D5D" w14:textId="77777777" w:rsidR="00AC30F5" w:rsidRDefault="00000000">
            <w:pPr>
              <w:jc w:val="center"/>
            </w:pPr>
            <w:r>
              <w:rPr>
                <w:sz w:val="17"/>
              </w:rPr>
              <w:t>34,639</w:t>
            </w:r>
          </w:p>
        </w:tc>
      </w:tr>
      <w:tr w:rsidR="00AC30F5" w14:paraId="01508ED3"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C2F1B94" w14:textId="77777777" w:rsidR="00AC30F5" w:rsidRDefault="00000000">
            <w:r>
              <w:rPr>
                <w:sz w:val="17"/>
              </w:rPr>
              <w:t>Revenue YoY Growth</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641B569" w14:textId="77777777" w:rsidR="00AC30F5" w:rsidRDefault="00000000">
            <w:pPr>
              <w:jc w:val="center"/>
            </w:pPr>
            <w:r>
              <w:rPr>
                <w:sz w:val="17"/>
              </w:rPr>
              <w:t>68.3%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1D96346" w14:textId="77777777" w:rsidR="00AC30F5" w:rsidRDefault="00000000">
            <w:pPr>
              <w:jc w:val="center"/>
            </w:pPr>
            <w:r>
              <w:rPr>
                <w:sz w:val="17"/>
              </w:rPr>
              <w:t>43.6%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C23E02" w14:textId="77777777" w:rsidR="00AC30F5" w:rsidRDefault="00000000">
            <w:pPr>
              <w:jc w:val="center"/>
            </w:pPr>
            <w:r>
              <w:rPr>
                <w:sz w:val="17"/>
              </w:rPr>
              <w:t>(3.9%)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5D1BACD" w14:textId="77777777" w:rsidR="00AC30F5" w:rsidRDefault="00000000">
            <w:pPr>
              <w:jc w:val="center"/>
            </w:pPr>
            <w:r>
              <w:rPr>
                <w:sz w:val="17"/>
              </w:rPr>
              <w:t>13.7%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9F82FDA" w14:textId="77777777" w:rsidR="00AC30F5" w:rsidRDefault="00000000">
            <w:pPr>
              <w:jc w:val="center"/>
            </w:pPr>
            <w:r>
              <w:rPr>
                <w:sz w:val="17"/>
              </w:rPr>
              <w:t>34.3%</w:t>
            </w:r>
          </w:p>
        </w:tc>
      </w:tr>
      <w:tr w:rsidR="00AC30F5" w14:paraId="66195CF0"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A83D2DA" w14:textId="77777777" w:rsidR="00AC30F5" w:rsidRDefault="00000000">
            <w:r>
              <w:rPr>
                <w:sz w:val="17"/>
              </w:rPr>
              <w:t>Gross Profit</w:t>
            </w:r>
          </w:p>
        </w:tc>
        <w:tc>
          <w:tcPr>
            <w:tcW w:w="1700" w:type="dxa"/>
            <w:tcBorders>
              <w:top w:val="single" w:sz="4" w:space="0" w:color="808080"/>
              <w:left w:val="single" w:sz="4" w:space="0" w:color="808080"/>
              <w:bottom w:val="single" w:sz="4" w:space="0" w:color="808080"/>
              <w:right w:val="single" w:sz="4" w:space="0" w:color="808080"/>
            </w:tcBorders>
            <w:vAlign w:val="center"/>
          </w:tcPr>
          <w:p w14:paraId="7E3CB063" w14:textId="77777777" w:rsidR="00AC30F5" w:rsidRDefault="00000000">
            <w:pPr>
              <w:jc w:val="center"/>
            </w:pPr>
            <w:r>
              <w:rPr>
                <w:sz w:val="17"/>
              </w:rPr>
              <w:t>7,929</w:t>
            </w:r>
          </w:p>
        </w:tc>
        <w:tc>
          <w:tcPr>
            <w:tcW w:w="1700" w:type="dxa"/>
            <w:tcBorders>
              <w:top w:val="single" w:sz="4" w:space="0" w:color="808080"/>
              <w:left w:val="single" w:sz="4" w:space="0" w:color="808080"/>
              <w:bottom w:val="single" w:sz="4" w:space="0" w:color="808080"/>
              <w:right w:val="single" w:sz="4" w:space="0" w:color="808080"/>
            </w:tcBorders>
            <w:vAlign w:val="center"/>
          </w:tcPr>
          <w:p w14:paraId="7947BE55" w14:textId="77777777" w:rsidR="00AC30F5" w:rsidRDefault="00000000">
            <w:pPr>
              <w:jc w:val="center"/>
            </w:pPr>
            <w:r>
              <w:rPr>
                <w:sz w:val="17"/>
              </w:rPr>
              <w:t>10,603</w:t>
            </w:r>
          </w:p>
        </w:tc>
        <w:tc>
          <w:tcPr>
            <w:tcW w:w="1700" w:type="dxa"/>
            <w:tcBorders>
              <w:top w:val="single" w:sz="4" w:space="0" w:color="808080"/>
              <w:left w:val="single" w:sz="4" w:space="0" w:color="808080"/>
              <w:bottom w:val="single" w:sz="4" w:space="0" w:color="808080"/>
              <w:right w:val="single" w:sz="4" w:space="0" w:color="808080"/>
            </w:tcBorders>
            <w:vAlign w:val="center"/>
          </w:tcPr>
          <w:p w14:paraId="505DCEEB" w14:textId="77777777" w:rsidR="00AC30F5" w:rsidRDefault="00000000">
            <w:pPr>
              <w:jc w:val="center"/>
            </w:pPr>
            <w:r>
              <w:rPr>
                <w:sz w:val="17"/>
              </w:rPr>
              <w:t>10,460</w:t>
            </w:r>
          </w:p>
        </w:tc>
        <w:tc>
          <w:tcPr>
            <w:tcW w:w="1700" w:type="dxa"/>
            <w:tcBorders>
              <w:top w:val="single" w:sz="4" w:space="0" w:color="808080"/>
              <w:left w:val="single" w:sz="4" w:space="0" w:color="808080"/>
              <w:bottom w:val="single" w:sz="4" w:space="0" w:color="808080"/>
              <w:right w:val="single" w:sz="4" w:space="0" w:color="808080"/>
            </w:tcBorders>
            <w:vAlign w:val="center"/>
          </w:tcPr>
          <w:p w14:paraId="39D7F9F1" w14:textId="77777777" w:rsidR="00AC30F5" w:rsidRDefault="00000000">
            <w:pPr>
              <w:jc w:val="center"/>
            </w:pPr>
            <w:r>
              <w:rPr>
                <w:sz w:val="17"/>
              </w:rPr>
              <w:t>12,725</w:t>
            </w:r>
          </w:p>
        </w:tc>
        <w:tc>
          <w:tcPr>
            <w:tcW w:w="1700" w:type="dxa"/>
            <w:tcBorders>
              <w:top w:val="single" w:sz="4" w:space="0" w:color="808080"/>
              <w:left w:val="single" w:sz="4" w:space="0" w:color="808080"/>
              <w:bottom w:val="single" w:sz="4" w:space="0" w:color="808080"/>
              <w:right w:val="single" w:sz="4" w:space="0" w:color="808080"/>
            </w:tcBorders>
            <w:vAlign w:val="center"/>
          </w:tcPr>
          <w:p w14:paraId="2D9C73F6" w14:textId="77777777" w:rsidR="00AC30F5" w:rsidRDefault="00000000">
            <w:pPr>
              <w:jc w:val="center"/>
            </w:pPr>
            <w:r>
              <w:rPr>
                <w:sz w:val="17"/>
              </w:rPr>
              <w:t>17,152</w:t>
            </w:r>
          </w:p>
        </w:tc>
      </w:tr>
      <w:tr w:rsidR="00AC30F5" w14:paraId="06EAD045"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60F4258" w14:textId="77777777" w:rsidR="00AC30F5" w:rsidRDefault="00000000">
            <w:r>
              <w:rPr>
                <w:sz w:val="17"/>
              </w:rPr>
              <w:t>Gross Margin</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711E08" w14:textId="77777777" w:rsidR="00AC30F5" w:rsidRDefault="00000000">
            <w:pPr>
              <w:jc w:val="center"/>
            </w:pPr>
            <w:r>
              <w:rPr>
                <w:sz w:val="17"/>
              </w:rPr>
              <w:t>48.2%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9A00B0" w14:textId="77777777" w:rsidR="00AC30F5" w:rsidRDefault="00000000">
            <w:pPr>
              <w:jc w:val="center"/>
            </w:pPr>
            <w:r>
              <w:rPr>
                <w:sz w:val="17"/>
              </w:rPr>
              <w:t>44.9%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7190302" w14:textId="77777777" w:rsidR="00AC30F5" w:rsidRDefault="00000000">
            <w:pPr>
              <w:jc w:val="center"/>
            </w:pPr>
            <w:r>
              <w:rPr>
                <w:sz w:val="17"/>
              </w:rPr>
              <w:t>46.1%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5951781" w14:textId="77777777" w:rsidR="00AC30F5" w:rsidRDefault="00000000">
            <w:pPr>
              <w:jc w:val="center"/>
            </w:pPr>
            <w:r>
              <w:rPr>
                <w:sz w:val="17"/>
              </w:rPr>
              <w:t>49.4%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3B3770C" w14:textId="77777777" w:rsidR="00AC30F5" w:rsidRDefault="00000000">
            <w:pPr>
              <w:jc w:val="center"/>
            </w:pPr>
            <w:r>
              <w:rPr>
                <w:sz w:val="17"/>
              </w:rPr>
              <w:t>49.5%</w:t>
            </w:r>
          </w:p>
        </w:tc>
      </w:tr>
      <w:tr w:rsidR="00AC30F5" w14:paraId="6E007235"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7944906C" w14:textId="77777777" w:rsidR="00AC30F5" w:rsidRDefault="00000000">
            <w:r>
              <w:rPr>
                <w:sz w:val="17"/>
              </w:rPr>
              <w:t>R&amp;D Expense</w:t>
            </w:r>
          </w:p>
        </w:tc>
        <w:tc>
          <w:tcPr>
            <w:tcW w:w="1700" w:type="dxa"/>
            <w:tcBorders>
              <w:top w:val="single" w:sz="4" w:space="0" w:color="808080"/>
              <w:left w:val="single" w:sz="4" w:space="0" w:color="808080"/>
              <w:bottom w:val="single" w:sz="4" w:space="0" w:color="808080"/>
              <w:right w:val="single" w:sz="4" w:space="0" w:color="808080"/>
            </w:tcBorders>
            <w:vAlign w:val="center"/>
          </w:tcPr>
          <w:p w14:paraId="566589A0" w14:textId="77777777" w:rsidR="00AC30F5" w:rsidRDefault="00000000">
            <w:pPr>
              <w:jc w:val="center"/>
            </w:pPr>
            <w:r>
              <w:rPr>
                <w:sz w:val="17"/>
              </w:rPr>
              <w:t>2,845</w:t>
            </w:r>
          </w:p>
        </w:tc>
        <w:tc>
          <w:tcPr>
            <w:tcW w:w="1700" w:type="dxa"/>
            <w:tcBorders>
              <w:top w:val="single" w:sz="4" w:space="0" w:color="808080"/>
              <w:left w:val="single" w:sz="4" w:space="0" w:color="808080"/>
              <w:bottom w:val="single" w:sz="4" w:space="0" w:color="808080"/>
              <w:right w:val="single" w:sz="4" w:space="0" w:color="808080"/>
            </w:tcBorders>
            <w:vAlign w:val="center"/>
          </w:tcPr>
          <w:p w14:paraId="105DABD9" w14:textId="77777777" w:rsidR="00AC30F5" w:rsidRDefault="00000000">
            <w:pPr>
              <w:jc w:val="center"/>
            </w:pPr>
            <w:r>
              <w:rPr>
                <w:sz w:val="17"/>
              </w:rPr>
              <w:t>5,005</w:t>
            </w:r>
          </w:p>
        </w:tc>
        <w:tc>
          <w:tcPr>
            <w:tcW w:w="1700" w:type="dxa"/>
            <w:tcBorders>
              <w:top w:val="single" w:sz="4" w:space="0" w:color="808080"/>
              <w:left w:val="single" w:sz="4" w:space="0" w:color="808080"/>
              <w:bottom w:val="single" w:sz="4" w:space="0" w:color="808080"/>
              <w:right w:val="single" w:sz="4" w:space="0" w:color="808080"/>
            </w:tcBorders>
            <w:vAlign w:val="center"/>
          </w:tcPr>
          <w:p w14:paraId="74966CCF" w14:textId="77777777" w:rsidR="00AC30F5" w:rsidRDefault="00000000">
            <w:pPr>
              <w:jc w:val="center"/>
            </w:pPr>
            <w:r>
              <w:rPr>
                <w:sz w:val="17"/>
              </w:rPr>
              <w:t>5,872</w:t>
            </w:r>
          </w:p>
        </w:tc>
        <w:tc>
          <w:tcPr>
            <w:tcW w:w="1700" w:type="dxa"/>
            <w:tcBorders>
              <w:top w:val="single" w:sz="4" w:space="0" w:color="808080"/>
              <w:left w:val="single" w:sz="4" w:space="0" w:color="808080"/>
              <w:bottom w:val="single" w:sz="4" w:space="0" w:color="808080"/>
              <w:right w:val="single" w:sz="4" w:space="0" w:color="808080"/>
            </w:tcBorders>
            <w:vAlign w:val="center"/>
          </w:tcPr>
          <w:p w14:paraId="49D93E41" w14:textId="77777777" w:rsidR="00AC30F5" w:rsidRDefault="00000000">
            <w:pPr>
              <w:jc w:val="center"/>
            </w:pPr>
            <w:r>
              <w:rPr>
                <w:sz w:val="17"/>
              </w:rPr>
              <w:t>6,456</w:t>
            </w:r>
          </w:p>
        </w:tc>
        <w:tc>
          <w:tcPr>
            <w:tcW w:w="1700" w:type="dxa"/>
            <w:tcBorders>
              <w:top w:val="single" w:sz="4" w:space="0" w:color="808080"/>
              <w:left w:val="single" w:sz="4" w:space="0" w:color="808080"/>
              <w:bottom w:val="single" w:sz="4" w:space="0" w:color="808080"/>
              <w:right w:val="single" w:sz="4" w:space="0" w:color="808080"/>
            </w:tcBorders>
            <w:vAlign w:val="center"/>
          </w:tcPr>
          <w:p w14:paraId="2E362399" w14:textId="77777777" w:rsidR="00AC30F5" w:rsidRDefault="00000000">
            <w:pPr>
              <w:jc w:val="center"/>
            </w:pPr>
            <w:r>
              <w:rPr>
                <w:sz w:val="17"/>
              </w:rPr>
              <w:t>8,091</w:t>
            </w:r>
          </w:p>
        </w:tc>
      </w:tr>
      <w:tr w:rsidR="00AC30F5" w14:paraId="066908B6"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22A3BFD" w14:textId="77777777" w:rsidR="00AC30F5" w:rsidRDefault="00000000">
            <w:r>
              <w:rPr>
                <w:sz w:val="17"/>
              </w:rPr>
              <w:t>Operating Income</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4C1F91" w14:textId="77777777" w:rsidR="00AC30F5" w:rsidRDefault="00000000">
            <w:pPr>
              <w:jc w:val="center"/>
            </w:pPr>
            <w:r>
              <w:rPr>
                <w:sz w:val="17"/>
              </w:rPr>
              <w:t>3,648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63E288" w14:textId="77777777" w:rsidR="00AC30F5" w:rsidRDefault="00000000">
            <w:pPr>
              <w:jc w:val="center"/>
            </w:pPr>
            <w:r>
              <w:rPr>
                <w:sz w:val="17"/>
              </w:rPr>
              <w:t>1,264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AF6419C" w14:textId="77777777" w:rsidR="00AC30F5" w:rsidRDefault="00000000">
            <w:pPr>
              <w:jc w:val="center"/>
            </w:pPr>
            <w:r>
              <w:rPr>
                <w:sz w:val="17"/>
              </w:rPr>
              <w:t>401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4400571" w14:textId="77777777" w:rsidR="00AC30F5" w:rsidRDefault="00000000">
            <w:pPr>
              <w:jc w:val="center"/>
            </w:pPr>
            <w:r>
              <w:rPr>
                <w:sz w:val="17"/>
              </w:rPr>
              <w:t>1,900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1D9EFC" w14:textId="77777777" w:rsidR="00AC30F5" w:rsidRDefault="00000000">
            <w:pPr>
              <w:jc w:val="center"/>
            </w:pPr>
            <w:r>
              <w:rPr>
                <w:sz w:val="17"/>
              </w:rPr>
              <w:t>3,694</w:t>
            </w:r>
          </w:p>
        </w:tc>
      </w:tr>
      <w:tr w:rsidR="00AC30F5" w14:paraId="29BE4759"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67FD575" w14:textId="77777777" w:rsidR="00AC30F5" w:rsidRDefault="00000000">
            <w:r>
              <w:rPr>
                <w:sz w:val="17"/>
              </w:rPr>
              <w:t>Operating Margin</w:t>
            </w:r>
          </w:p>
        </w:tc>
        <w:tc>
          <w:tcPr>
            <w:tcW w:w="1700" w:type="dxa"/>
            <w:tcBorders>
              <w:top w:val="single" w:sz="4" w:space="0" w:color="808080"/>
              <w:left w:val="single" w:sz="4" w:space="0" w:color="808080"/>
              <w:bottom w:val="single" w:sz="4" w:space="0" w:color="808080"/>
              <w:right w:val="single" w:sz="4" w:space="0" w:color="808080"/>
            </w:tcBorders>
            <w:vAlign w:val="center"/>
          </w:tcPr>
          <w:p w14:paraId="712CAAD7" w14:textId="77777777" w:rsidR="00AC30F5" w:rsidRDefault="00000000">
            <w:pPr>
              <w:jc w:val="center"/>
            </w:pPr>
            <w:r>
              <w:rPr>
                <w:sz w:val="17"/>
              </w:rPr>
              <w:t>22.2%</w:t>
            </w:r>
          </w:p>
        </w:tc>
        <w:tc>
          <w:tcPr>
            <w:tcW w:w="1700" w:type="dxa"/>
            <w:tcBorders>
              <w:top w:val="single" w:sz="4" w:space="0" w:color="808080"/>
              <w:left w:val="single" w:sz="4" w:space="0" w:color="808080"/>
              <w:bottom w:val="single" w:sz="4" w:space="0" w:color="808080"/>
              <w:right w:val="single" w:sz="4" w:space="0" w:color="808080"/>
            </w:tcBorders>
            <w:vAlign w:val="center"/>
          </w:tcPr>
          <w:p w14:paraId="59A2E2EE" w14:textId="77777777" w:rsidR="00AC30F5" w:rsidRDefault="00000000">
            <w:pPr>
              <w:jc w:val="center"/>
            </w:pPr>
            <w:r>
              <w:rPr>
                <w:sz w:val="17"/>
              </w:rPr>
              <w:t>5.4%</w:t>
            </w:r>
          </w:p>
        </w:tc>
        <w:tc>
          <w:tcPr>
            <w:tcW w:w="1700" w:type="dxa"/>
            <w:tcBorders>
              <w:top w:val="single" w:sz="4" w:space="0" w:color="808080"/>
              <w:left w:val="single" w:sz="4" w:space="0" w:color="808080"/>
              <w:bottom w:val="single" w:sz="4" w:space="0" w:color="808080"/>
              <w:right w:val="single" w:sz="4" w:space="0" w:color="808080"/>
            </w:tcBorders>
            <w:vAlign w:val="center"/>
          </w:tcPr>
          <w:p w14:paraId="58E8A2CB" w14:textId="77777777" w:rsidR="00AC30F5" w:rsidRDefault="00000000">
            <w:pPr>
              <w:jc w:val="center"/>
            </w:pPr>
            <w:r>
              <w:rPr>
                <w:sz w:val="17"/>
              </w:rPr>
              <w:t>1.8%</w:t>
            </w:r>
          </w:p>
        </w:tc>
        <w:tc>
          <w:tcPr>
            <w:tcW w:w="1700" w:type="dxa"/>
            <w:tcBorders>
              <w:top w:val="single" w:sz="4" w:space="0" w:color="808080"/>
              <w:left w:val="single" w:sz="4" w:space="0" w:color="808080"/>
              <w:bottom w:val="single" w:sz="4" w:space="0" w:color="808080"/>
              <w:right w:val="single" w:sz="4" w:space="0" w:color="808080"/>
            </w:tcBorders>
            <w:vAlign w:val="center"/>
          </w:tcPr>
          <w:p w14:paraId="6FBA39E2" w14:textId="77777777" w:rsidR="00AC30F5" w:rsidRDefault="00000000">
            <w:pPr>
              <w:jc w:val="center"/>
            </w:pPr>
            <w:r>
              <w:rPr>
                <w:sz w:val="17"/>
              </w:rPr>
              <w:t>7.4%</w:t>
            </w:r>
          </w:p>
        </w:tc>
        <w:tc>
          <w:tcPr>
            <w:tcW w:w="1700" w:type="dxa"/>
            <w:tcBorders>
              <w:top w:val="single" w:sz="4" w:space="0" w:color="808080"/>
              <w:left w:val="single" w:sz="4" w:space="0" w:color="808080"/>
              <w:bottom w:val="single" w:sz="4" w:space="0" w:color="808080"/>
              <w:right w:val="single" w:sz="4" w:space="0" w:color="808080"/>
            </w:tcBorders>
            <w:vAlign w:val="center"/>
          </w:tcPr>
          <w:p w14:paraId="564B81C5" w14:textId="77777777" w:rsidR="00AC30F5" w:rsidRDefault="00000000">
            <w:pPr>
              <w:jc w:val="center"/>
            </w:pPr>
            <w:r>
              <w:rPr>
                <w:sz w:val="17"/>
              </w:rPr>
              <w:t>10.7%</w:t>
            </w:r>
          </w:p>
        </w:tc>
      </w:tr>
      <w:tr w:rsidR="00AC30F5" w14:paraId="261FD8C9"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C3E093" w14:textId="77777777" w:rsidR="00AC30F5" w:rsidRDefault="00000000">
            <w:r>
              <w:rPr>
                <w:sz w:val="17"/>
              </w:rPr>
              <w:t>Net Income</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C8B2692" w14:textId="77777777" w:rsidR="00AC30F5" w:rsidRDefault="00000000">
            <w:pPr>
              <w:jc w:val="center"/>
            </w:pPr>
            <w:r>
              <w:rPr>
                <w:sz w:val="17"/>
              </w:rPr>
              <w:t>3,162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153673C" w14:textId="77777777" w:rsidR="00AC30F5" w:rsidRDefault="00000000">
            <w:pPr>
              <w:jc w:val="center"/>
            </w:pPr>
            <w:r>
              <w:rPr>
                <w:sz w:val="17"/>
              </w:rPr>
              <w:t>1,320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7AC4B7B" w14:textId="77777777" w:rsidR="00AC30F5" w:rsidRDefault="00000000">
            <w:pPr>
              <w:jc w:val="center"/>
            </w:pPr>
            <w:r>
              <w:rPr>
                <w:sz w:val="17"/>
              </w:rPr>
              <w:t>854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D869A0" w14:textId="77777777" w:rsidR="00AC30F5" w:rsidRDefault="00000000">
            <w:pPr>
              <w:jc w:val="center"/>
            </w:pPr>
            <w:r>
              <w:rPr>
                <w:sz w:val="17"/>
              </w:rPr>
              <w:t>1,641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45904F4" w14:textId="77777777" w:rsidR="00AC30F5" w:rsidRDefault="00000000">
            <w:pPr>
              <w:jc w:val="center"/>
            </w:pPr>
            <w:r>
              <w:rPr>
                <w:sz w:val="17"/>
              </w:rPr>
              <w:t>4,269</w:t>
            </w:r>
          </w:p>
        </w:tc>
      </w:tr>
      <w:tr w:rsidR="00AC30F5" w14:paraId="780E0C56"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2ECC7030" w14:textId="77777777" w:rsidR="00AC30F5" w:rsidRDefault="00000000">
            <w:r>
              <w:rPr>
                <w:sz w:val="17"/>
              </w:rPr>
              <w:t>Diluted EPS ($)</w:t>
            </w:r>
          </w:p>
        </w:tc>
        <w:tc>
          <w:tcPr>
            <w:tcW w:w="1700" w:type="dxa"/>
            <w:tcBorders>
              <w:top w:val="single" w:sz="4" w:space="0" w:color="808080"/>
              <w:left w:val="single" w:sz="4" w:space="0" w:color="808080"/>
              <w:bottom w:val="single" w:sz="4" w:space="0" w:color="808080"/>
              <w:right w:val="single" w:sz="4" w:space="0" w:color="808080"/>
            </w:tcBorders>
            <w:vAlign w:val="center"/>
          </w:tcPr>
          <w:p w14:paraId="73F89AC1" w14:textId="77777777" w:rsidR="00AC30F5" w:rsidRDefault="00000000">
            <w:pPr>
              <w:jc w:val="center"/>
            </w:pPr>
            <w:r>
              <w:rPr>
                <w:sz w:val="17"/>
              </w:rPr>
              <w:t>2.57</w:t>
            </w:r>
          </w:p>
        </w:tc>
        <w:tc>
          <w:tcPr>
            <w:tcW w:w="1700" w:type="dxa"/>
            <w:tcBorders>
              <w:top w:val="single" w:sz="4" w:space="0" w:color="808080"/>
              <w:left w:val="single" w:sz="4" w:space="0" w:color="808080"/>
              <w:bottom w:val="single" w:sz="4" w:space="0" w:color="808080"/>
              <w:right w:val="single" w:sz="4" w:space="0" w:color="808080"/>
            </w:tcBorders>
            <w:vAlign w:val="center"/>
          </w:tcPr>
          <w:p w14:paraId="2355DC98" w14:textId="77777777" w:rsidR="00AC30F5" w:rsidRDefault="00000000">
            <w:pPr>
              <w:jc w:val="center"/>
            </w:pPr>
            <w:r>
              <w:rPr>
                <w:sz w:val="17"/>
              </w:rPr>
              <w:t>0.84</w:t>
            </w:r>
          </w:p>
        </w:tc>
        <w:tc>
          <w:tcPr>
            <w:tcW w:w="1700" w:type="dxa"/>
            <w:tcBorders>
              <w:top w:val="single" w:sz="4" w:space="0" w:color="808080"/>
              <w:left w:val="single" w:sz="4" w:space="0" w:color="808080"/>
              <w:bottom w:val="single" w:sz="4" w:space="0" w:color="808080"/>
              <w:right w:val="single" w:sz="4" w:space="0" w:color="808080"/>
            </w:tcBorders>
            <w:vAlign w:val="center"/>
          </w:tcPr>
          <w:p w14:paraId="2FFC7E13" w14:textId="77777777" w:rsidR="00AC30F5" w:rsidRDefault="00000000">
            <w:pPr>
              <w:jc w:val="center"/>
            </w:pPr>
            <w:r>
              <w:rPr>
                <w:sz w:val="17"/>
              </w:rPr>
              <w:t>0.53</w:t>
            </w:r>
          </w:p>
        </w:tc>
        <w:tc>
          <w:tcPr>
            <w:tcW w:w="1700" w:type="dxa"/>
            <w:tcBorders>
              <w:top w:val="single" w:sz="4" w:space="0" w:color="808080"/>
              <w:left w:val="single" w:sz="4" w:space="0" w:color="808080"/>
              <w:bottom w:val="single" w:sz="4" w:space="0" w:color="808080"/>
              <w:right w:val="single" w:sz="4" w:space="0" w:color="808080"/>
            </w:tcBorders>
            <w:vAlign w:val="center"/>
          </w:tcPr>
          <w:p w14:paraId="047D63FD" w14:textId="77777777" w:rsidR="00AC30F5" w:rsidRDefault="00000000">
            <w:pPr>
              <w:jc w:val="center"/>
            </w:pPr>
            <w:r>
              <w:rPr>
                <w:sz w:val="17"/>
              </w:rPr>
              <w:t>1.00</w:t>
            </w:r>
          </w:p>
        </w:tc>
        <w:tc>
          <w:tcPr>
            <w:tcW w:w="1700" w:type="dxa"/>
            <w:tcBorders>
              <w:top w:val="single" w:sz="4" w:space="0" w:color="808080"/>
              <w:left w:val="single" w:sz="4" w:space="0" w:color="808080"/>
              <w:bottom w:val="single" w:sz="4" w:space="0" w:color="808080"/>
              <w:right w:val="single" w:sz="4" w:space="0" w:color="808080"/>
            </w:tcBorders>
            <w:vAlign w:val="center"/>
          </w:tcPr>
          <w:p w14:paraId="5971A684" w14:textId="77777777" w:rsidR="00AC30F5" w:rsidRDefault="00000000">
            <w:pPr>
              <w:jc w:val="center"/>
            </w:pPr>
            <w:r>
              <w:rPr>
                <w:sz w:val="17"/>
              </w:rPr>
              <w:t>2.61</w:t>
            </w:r>
          </w:p>
        </w:tc>
      </w:tr>
      <w:tr w:rsidR="00AC30F5" w14:paraId="674F1CAA"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DFC3F25" w14:textId="77777777" w:rsidR="00AC30F5" w:rsidRDefault="00000000">
            <w:r>
              <w:rPr>
                <w:sz w:val="17"/>
              </w:rPr>
              <w:t>Operating Cash Flow</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0F4AAD" w14:textId="77777777" w:rsidR="00AC30F5" w:rsidRDefault="00000000">
            <w:pPr>
              <w:jc w:val="center"/>
            </w:pPr>
            <w:r>
              <w:rPr>
                <w:sz w:val="17"/>
              </w:rPr>
              <w:t>3,521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2B0BFB1" w14:textId="77777777" w:rsidR="00AC30F5" w:rsidRDefault="00000000">
            <w:pPr>
              <w:jc w:val="center"/>
            </w:pPr>
            <w:r>
              <w:rPr>
                <w:sz w:val="17"/>
              </w:rPr>
              <w:t>3,565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1B6B1E7" w14:textId="77777777" w:rsidR="00AC30F5" w:rsidRDefault="00000000">
            <w:pPr>
              <w:jc w:val="center"/>
            </w:pPr>
            <w:r>
              <w:rPr>
                <w:sz w:val="17"/>
              </w:rPr>
              <w:t>1,667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D3EB80" w14:textId="77777777" w:rsidR="00AC30F5" w:rsidRDefault="00000000">
            <w:pPr>
              <w:jc w:val="center"/>
            </w:pPr>
            <w:r>
              <w:rPr>
                <w:sz w:val="17"/>
              </w:rPr>
              <w:t>3,041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4FE3549" w14:textId="77777777" w:rsidR="00AC30F5" w:rsidRDefault="00000000">
            <w:pPr>
              <w:jc w:val="center"/>
            </w:pPr>
            <w:r>
              <w:rPr>
                <w:sz w:val="17"/>
              </w:rPr>
              <w:t>6,493</w:t>
            </w:r>
          </w:p>
        </w:tc>
      </w:tr>
      <w:tr w:rsidR="00AC30F5" w14:paraId="5D156922"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610B9C38" w14:textId="77777777" w:rsidR="00AC30F5" w:rsidRDefault="00000000">
            <w:r>
              <w:rPr>
                <w:sz w:val="17"/>
              </w:rPr>
              <w:t>Capital Expenditures</w:t>
            </w:r>
          </w:p>
        </w:tc>
        <w:tc>
          <w:tcPr>
            <w:tcW w:w="1700" w:type="dxa"/>
            <w:tcBorders>
              <w:top w:val="single" w:sz="4" w:space="0" w:color="808080"/>
              <w:left w:val="single" w:sz="4" w:space="0" w:color="808080"/>
              <w:bottom w:val="single" w:sz="4" w:space="0" w:color="808080"/>
              <w:right w:val="single" w:sz="4" w:space="0" w:color="808080"/>
            </w:tcBorders>
            <w:vAlign w:val="center"/>
          </w:tcPr>
          <w:p w14:paraId="1574F0DB" w14:textId="77777777" w:rsidR="00AC30F5" w:rsidRDefault="00000000">
            <w:pPr>
              <w:jc w:val="center"/>
            </w:pPr>
            <w:r>
              <w:rPr>
                <w:sz w:val="17"/>
              </w:rPr>
              <w:t>301</w:t>
            </w:r>
          </w:p>
        </w:tc>
        <w:tc>
          <w:tcPr>
            <w:tcW w:w="1700" w:type="dxa"/>
            <w:tcBorders>
              <w:top w:val="single" w:sz="4" w:space="0" w:color="808080"/>
              <w:left w:val="single" w:sz="4" w:space="0" w:color="808080"/>
              <w:bottom w:val="single" w:sz="4" w:space="0" w:color="808080"/>
              <w:right w:val="single" w:sz="4" w:space="0" w:color="808080"/>
            </w:tcBorders>
            <w:vAlign w:val="center"/>
          </w:tcPr>
          <w:p w14:paraId="4248B33C" w14:textId="77777777" w:rsidR="00AC30F5" w:rsidRDefault="00000000">
            <w:pPr>
              <w:jc w:val="center"/>
            </w:pPr>
            <w:r>
              <w:rPr>
                <w:sz w:val="17"/>
              </w:rPr>
              <w:t>450</w:t>
            </w:r>
          </w:p>
        </w:tc>
        <w:tc>
          <w:tcPr>
            <w:tcW w:w="1700" w:type="dxa"/>
            <w:tcBorders>
              <w:top w:val="single" w:sz="4" w:space="0" w:color="808080"/>
              <w:left w:val="single" w:sz="4" w:space="0" w:color="808080"/>
              <w:bottom w:val="single" w:sz="4" w:space="0" w:color="808080"/>
              <w:right w:val="single" w:sz="4" w:space="0" w:color="808080"/>
            </w:tcBorders>
            <w:vAlign w:val="center"/>
          </w:tcPr>
          <w:p w14:paraId="7A10EF0B" w14:textId="77777777" w:rsidR="00AC30F5" w:rsidRDefault="00000000">
            <w:pPr>
              <w:jc w:val="center"/>
            </w:pPr>
            <w:r>
              <w:rPr>
                <w:sz w:val="17"/>
              </w:rPr>
              <w:t>546</w:t>
            </w:r>
          </w:p>
        </w:tc>
        <w:tc>
          <w:tcPr>
            <w:tcW w:w="1700" w:type="dxa"/>
            <w:tcBorders>
              <w:top w:val="single" w:sz="4" w:space="0" w:color="808080"/>
              <w:left w:val="single" w:sz="4" w:space="0" w:color="808080"/>
              <w:bottom w:val="single" w:sz="4" w:space="0" w:color="808080"/>
              <w:right w:val="single" w:sz="4" w:space="0" w:color="808080"/>
            </w:tcBorders>
            <w:vAlign w:val="center"/>
          </w:tcPr>
          <w:p w14:paraId="76AF6890" w14:textId="77777777" w:rsidR="00AC30F5" w:rsidRDefault="00000000">
            <w:pPr>
              <w:jc w:val="center"/>
            </w:pPr>
            <w:r>
              <w:rPr>
                <w:sz w:val="17"/>
              </w:rPr>
              <w:t>636</w:t>
            </w:r>
          </w:p>
        </w:tc>
        <w:tc>
          <w:tcPr>
            <w:tcW w:w="1700" w:type="dxa"/>
            <w:tcBorders>
              <w:top w:val="single" w:sz="4" w:space="0" w:color="808080"/>
              <w:left w:val="single" w:sz="4" w:space="0" w:color="808080"/>
              <w:bottom w:val="single" w:sz="4" w:space="0" w:color="808080"/>
              <w:right w:val="single" w:sz="4" w:space="0" w:color="808080"/>
            </w:tcBorders>
            <w:vAlign w:val="center"/>
          </w:tcPr>
          <w:p w14:paraId="424B47FC" w14:textId="77777777" w:rsidR="00AC30F5" w:rsidRDefault="00000000">
            <w:pPr>
              <w:jc w:val="center"/>
            </w:pPr>
            <w:r>
              <w:rPr>
                <w:sz w:val="17"/>
              </w:rPr>
              <w:t>974</w:t>
            </w:r>
          </w:p>
        </w:tc>
      </w:tr>
      <w:tr w:rsidR="00AC30F5" w14:paraId="13050BC3"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96F2E59" w14:textId="77777777" w:rsidR="00AC30F5" w:rsidRDefault="00000000">
            <w:r>
              <w:rPr>
                <w:sz w:val="17"/>
              </w:rPr>
              <w:t>Free Cash Flow</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951BC82" w14:textId="77777777" w:rsidR="00AC30F5" w:rsidRDefault="00000000">
            <w:pPr>
              <w:jc w:val="center"/>
            </w:pPr>
            <w:r>
              <w:rPr>
                <w:sz w:val="17"/>
              </w:rPr>
              <w:t>3,220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FB9BF90" w14:textId="77777777" w:rsidR="00AC30F5" w:rsidRDefault="00000000">
            <w:pPr>
              <w:jc w:val="center"/>
            </w:pPr>
            <w:r>
              <w:rPr>
                <w:sz w:val="17"/>
              </w:rPr>
              <w:t>3,115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F6C637" w14:textId="77777777" w:rsidR="00AC30F5" w:rsidRDefault="00000000">
            <w:pPr>
              <w:jc w:val="center"/>
            </w:pPr>
            <w:r>
              <w:rPr>
                <w:sz w:val="17"/>
              </w:rPr>
              <w:t>1,121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D1EE9B9" w14:textId="77777777" w:rsidR="00AC30F5" w:rsidRDefault="00000000">
            <w:pPr>
              <w:jc w:val="center"/>
            </w:pPr>
            <w:r>
              <w:rPr>
                <w:sz w:val="17"/>
              </w:rPr>
              <w:t>2,405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5F92B76" w14:textId="77777777" w:rsidR="00AC30F5" w:rsidRDefault="00000000">
            <w:pPr>
              <w:jc w:val="center"/>
            </w:pPr>
            <w:r>
              <w:rPr>
                <w:sz w:val="17"/>
              </w:rPr>
              <w:t>5,519</w:t>
            </w:r>
          </w:p>
        </w:tc>
      </w:tr>
      <w:tr w:rsidR="00AC30F5" w14:paraId="7A4655EF"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43A0ECAA" w14:textId="77777777" w:rsidR="00AC30F5" w:rsidRDefault="00000000">
            <w:r>
              <w:rPr>
                <w:sz w:val="17"/>
              </w:rPr>
              <w:t>Stock-Based Compensation</w:t>
            </w:r>
          </w:p>
        </w:tc>
        <w:tc>
          <w:tcPr>
            <w:tcW w:w="1700" w:type="dxa"/>
            <w:tcBorders>
              <w:top w:val="single" w:sz="4" w:space="0" w:color="808080"/>
              <w:left w:val="single" w:sz="4" w:space="0" w:color="808080"/>
              <w:bottom w:val="single" w:sz="4" w:space="0" w:color="808080"/>
              <w:right w:val="single" w:sz="4" w:space="0" w:color="808080"/>
            </w:tcBorders>
            <w:vAlign w:val="center"/>
          </w:tcPr>
          <w:p w14:paraId="0FA411C6" w14:textId="77777777" w:rsidR="00AC30F5" w:rsidRDefault="00000000">
            <w:pPr>
              <w:jc w:val="center"/>
            </w:pPr>
            <w:r>
              <w:rPr>
                <w:sz w:val="17"/>
              </w:rPr>
              <w:t>379</w:t>
            </w:r>
          </w:p>
        </w:tc>
        <w:tc>
          <w:tcPr>
            <w:tcW w:w="1700" w:type="dxa"/>
            <w:tcBorders>
              <w:top w:val="single" w:sz="4" w:space="0" w:color="808080"/>
              <w:left w:val="single" w:sz="4" w:space="0" w:color="808080"/>
              <w:bottom w:val="single" w:sz="4" w:space="0" w:color="808080"/>
              <w:right w:val="single" w:sz="4" w:space="0" w:color="808080"/>
            </w:tcBorders>
            <w:vAlign w:val="center"/>
          </w:tcPr>
          <w:p w14:paraId="244A8E81" w14:textId="77777777" w:rsidR="00AC30F5" w:rsidRDefault="00000000">
            <w:pPr>
              <w:jc w:val="center"/>
            </w:pPr>
            <w:r>
              <w:rPr>
                <w:sz w:val="17"/>
              </w:rPr>
              <w:t>1,081</w:t>
            </w:r>
          </w:p>
        </w:tc>
        <w:tc>
          <w:tcPr>
            <w:tcW w:w="1700" w:type="dxa"/>
            <w:tcBorders>
              <w:top w:val="single" w:sz="4" w:space="0" w:color="808080"/>
              <w:left w:val="single" w:sz="4" w:space="0" w:color="808080"/>
              <w:bottom w:val="single" w:sz="4" w:space="0" w:color="808080"/>
              <w:right w:val="single" w:sz="4" w:space="0" w:color="808080"/>
            </w:tcBorders>
            <w:vAlign w:val="center"/>
          </w:tcPr>
          <w:p w14:paraId="5B49BFD5" w14:textId="77777777" w:rsidR="00AC30F5" w:rsidRDefault="00000000">
            <w:pPr>
              <w:jc w:val="center"/>
            </w:pPr>
            <w:r>
              <w:rPr>
                <w:sz w:val="17"/>
              </w:rPr>
              <w:t>1,384</w:t>
            </w:r>
          </w:p>
        </w:tc>
        <w:tc>
          <w:tcPr>
            <w:tcW w:w="1700" w:type="dxa"/>
            <w:tcBorders>
              <w:top w:val="single" w:sz="4" w:space="0" w:color="808080"/>
              <w:left w:val="single" w:sz="4" w:space="0" w:color="808080"/>
              <w:bottom w:val="single" w:sz="4" w:space="0" w:color="808080"/>
              <w:right w:val="single" w:sz="4" w:space="0" w:color="808080"/>
            </w:tcBorders>
            <w:vAlign w:val="center"/>
          </w:tcPr>
          <w:p w14:paraId="37512778" w14:textId="77777777" w:rsidR="00AC30F5" w:rsidRDefault="00000000">
            <w:pPr>
              <w:jc w:val="center"/>
            </w:pPr>
            <w:r>
              <w:rPr>
                <w:sz w:val="17"/>
              </w:rPr>
              <w:t>1,407</w:t>
            </w:r>
          </w:p>
        </w:tc>
        <w:tc>
          <w:tcPr>
            <w:tcW w:w="1700" w:type="dxa"/>
            <w:tcBorders>
              <w:top w:val="single" w:sz="4" w:space="0" w:color="808080"/>
              <w:left w:val="single" w:sz="4" w:space="0" w:color="808080"/>
              <w:bottom w:val="single" w:sz="4" w:space="0" w:color="808080"/>
              <w:right w:val="single" w:sz="4" w:space="0" w:color="808080"/>
            </w:tcBorders>
            <w:vAlign w:val="center"/>
          </w:tcPr>
          <w:p w14:paraId="3F63FF4F" w14:textId="77777777" w:rsidR="00AC30F5" w:rsidRDefault="00000000">
            <w:pPr>
              <w:jc w:val="center"/>
            </w:pPr>
            <w:r>
              <w:rPr>
                <w:sz w:val="17"/>
              </w:rPr>
              <w:t>1,638</w:t>
            </w:r>
          </w:p>
        </w:tc>
      </w:tr>
      <w:tr w:rsidR="00AC30F5" w14:paraId="6DDF9872"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5BA2AA" w14:textId="77777777" w:rsidR="00AC30F5" w:rsidRDefault="00000000">
            <w:r>
              <w:rPr>
                <w:sz w:val="17"/>
              </w:rPr>
              <w:t>Cash + ST Investments</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7C42E1" w14:textId="77777777" w:rsidR="00AC30F5" w:rsidRDefault="00000000">
            <w:pPr>
              <w:jc w:val="center"/>
            </w:pPr>
            <w:r>
              <w:rPr>
                <w:sz w:val="17"/>
              </w:rPr>
              <w:t>3,608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71E7399" w14:textId="77777777" w:rsidR="00AC30F5" w:rsidRDefault="00000000">
            <w:pPr>
              <w:jc w:val="center"/>
            </w:pPr>
            <w:r>
              <w:rPr>
                <w:sz w:val="17"/>
              </w:rPr>
              <w:t>5,855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645A7D3" w14:textId="77777777" w:rsidR="00AC30F5" w:rsidRDefault="00000000">
            <w:pPr>
              <w:jc w:val="center"/>
            </w:pPr>
            <w:r>
              <w:rPr>
                <w:sz w:val="17"/>
              </w:rPr>
              <w:t>5,773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440B12" w14:textId="77777777" w:rsidR="00AC30F5" w:rsidRDefault="00000000">
            <w:pPr>
              <w:jc w:val="center"/>
            </w:pPr>
            <w:r>
              <w:rPr>
                <w:sz w:val="17"/>
              </w:rPr>
              <w:t>5,132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269549C" w14:textId="77777777" w:rsidR="00AC30F5" w:rsidRDefault="00000000">
            <w:pPr>
              <w:jc w:val="center"/>
            </w:pPr>
            <w:r>
              <w:rPr>
                <w:sz w:val="17"/>
              </w:rPr>
              <w:t>10,552</w:t>
            </w:r>
          </w:p>
        </w:tc>
      </w:tr>
      <w:tr w:rsidR="00AC30F5" w14:paraId="43469C08"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35E83AF6" w14:textId="77777777" w:rsidR="00AC30F5" w:rsidRDefault="00000000">
            <w:r>
              <w:rPr>
                <w:sz w:val="17"/>
              </w:rPr>
              <w:lastRenderedPageBreak/>
              <w:t>Total Debt</w:t>
            </w:r>
          </w:p>
        </w:tc>
        <w:tc>
          <w:tcPr>
            <w:tcW w:w="1700" w:type="dxa"/>
            <w:tcBorders>
              <w:top w:val="single" w:sz="4" w:space="0" w:color="808080"/>
              <w:left w:val="single" w:sz="4" w:space="0" w:color="808080"/>
              <w:bottom w:val="single" w:sz="4" w:space="0" w:color="808080"/>
              <w:right w:val="single" w:sz="4" w:space="0" w:color="808080"/>
            </w:tcBorders>
            <w:vAlign w:val="center"/>
          </w:tcPr>
          <w:p w14:paraId="292AB86D" w14:textId="77777777" w:rsidR="00AC30F5" w:rsidRDefault="00000000">
            <w:pPr>
              <w:jc w:val="center"/>
            </w:pPr>
            <w:r>
              <w:rPr>
                <w:sz w:val="17"/>
              </w:rPr>
              <w:t>313</w:t>
            </w:r>
          </w:p>
        </w:tc>
        <w:tc>
          <w:tcPr>
            <w:tcW w:w="1700" w:type="dxa"/>
            <w:tcBorders>
              <w:top w:val="single" w:sz="4" w:space="0" w:color="808080"/>
              <w:left w:val="single" w:sz="4" w:space="0" w:color="808080"/>
              <w:bottom w:val="single" w:sz="4" w:space="0" w:color="808080"/>
              <w:right w:val="single" w:sz="4" w:space="0" w:color="808080"/>
            </w:tcBorders>
            <w:vAlign w:val="center"/>
          </w:tcPr>
          <w:p w14:paraId="66F1E4E5" w14:textId="77777777" w:rsidR="00AC30F5" w:rsidRDefault="00000000">
            <w:pPr>
              <w:jc w:val="center"/>
            </w:pPr>
            <w:r>
              <w:rPr>
                <w:sz w:val="17"/>
              </w:rPr>
              <w:t>2,501</w:t>
            </w:r>
          </w:p>
        </w:tc>
        <w:tc>
          <w:tcPr>
            <w:tcW w:w="1700" w:type="dxa"/>
            <w:tcBorders>
              <w:top w:val="single" w:sz="4" w:space="0" w:color="808080"/>
              <w:left w:val="single" w:sz="4" w:space="0" w:color="808080"/>
              <w:bottom w:val="single" w:sz="4" w:space="0" w:color="808080"/>
              <w:right w:val="single" w:sz="4" w:space="0" w:color="808080"/>
            </w:tcBorders>
            <w:vAlign w:val="center"/>
          </w:tcPr>
          <w:p w14:paraId="68E700FA" w14:textId="77777777" w:rsidR="00AC30F5" w:rsidRDefault="00000000">
            <w:pPr>
              <w:jc w:val="center"/>
            </w:pPr>
            <w:r>
              <w:rPr>
                <w:sz w:val="17"/>
              </w:rPr>
              <w:t>2,500</w:t>
            </w:r>
          </w:p>
        </w:tc>
        <w:tc>
          <w:tcPr>
            <w:tcW w:w="1700" w:type="dxa"/>
            <w:tcBorders>
              <w:top w:val="single" w:sz="4" w:space="0" w:color="808080"/>
              <w:left w:val="single" w:sz="4" w:space="0" w:color="808080"/>
              <w:bottom w:val="single" w:sz="4" w:space="0" w:color="808080"/>
              <w:right w:val="single" w:sz="4" w:space="0" w:color="808080"/>
            </w:tcBorders>
            <w:vAlign w:val="center"/>
          </w:tcPr>
          <w:p w14:paraId="011D6438" w14:textId="77777777" w:rsidR="00AC30F5" w:rsidRDefault="00000000">
            <w:pPr>
              <w:jc w:val="center"/>
            </w:pPr>
            <w:r>
              <w:rPr>
                <w:sz w:val="17"/>
              </w:rPr>
              <w:t>1,750</w:t>
            </w:r>
          </w:p>
        </w:tc>
        <w:tc>
          <w:tcPr>
            <w:tcW w:w="1700" w:type="dxa"/>
            <w:tcBorders>
              <w:top w:val="single" w:sz="4" w:space="0" w:color="808080"/>
              <w:left w:val="single" w:sz="4" w:space="0" w:color="808080"/>
              <w:bottom w:val="single" w:sz="4" w:space="0" w:color="808080"/>
              <w:right w:val="single" w:sz="4" w:space="0" w:color="808080"/>
            </w:tcBorders>
            <w:vAlign w:val="center"/>
          </w:tcPr>
          <w:p w14:paraId="5F9A7350" w14:textId="77777777" w:rsidR="00AC30F5" w:rsidRDefault="00000000">
            <w:pPr>
              <w:jc w:val="center"/>
            </w:pPr>
            <w:r>
              <w:rPr>
                <w:sz w:val="17"/>
              </w:rPr>
              <w:t>3,250</w:t>
            </w:r>
          </w:p>
        </w:tc>
      </w:tr>
      <w:tr w:rsidR="00AC30F5" w14:paraId="56D45EE9"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DCA74A" w14:textId="77777777" w:rsidR="00AC30F5" w:rsidRDefault="00000000">
            <w:r>
              <w:rPr>
                <w:sz w:val="17"/>
              </w:rPr>
              <w:t>Net Cash</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0A8731" w14:textId="77777777" w:rsidR="00AC30F5" w:rsidRDefault="00000000">
            <w:pPr>
              <w:jc w:val="center"/>
            </w:pPr>
            <w:r>
              <w:rPr>
                <w:sz w:val="17"/>
              </w:rPr>
              <w:t>3,295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0F13D50" w14:textId="77777777" w:rsidR="00AC30F5" w:rsidRDefault="00000000">
            <w:pPr>
              <w:jc w:val="center"/>
            </w:pPr>
            <w:r>
              <w:rPr>
                <w:sz w:val="17"/>
              </w:rPr>
              <w:t>3,354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1CA1017" w14:textId="77777777" w:rsidR="00AC30F5" w:rsidRDefault="00000000">
            <w:pPr>
              <w:jc w:val="center"/>
            </w:pPr>
            <w:r>
              <w:rPr>
                <w:sz w:val="17"/>
              </w:rPr>
              <w:t>3,273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FD7F6A7" w14:textId="77777777" w:rsidR="00AC30F5" w:rsidRDefault="00000000">
            <w:pPr>
              <w:jc w:val="center"/>
            </w:pPr>
            <w:r>
              <w:rPr>
                <w:sz w:val="17"/>
              </w:rPr>
              <w:t>3,382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1E5CA0" w14:textId="77777777" w:rsidR="00AC30F5" w:rsidRDefault="00000000">
            <w:pPr>
              <w:jc w:val="center"/>
            </w:pPr>
            <w:r>
              <w:rPr>
                <w:sz w:val="17"/>
              </w:rPr>
              <w:t>7,302</w:t>
            </w:r>
          </w:p>
        </w:tc>
      </w:tr>
    </w:tbl>
    <w:p w14:paraId="2C49E2FE" w14:textId="77777777" w:rsidR="00AC30F5" w:rsidRDefault="00AC30F5">
      <w:pPr>
        <w:spacing w:after="80"/>
      </w:pPr>
    </w:p>
    <w:p w14:paraId="2995F5A7" w14:textId="77777777" w:rsidR="00AC30F5" w:rsidRDefault="00000000">
      <w:pPr>
        <w:spacing w:after="80"/>
        <w:jc w:val="both"/>
      </w:pPr>
      <w:r>
        <w:t>Source: AMD Form 10-K filings for fiscal years 2021-2025. The FY2022 jump in revenue, R&amp;D, and balance sheet items reflects the consolidation of Xilinx (closed 14 February 2022) and Pensando (closed 26 May 2022).</w:t>
      </w:r>
    </w:p>
    <w:p w14:paraId="78FDD72A" w14:textId="77777777" w:rsidR="00AC30F5" w:rsidRDefault="00000000">
      <w:pPr>
        <w:pStyle w:val="Heading1"/>
      </w:pPr>
      <w:r>
        <w:t>DCF Valuation: A Range, Not a Point</w:t>
      </w:r>
    </w:p>
    <w:p w14:paraId="3D345BBF" w14:textId="77777777" w:rsidR="00AC30F5" w:rsidRDefault="00000000">
      <w:pPr>
        <w:pStyle w:val="Heading2"/>
      </w:pPr>
      <w:r>
        <w:t>Why a Range</w:t>
      </w:r>
    </w:p>
    <w:p w14:paraId="1CB08109" w14:textId="77777777" w:rsidR="00AC30F5" w:rsidRDefault="00000000">
      <w:pPr>
        <w:spacing w:after="80"/>
        <w:jc w:val="both"/>
      </w:pPr>
      <w:r>
        <w:t>Most equity research notes present a single point-estimate price target. We deliberately depart from this convention and present a range of $58 to $90, for three reasons. First, the underlying DCF assumptions span a wide plausibility band: the lower bound reflects the original model built on FY2025 10-K data (now demonstrably stale given H1 2026 actuals), while the upper bound reflects a revised scenario incorporating the Q2 2026 Data Center doubling and management's guidance that data center sales will double again in 2027. Presenting a single figure would imply a false precision that the underlying assumptions do not support. Second, the choice of a single point within this range is a judgment call that depends on how aggressively one weights management's forward guidance versus historical execution; reasonable analysts could disagree. Third, a range more honestly communicates the analytical state: a full model rebuild is pending, and until that rebuild is complete, presenting $58 as a precise target would understate the intrinsic value, while presenting $90 would overstate the analytical work completed to date.</w:t>
      </w:r>
    </w:p>
    <w:p w14:paraId="3A52F728" w14:textId="77777777" w:rsidR="00AC30F5" w:rsidRDefault="00000000">
      <w:pPr>
        <w:pStyle w:val="Heading2"/>
      </w:pPr>
      <w:r>
        <w:t>Scenario A: Original DCF (Lower Bound, $58.16)</w:t>
      </w:r>
    </w:p>
    <w:p w14:paraId="1BE09EE9" w14:textId="197CBD99" w:rsidR="00AC30F5" w:rsidRDefault="00000000">
      <w:pPr>
        <w:spacing w:after="80"/>
        <w:jc w:val="both"/>
      </w:pPr>
      <w:r>
        <w:t xml:space="preserve">The lower bound of $58.16 </w:t>
      </w:r>
      <w:r w:rsidR="00D76078">
        <w:t>is</w:t>
      </w:r>
      <w:r>
        <w:t xml:space="preserve"> built on FY2025 10-K data, with revenue growth assumptions of 36%, 24%, 18%, 14%, and 11% for FY2026-FY2030, gross margins expanding from 51.5% to 54.0%, a WACC of 13.79% (CAPM: 4.25% risk-free rate + 1.75 beta × 5.50% ERP), and a terminal growth rate of 2.5%. This scenario implies 2030 revenue of $87.2B, 2030 free cash flow of $13.8B, an enterprise value of $97.1B, and an equity value of $104.4B. We acknowledge this scenario is now stale: H1 2026 actual revenue ($21.8B) is running slightly ahead of the implied H1 trajectory, and the 2027 doubling guidance implies FY2027 revenue well above the $58.4B this scenario assumes. However, the scenario remains useful as a conservative anchor and as a transparent baseline against which the revised scenarios can be compared. The full mechanics are documented in Appendix B.</w:t>
      </w:r>
    </w:p>
    <w:p w14:paraId="133D2145" w14:textId="77777777" w:rsidR="00AC30F5" w:rsidRDefault="00000000">
      <w:pPr>
        <w:pStyle w:val="Heading2"/>
      </w:pPr>
      <w:r>
        <w:t>Scenario B: Revised Revenue (Mid-Point, $71.54)</w:t>
      </w:r>
    </w:p>
    <w:p w14:paraId="2B3218A1" w14:textId="77777777" w:rsidR="00AC30F5" w:rsidRDefault="00000000">
      <w:pPr>
        <w:spacing w:after="80"/>
        <w:jc w:val="both"/>
      </w:pPr>
      <w:r>
        <w:t>The mid-point scenario revises the revenue growth trajectory to reflect H1 2026 actuals and the 2027 doubling guidance, while holding all other assumptions (margins, WACC, reinvestment ratios) at original levels. Revenue growth is revised to 36%, 50%, 22%, 16%, and 12% for FY2026-FY2030 — the 50% FY2027 growth rate directly reflects Lisa Su's guidance that data center sales will double, applied to a revenue base where Data Center represents approximately half of total revenue. This scenario implies 2030 revenue of $112.0B (versus $87.2B in Scenario A), 2030 free cash flow of $17.5B, an enterprise value of $121.2B, and an implied share price of $71.54. The WACC remains at 13.79%, reflecting the view that while AMD's customer visibility has improved, the fundamental risk profile (high beta, AI exposure, competitive uncertainty) is unchanged.</w:t>
      </w:r>
    </w:p>
    <w:p w14:paraId="3BE793AF" w14:textId="77777777" w:rsidR="00AC30F5" w:rsidRDefault="00000000">
      <w:pPr>
        <w:pStyle w:val="Heading2"/>
      </w:pPr>
      <w:r>
        <w:t>Scenario C: Fully Revised (Upper Bound, $89.60)</w:t>
      </w:r>
    </w:p>
    <w:p w14:paraId="3E196715" w14:textId="77777777" w:rsidR="00AC30F5" w:rsidRDefault="00000000">
      <w:pPr>
        <w:spacing w:after="80"/>
        <w:jc w:val="both"/>
      </w:pPr>
      <w:r>
        <w:t xml:space="preserve">The upper bound scenario applies the revised revenue trajectory from Scenario B and additionally lifts gross margins by approximately 0.5 percentage points per year (to 52.0%-56.0%, reflecting the ongoing data center mix shift and the higher margins on MI350/MI400 accelerators) and lowers the WACC to 12.50% (reflecting reduced risk following the OpenAI, Meta, and Anthropic customer commitments, which provide multi-year revenue visibility). This scenario implies 2030 revenue of $112.0B (unchanged from Scenario B), 2030 free cash flow of $19.3B, an enterprise value of </w:t>
      </w:r>
      <w:r>
        <w:lastRenderedPageBreak/>
        <w:t>$153.6B, and an implied share price of $89.60. We regard this as the upper bound of defensible DCF outputs: further margin expansion would require AMD to achieve NVIDIA-like gross margins (73-75%) on its AI accelerator mix, which the competitive analysis in Section 2 does not support; further WACC reduction would require either a lower beta (for which there is no evidence in 2026 price action, which has been more volatile than the market) or a lower equity risk premium (for which there is no macro basis).</w:t>
      </w:r>
    </w:p>
    <w:p w14:paraId="6F94678B" w14:textId="77777777" w:rsidR="00AC30F5" w:rsidRDefault="00000000">
      <w:pPr>
        <w:spacing w:before="120" w:after="40"/>
      </w:pPr>
      <w:r>
        <w:rPr>
          <w:b/>
          <w:color w:val="1F4E78"/>
          <w:sz w:val="19"/>
        </w:rPr>
        <w:t>Table 3: DCF Scenario Comparison</w:t>
      </w:r>
    </w:p>
    <w:tbl>
      <w:tblPr>
        <w:tblW w:w="0" w:type="auto"/>
        <w:jc w:val="center"/>
        <w:tblLook w:val="04A0" w:firstRow="1" w:lastRow="0" w:firstColumn="1" w:lastColumn="0" w:noHBand="0" w:noVBand="1"/>
      </w:tblPr>
      <w:tblGrid>
        <w:gridCol w:w="2550"/>
        <w:gridCol w:w="2550"/>
        <w:gridCol w:w="2550"/>
        <w:gridCol w:w="2550"/>
      </w:tblGrid>
      <w:tr w:rsidR="00AC30F5" w14:paraId="794084B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B553450" w14:textId="77777777" w:rsidR="00AC30F5" w:rsidRDefault="00000000">
            <w:pPr>
              <w:jc w:val="center"/>
            </w:pPr>
            <w:r>
              <w:rPr>
                <w:b/>
                <w:color w:val="FFFFFF"/>
                <w:sz w:val="17"/>
              </w:rPr>
              <w:t>Parameter</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EC49B6E" w14:textId="77777777" w:rsidR="00AC30F5" w:rsidRDefault="00000000">
            <w:pPr>
              <w:jc w:val="center"/>
            </w:pPr>
            <w:r>
              <w:rPr>
                <w:b/>
                <w:color w:val="FFFFFF"/>
                <w:sz w:val="17"/>
              </w:rPr>
              <w:t>Scenario A (Lower)</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78BB7E8" w14:textId="77777777" w:rsidR="00AC30F5" w:rsidRDefault="00000000">
            <w:pPr>
              <w:jc w:val="center"/>
            </w:pPr>
            <w:r>
              <w:rPr>
                <w:b/>
                <w:color w:val="FFFFFF"/>
                <w:sz w:val="17"/>
              </w:rPr>
              <w:t>Scenario B (Mid)</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61B1D51" w14:textId="77777777" w:rsidR="00AC30F5" w:rsidRDefault="00000000">
            <w:pPr>
              <w:jc w:val="center"/>
            </w:pPr>
            <w:r>
              <w:rPr>
                <w:b/>
                <w:color w:val="FFFFFF"/>
                <w:sz w:val="17"/>
              </w:rPr>
              <w:t>Scenario C (Upper)</w:t>
            </w:r>
          </w:p>
        </w:tc>
      </w:tr>
      <w:tr w:rsidR="00AC30F5" w14:paraId="19D30521"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3B2F5317" w14:textId="77777777" w:rsidR="00AC30F5" w:rsidRDefault="00000000">
            <w:r>
              <w:rPr>
                <w:sz w:val="17"/>
              </w:rPr>
              <w:t>FY2026 Revenue Growth</w:t>
            </w:r>
          </w:p>
        </w:tc>
        <w:tc>
          <w:tcPr>
            <w:tcW w:w="2550" w:type="dxa"/>
            <w:tcBorders>
              <w:top w:val="single" w:sz="4" w:space="0" w:color="808080"/>
              <w:left w:val="single" w:sz="4" w:space="0" w:color="808080"/>
              <w:bottom w:val="single" w:sz="4" w:space="0" w:color="808080"/>
              <w:right w:val="single" w:sz="4" w:space="0" w:color="808080"/>
            </w:tcBorders>
            <w:vAlign w:val="center"/>
          </w:tcPr>
          <w:p w14:paraId="21937CA3" w14:textId="77777777" w:rsidR="00AC30F5" w:rsidRDefault="00000000">
            <w:pPr>
              <w:jc w:val="center"/>
            </w:pPr>
            <w:r>
              <w:rPr>
                <w:sz w:val="17"/>
              </w:rPr>
              <w:t>36%</w:t>
            </w:r>
          </w:p>
        </w:tc>
        <w:tc>
          <w:tcPr>
            <w:tcW w:w="2550" w:type="dxa"/>
            <w:tcBorders>
              <w:top w:val="single" w:sz="4" w:space="0" w:color="808080"/>
              <w:left w:val="single" w:sz="4" w:space="0" w:color="808080"/>
              <w:bottom w:val="single" w:sz="4" w:space="0" w:color="808080"/>
              <w:right w:val="single" w:sz="4" w:space="0" w:color="808080"/>
            </w:tcBorders>
            <w:vAlign w:val="center"/>
          </w:tcPr>
          <w:p w14:paraId="3221468B" w14:textId="77777777" w:rsidR="00AC30F5" w:rsidRDefault="00000000">
            <w:pPr>
              <w:jc w:val="center"/>
            </w:pPr>
            <w:r>
              <w:rPr>
                <w:sz w:val="17"/>
              </w:rPr>
              <w:t>36%</w:t>
            </w:r>
          </w:p>
        </w:tc>
        <w:tc>
          <w:tcPr>
            <w:tcW w:w="2550" w:type="dxa"/>
            <w:tcBorders>
              <w:top w:val="single" w:sz="4" w:space="0" w:color="808080"/>
              <w:left w:val="single" w:sz="4" w:space="0" w:color="808080"/>
              <w:bottom w:val="single" w:sz="4" w:space="0" w:color="808080"/>
              <w:right w:val="single" w:sz="4" w:space="0" w:color="808080"/>
            </w:tcBorders>
            <w:vAlign w:val="center"/>
          </w:tcPr>
          <w:p w14:paraId="419C075B" w14:textId="77777777" w:rsidR="00AC30F5" w:rsidRDefault="00000000">
            <w:pPr>
              <w:jc w:val="center"/>
            </w:pPr>
            <w:r>
              <w:rPr>
                <w:sz w:val="17"/>
              </w:rPr>
              <w:t>36%</w:t>
            </w:r>
          </w:p>
        </w:tc>
      </w:tr>
      <w:tr w:rsidR="00AC30F5" w14:paraId="0D138166"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F787903" w14:textId="77777777" w:rsidR="00AC30F5" w:rsidRDefault="00000000">
            <w:r>
              <w:rPr>
                <w:sz w:val="17"/>
              </w:rPr>
              <w:t>FY2027 Revenue Growth</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C74081" w14:textId="77777777" w:rsidR="00AC30F5" w:rsidRDefault="00000000">
            <w:pPr>
              <w:jc w:val="center"/>
            </w:pPr>
            <w:r>
              <w:rPr>
                <w:sz w:val="17"/>
              </w:rPr>
              <w:t>24%</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027B98" w14:textId="77777777" w:rsidR="00AC30F5" w:rsidRDefault="00000000">
            <w:pPr>
              <w:jc w:val="center"/>
            </w:pPr>
            <w:r>
              <w:rPr>
                <w:sz w:val="17"/>
              </w:rPr>
              <w:t>50%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84C2AD2" w14:textId="77777777" w:rsidR="00AC30F5" w:rsidRDefault="00000000">
            <w:pPr>
              <w:jc w:val="center"/>
            </w:pPr>
            <w:r>
              <w:rPr>
                <w:sz w:val="17"/>
              </w:rPr>
              <w:t>50%</w:t>
            </w:r>
          </w:p>
        </w:tc>
      </w:tr>
      <w:tr w:rsidR="00AC30F5" w14:paraId="34D4FCF2"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4057E7FE" w14:textId="77777777" w:rsidR="00AC30F5" w:rsidRDefault="00000000">
            <w:r>
              <w:rPr>
                <w:sz w:val="17"/>
              </w:rPr>
              <w:t>FY2028-2030 Growth</w:t>
            </w:r>
          </w:p>
        </w:tc>
        <w:tc>
          <w:tcPr>
            <w:tcW w:w="2550" w:type="dxa"/>
            <w:tcBorders>
              <w:top w:val="single" w:sz="4" w:space="0" w:color="808080"/>
              <w:left w:val="single" w:sz="4" w:space="0" w:color="808080"/>
              <w:bottom w:val="single" w:sz="4" w:space="0" w:color="808080"/>
              <w:right w:val="single" w:sz="4" w:space="0" w:color="808080"/>
            </w:tcBorders>
            <w:vAlign w:val="center"/>
          </w:tcPr>
          <w:p w14:paraId="076BCF1F" w14:textId="77777777" w:rsidR="00AC30F5" w:rsidRDefault="00000000">
            <w:pPr>
              <w:jc w:val="center"/>
            </w:pPr>
            <w:r>
              <w:rPr>
                <w:sz w:val="17"/>
              </w:rPr>
              <w:t>18%/14%/11%</w:t>
            </w:r>
          </w:p>
        </w:tc>
        <w:tc>
          <w:tcPr>
            <w:tcW w:w="2550" w:type="dxa"/>
            <w:tcBorders>
              <w:top w:val="single" w:sz="4" w:space="0" w:color="808080"/>
              <w:left w:val="single" w:sz="4" w:space="0" w:color="808080"/>
              <w:bottom w:val="single" w:sz="4" w:space="0" w:color="808080"/>
              <w:right w:val="single" w:sz="4" w:space="0" w:color="808080"/>
            </w:tcBorders>
            <w:vAlign w:val="center"/>
          </w:tcPr>
          <w:p w14:paraId="4DF5958D" w14:textId="77777777" w:rsidR="00AC30F5" w:rsidRDefault="00000000">
            <w:pPr>
              <w:jc w:val="center"/>
            </w:pPr>
            <w:r>
              <w:rPr>
                <w:sz w:val="17"/>
              </w:rPr>
              <w:t>22%/16%/12%</w:t>
            </w:r>
          </w:p>
        </w:tc>
        <w:tc>
          <w:tcPr>
            <w:tcW w:w="2550" w:type="dxa"/>
            <w:tcBorders>
              <w:top w:val="single" w:sz="4" w:space="0" w:color="808080"/>
              <w:left w:val="single" w:sz="4" w:space="0" w:color="808080"/>
              <w:bottom w:val="single" w:sz="4" w:space="0" w:color="808080"/>
              <w:right w:val="single" w:sz="4" w:space="0" w:color="808080"/>
            </w:tcBorders>
            <w:vAlign w:val="center"/>
          </w:tcPr>
          <w:p w14:paraId="61773263" w14:textId="77777777" w:rsidR="00AC30F5" w:rsidRDefault="00000000">
            <w:pPr>
              <w:jc w:val="center"/>
            </w:pPr>
            <w:r>
              <w:rPr>
                <w:sz w:val="17"/>
              </w:rPr>
              <w:t>22%/16%/12%</w:t>
            </w:r>
          </w:p>
        </w:tc>
      </w:tr>
      <w:tr w:rsidR="00AC30F5" w14:paraId="11B973D7"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9F8A8DA" w14:textId="77777777" w:rsidR="00AC30F5" w:rsidRDefault="00000000">
            <w:r>
              <w:rPr>
                <w:sz w:val="17"/>
              </w:rPr>
              <w:t>2030 Revenue ($B)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72A457" w14:textId="77777777" w:rsidR="00AC30F5" w:rsidRDefault="00000000">
            <w:pPr>
              <w:jc w:val="center"/>
            </w:pPr>
            <w:r>
              <w:rPr>
                <w:sz w:val="17"/>
              </w:rPr>
              <w:t>87.2</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0175BB8" w14:textId="77777777" w:rsidR="00AC30F5" w:rsidRDefault="00000000">
            <w:pPr>
              <w:jc w:val="center"/>
            </w:pPr>
            <w:r>
              <w:rPr>
                <w:sz w:val="17"/>
              </w:rPr>
              <w:t>112.0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2691EF" w14:textId="77777777" w:rsidR="00AC30F5" w:rsidRDefault="00000000">
            <w:pPr>
              <w:jc w:val="center"/>
            </w:pPr>
            <w:r>
              <w:rPr>
                <w:sz w:val="17"/>
              </w:rPr>
              <w:t>112.0</w:t>
            </w:r>
          </w:p>
        </w:tc>
      </w:tr>
      <w:tr w:rsidR="00AC30F5" w14:paraId="7EB21193"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129DB5E2" w14:textId="77777777" w:rsidR="00AC30F5" w:rsidRDefault="00000000">
            <w:r>
              <w:rPr>
                <w:sz w:val="17"/>
              </w:rPr>
              <w:t>Gross Margin Range</w:t>
            </w:r>
          </w:p>
        </w:tc>
        <w:tc>
          <w:tcPr>
            <w:tcW w:w="2550" w:type="dxa"/>
            <w:tcBorders>
              <w:top w:val="single" w:sz="4" w:space="0" w:color="808080"/>
              <w:left w:val="single" w:sz="4" w:space="0" w:color="808080"/>
              <w:bottom w:val="single" w:sz="4" w:space="0" w:color="808080"/>
              <w:right w:val="single" w:sz="4" w:space="0" w:color="808080"/>
            </w:tcBorders>
            <w:vAlign w:val="center"/>
          </w:tcPr>
          <w:p w14:paraId="47574A1C" w14:textId="77777777" w:rsidR="00AC30F5" w:rsidRDefault="00000000">
            <w:pPr>
              <w:jc w:val="center"/>
            </w:pPr>
            <w:r>
              <w:rPr>
                <w:sz w:val="17"/>
              </w:rPr>
              <w:t>51.5%-54.0%</w:t>
            </w:r>
          </w:p>
        </w:tc>
        <w:tc>
          <w:tcPr>
            <w:tcW w:w="2550" w:type="dxa"/>
            <w:tcBorders>
              <w:top w:val="single" w:sz="4" w:space="0" w:color="808080"/>
              <w:left w:val="single" w:sz="4" w:space="0" w:color="808080"/>
              <w:bottom w:val="single" w:sz="4" w:space="0" w:color="808080"/>
              <w:right w:val="single" w:sz="4" w:space="0" w:color="808080"/>
            </w:tcBorders>
            <w:vAlign w:val="center"/>
          </w:tcPr>
          <w:p w14:paraId="7AC2F80C" w14:textId="77777777" w:rsidR="00AC30F5" w:rsidRDefault="00000000">
            <w:pPr>
              <w:jc w:val="center"/>
            </w:pPr>
            <w:r>
              <w:rPr>
                <w:sz w:val="17"/>
              </w:rPr>
              <w:t>51.5%-54.0%</w:t>
            </w:r>
          </w:p>
        </w:tc>
        <w:tc>
          <w:tcPr>
            <w:tcW w:w="2550" w:type="dxa"/>
            <w:tcBorders>
              <w:top w:val="single" w:sz="4" w:space="0" w:color="808080"/>
              <w:left w:val="single" w:sz="4" w:space="0" w:color="808080"/>
              <w:bottom w:val="single" w:sz="4" w:space="0" w:color="808080"/>
              <w:right w:val="single" w:sz="4" w:space="0" w:color="808080"/>
            </w:tcBorders>
            <w:vAlign w:val="center"/>
          </w:tcPr>
          <w:p w14:paraId="24B2E96F" w14:textId="77777777" w:rsidR="00AC30F5" w:rsidRDefault="00000000">
            <w:pPr>
              <w:jc w:val="center"/>
            </w:pPr>
            <w:r>
              <w:rPr>
                <w:sz w:val="17"/>
              </w:rPr>
              <w:t>52.0%-56.0%</w:t>
            </w:r>
          </w:p>
        </w:tc>
      </w:tr>
      <w:tr w:rsidR="00AC30F5" w14:paraId="60ADC4C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5934D5" w14:textId="77777777" w:rsidR="00AC30F5" w:rsidRDefault="00000000">
            <w:r>
              <w:rPr>
                <w:sz w:val="17"/>
              </w:rPr>
              <w:t>WACC</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4C8FBE" w14:textId="77777777" w:rsidR="00AC30F5" w:rsidRDefault="00000000">
            <w:pPr>
              <w:jc w:val="center"/>
            </w:pPr>
            <w:r>
              <w:rPr>
                <w:sz w:val="17"/>
              </w:rPr>
              <w:t>13.79%</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93346FD" w14:textId="77777777" w:rsidR="00AC30F5" w:rsidRDefault="00000000">
            <w:pPr>
              <w:jc w:val="center"/>
            </w:pPr>
            <w:r>
              <w:rPr>
                <w:sz w:val="17"/>
              </w:rPr>
              <w:t>13.79%</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F371F04" w14:textId="77777777" w:rsidR="00AC30F5" w:rsidRDefault="00000000">
            <w:pPr>
              <w:jc w:val="center"/>
            </w:pPr>
            <w:r>
              <w:rPr>
                <w:sz w:val="17"/>
              </w:rPr>
              <w:t>12.50%</w:t>
            </w:r>
          </w:p>
        </w:tc>
      </w:tr>
      <w:tr w:rsidR="00AC30F5" w14:paraId="771F3D61"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0561F3F6" w14:textId="77777777" w:rsidR="00AC30F5" w:rsidRDefault="00000000">
            <w:r>
              <w:rPr>
                <w:sz w:val="17"/>
              </w:rPr>
              <w:t>Terminal Growth</w:t>
            </w:r>
          </w:p>
        </w:tc>
        <w:tc>
          <w:tcPr>
            <w:tcW w:w="2550" w:type="dxa"/>
            <w:tcBorders>
              <w:top w:val="single" w:sz="4" w:space="0" w:color="808080"/>
              <w:left w:val="single" w:sz="4" w:space="0" w:color="808080"/>
              <w:bottom w:val="single" w:sz="4" w:space="0" w:color="808080"/>
              <w:right w:val="single" w:sz="4" w:space="0" w:color="808080"/>
            </w:tcBorders>
            <w:vAlign w:val="center"/>
          </w:tcPr>
          <w:p w14:paraId="19D8E1A9" w14:textId="77777777" w:rsidR="00AC30F5" w:rsidRDefault="00000000">
            <w:pPr>
              <w:jc w:val="center"/>
            </w:pPr>
            <w:r>
              <w:rPr>
                <w:sz w:val="17"/>
              </w:rPr>
              <w:t>2.50%</w:t>
            </w:r>
          </w:p>
        </w:tc>
        <w:tc>
          <w:tcPr>
            <w:tcW w:w="2550" w:type="dxa"/>
            <w:tcBorders>
              <w:top w:val="single" w:sz="4" w:space="0" w:color="808080"/>
              <w:left w:val="single" w:sz="4" w:space="0" w:color="808080"/>
              <w:bottom w:val="single" w:sz="4" w:space="0" w:color="808080"/>
              <w:right w:val="single" w:sz="4" w:space="0" w:color="808080"/>
            </w:tcBorders>
            <w:vAlign w:val="center"/>
          </w:tcPr>
          <w:p w14:paraId="3055DA33" w14:textId="77777777" w:rsidR="00AC30F5" w:rsidRDefault="00000000">
            <w:pPr>
              <w:jc w:val="center"/>
            </w:pPr>
            <w:r>
              <w:rPr>
                <w:sz w:val="17"/>
              </w:rPr>
              <w:t>2.50%</w:t>
            </w:r>
          </w:p>
        </w:tc>
        <w:tc>
          <w:tcPr>
            <w:tcW w:w="2550" w:type="dxa"/>
            <w:tcBorders>
              <w:top w:val="single" w:sz="4" w:space="0" w:color="808080"/>
              <w:left w:val="single" w:sz="4" w:space="0" w:color="808080"/>
              <w:bottom w:val="single" w:sz="4" w:space="0" w:color="808080"/>
              <w:right w:val="single" w:sz="4" w:space="0" w:color="808080"/>
            </w:tcBorders>
            <w:vAlign w:val="center"/>
          </w:tcPr>
          <w:p w14:paraId="68A0AD24" w14:textId="77777777" w:rsidR="00AC30F5" w:rsidRDefault="00000000">
            <w:pPr>
              <w:jc w:val="center"/>
            </w:pPr>
            <w:r>
              <w:rPr>
                <w:sz w:val="17"/>
              </w:rPr>
              <w:t>2.50%</w:t>
            </w:r>
          </w:p>
        </w:tc>
      </w:tr>
      <w:tr w:rsidR="00AC30F5" w14:paraId="55C2FB3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82A362" w14:textId="77777777" w:rsidR="00AC30F5" w:rsidRDefault="00000000">
            <w:r>
              <w:rPr>
                <w:sz w:val="17"/>
              </w:rPr>
              <w:t>2030 Free Cash Flow ($B)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2C2A4DE" w14:textId="77777777" w:rsidR="00AC30F5" w:rsidRDefault="00000000">
            <w:pPr>
              <w:jc w:val="center"/>
            </w:pPr>
            <w:r>
              <w:rPr>
                <w:sz w:val="17"/>
              </w:rPr>
              <w:t>13.8</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03BB051" w14:textId="77777777" w:rsidR="00AC30F5" w:rsidRDefault="00000000">
            <w:pPr>
              <w:jc w:val="center"/>
            </w:pPr>
            <w:r>
              <w:rPr>
                <w:sz w:val="17"/>
              </w:rPr>
              <w:t>17.5</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CE7DAD5" w14:textId="77777777" w:rsidR="00AC30F5" w:rsidRDefault="00000000">
            <w:pPr>
              <w:jc w:val="center"/>
            </w:pPr>
            <w:r>
              <w:rPr>
                <w:sz w:val="17"/>
              </w:rPr>
              <w:t>19.3</w:t>
            </w:r>
          </w:p>
        </w:tc>
      </w:tr>
      <w:tr w:rsidR="00AC30F5" w14:paraId="2DA6ADC3"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342B4A2A" w14:textId="77777777" w:rsidR="00AC30F5" w:rsidRDefault="00000000">
            <w:r>
              <w:rPr>
                <w:b/>
                <w:sz w:val="17"/>
              </w:rPr>
              <w:t>Enterprise Value ($B)</w:t>
            </w:r>
          </w:p>
        </w:tc>
        <w:tc>
          <w:tcPr>
            <w:tcW w:w="2550" w:type="dxa"/>
            <w:tcBorders>
              <w:top w:val="single" w:sz="4" w:space="0" w:color="808080"/>
              <w:left w:val="single" w:sz="4" w:space="0" w:color="808080"/>
              <w:bottom w:val="single" w:sz="4" w:space="0" w:color="808080"/>
              <w:right w:val="single" w:sz="4" w:space="0" w:color="808080"/>
            </w:tcBorders>
            <w:vAlign w:val="center"/>
          </w:tcPr>
          <w:p w14:paraId="7BC8EC0B" w14:textId="77777777" w:rsidR="00AC30F5" w:rsidRDefault="00000000">
            <w:pPr>
              <w:jc w:val="center"/>
            </w:pPr>
            <w:r>
              <w:rPr>
                <w:sz w:val="17"/>
              </w:rPr>
              <w:t>97.1</w:t>
            </w:r>
          </w:p>
        </w:tc>
        <w:tc>
          <w:tcPr>
            <w:tcW w:w="2550" w:type="dxa"/>
            <w:tcBorders>
              <w:top w:val="single" w:sz="4" w:space="0" w:color="808080"/>
              <w:left w:val="single" w:sz="4" w:space="0" w:color="808080"/>
              <w:bottom w:val="single" w:sz="4" w:space="0" w:color="808080"/>
              <w:right w:val="single" w:sz="4" w:space="0" w:color="808080"/>
            </w:tcBorders>
            <w:vAlign w:val="center"/>
          </w:tcPr>
          <w:p w14:paraId="66146A70" w14:textId="77777777" w:rsidR="00AC30F5" w:rsidRDefault="00000000">
            <w:pPr>
              <w:jc w:val="center"/>
            </w:pPr>
            <w:r>
              <w:rPr>
                <w:sz w:val="17"/>
              </w:rPr>
              <w:t>121.2</w:t>
            </w:r>
          </w:p>
        </w:tc>
        <w:tc>
          <w:tcPr>
            <w:tcW w:w="2550" w:type="dxa"/>
            <w:tcBorders>
              <w:top w:val="single" w:sz="4" w:space="0" w:color="808080"/>
              <w:left w:val="single" w:sz="4" w:space="0" w:color="808080"/>
              <w:bottom w:val="single" w:sz="4" w:space="0" w:color="808080"/>
              <w:right w:val="single" w:sz="4" w:space="0" w:color="808080"/>
            </w:tcBorders>
            <w:vAlign w:val="center"/>
          </w:tcPr>
          <w:p w14:paraId="3844420D" w14:textId="77777777" w:rsidR="00AC30F5" w:rsidRDefault="00000000">
            <w:pPr>
              <w:jc w:val="center"/>
            </w:pPr>
            <w:r>
              <w:rPr>
                <w:sz w:val="17"/>
              </w:rPr>
              <w:t>153.6</w:t>
            </w:r>
          </w:p>
        </w:tc>
      </w:tr>
      <w:tr w:rsidR="00AC30F5" w14:paraId="60C7DA11"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E64DECA" w14:textId="77777777" w:rsidR="00AC30F5" w:rsidRDefault="00000000">
            <w:r>
              <w:rPr>
                <w:b/>
                <w:sz w:val="17"/>
              </w:rPr>
              <w:t>Equity Value ($B)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EC3DA21" w14:textId="77777777" w:rsidR="00AC30F5" w:rsidRDefault="00000000">
            <w:pPr>
              <w:jc w:val="center"/>
            </w:pPr>
            <w:r>
              <w:rPr>
                <w:sz w:val="17"/>
              </w:rPr>
              <w:t>104.4</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A93E973" w14:textId="77777777" w:rsidR="00AC30F5" w:rsidRDefault="00000000">
            <w:pPr>
              <w:jc w:val="center"/>
            </w:pPr>
            <w:r>
              <w:rPr>
                <w:sz w:val="17"/>
              </w:rPr>
              <w:t>128.5</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76FA2DE" w14:textId="77777777" w:rsidR="00AC30F5" w:rsidRDefault="00000000">
            <w:pPr>
              <w:jc w:val="center"/>
            </w:pPr>
            <w:r>
              <w:rPr>
                <w:sz w:val="17"/>
              </w:rPr>
              <w:t>160.9</w:t>
            </w:r>
          </w:p>
        </w:tc>
      </w:tr>
      <w:tr w:rsidR="00AC30F5" w14:paraId="0F071A9B"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6E059996" w14:textId="77777777" w:rsidR="00AC30F5" w:rsidRDefault="00000000">
            <w:r>
              <w:rPr>
                <w:b/>
                <w:sz w:val="17"/>
              </w:rPr>
              <w:t>Implied Share Price</w:t>
            </w:r>
          </w:p>
        </w:tc>
        <w:tc>
          <w:tcPr>
            <w:tcW w:w="2550" w:type="dxa"/>
            <w:tcBorders>
              <w:top w:val="single" w:sz="4" w:space="0" w:color="808080"/>
              <w:left w:val="single" w:sz="4" w:space="0" w:color="808080"/>
              <w:bottom w:val="single" w:sz="4" w:space="0" w:color="808080"/>
              <w:right w:val="single" w:sz="4" w:space="0" w:color="808080"/>
            </w:tcBorders>
            <w:vAlign w:val="center"/>
          </w:tcPr>
          <w:p w14:paraId="67E20068" w14:textId="77777777" w:rsidR="00AC30F5" w:rsidRDefault="00000000">
            <w:pPr>
              <w:jc w:val="center"/>
            </w:pPr>
            <w:r>
              <w:rPr>
                <w:sz w:val="17"/>
              </w:rPr>
              <w:t>$58.16</w:t>
            </w:r>
          </w:p>
        </w:tc>
        <w:tc>
          <w:tcPr>
            <w:tcW w:w="2550" w:type="dxa"/>
            <w:tcBorders>
              <w:top w:val="single" w:sz="4" w:space="0" w:color="808080"/>
              <w:left w:val="single" w:sz="4" w:space="0" w:color="808080"/>
              <w:bottom w:val="single" w:sz="4" w:space="0" w:color="808080"/>
              <w:right w:val="single" w:sz="4" w:space="0" w:color="808080"/>
            </w:tcBorders>
            <w:vAlign w:val="center"/>
          </w:tcPr>
          <w:p w14:paraId="64368BCB" w14:textId="77777777" w:rsidR="00AC30F5" w:rsidRDefault="00000000">
            <w:pPr>
              <w:jc w:val="center"/>
            </w:pPr>
            <w:r>
              <w:rPr>
                <w:sz w:val="17"/>
              </w:rPr>
              <w:t>$71.54</w:t>
            </w:r>
          </w:p>
        </w:tc>
        <w:tc>
          <w:tcPr>
            <w:tcW w:w="2550" w:type="dxa"/>
            <w:tcBorders>
              <w:top w:val="single" w:sz="4" w:space="0" w:color="808080"/>
              <w:left w:val="single" w:sz="4" w:space="0" w:color="808080"/>
              <w:bottom w:val="single" w:sz="4" w:space="0" w:color="808080"/>
              <w:right w:val="single" w:sz="4" w:space="0" w:color="808080"/>
            </w:tcBorders>
            <w:vAlign w:val="center"/>
          </w:tcPr>
          <w:p w14:paraId="1B9DC7CF" w14:textId="77777777" w:rsidR="00AC30F5" w:rsidRDefault="00000000">
            <w:pPr>
              <w:jc w:val="center"/>
            </w:pPr>
            <w:r>
              <w:rPr>
                <w:sz w:val="17"/>
              </w:rPr>
              <w:t>$89.60</w:t>
            </w:r>
          </w:p>
        </w:tc>
      </w:tr>
      <w:tr w:rsidR="00AC30F5" w14:paraId="645F6189"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946DF3" w14:textId="77777777" w:rsidR="00AC30F5" w:rsidRDefault="00000000">
            <w:r>
              <w:rPr>
                <w:sz w:val="17"/>
              </w:rPr>
              <w:t>vs $480 Market Price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F4ABB40" w14:textId="77777777" w:rsidR="00AC30F5" w:rsidRDefault="00000000">
            <w:pPr>
              <w:jc w:val="center"/>
            </w:pPr>
            <w:r>
              <w:rPr>
                <w:sz w:val="17"/>
              </w:rPr>
              <w:t>(87.9%)</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0FE5407" w14:textId="77777777" w:rsidR="00AC30F5" w:rsidRDefault="00000000">
            <w:pPr>
              <w:jc w:val="center"/>
            </w:pPr>
            <w:r>
              <w:rPr>
                <w:sz w:val="17"/>
              </w:rPr>
              <w:t>(85.1%)</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EA58DA" w14:textId="77777777" w:rsidR="00AC30F5" w:rsidRDefault="00000000">
            <w:pPr>
              <w:jc w:val="center"/>
            </w:pPr>
            <w:r>
              <w:rPr>
                <w:sz w:val="17"/>
              </w:rPr>
              <w:t>(81.3%)</w:t>
            </w:r>
          </w:p>
        </w:tc>
      </w:tr>
    </w:tbl>
    <w:p w14:paraId="3A2DA368" w14:textId="77777777" w:rsidR="00AC30F5" w:rsidRDefault="00AC30F5">
      <w:pPr>
        <w:spacing w:after="80"/>
      </w:pPr>
    </w:p>
    <w:p w14:paraId="03E29012" w14:textId="77777777" w:rsidR="00AC30F5" w:rsidRDefault="00000000">
      <w:pPr>
        <w:pStyle w:val="Heading2"/>
      </w:pPr>
      <w:r>
        <w:t>WACC and Terminal Value Discussion</w:t>
      </w:r>
    </w:p>
    <w:p w14:paraId="25BDBA5D" w14:textId="77777777" w:rsidR="00AC30F5" w:rsidRDefault="00000000">
      <w:pPr>
        <w:spacing w:after="80"/>
        <w:jc w:val="both"/>
      </w:pPr>
      <w:r>
        <w:t>The WACC of 13.79% used in Scenarios A and B reflects a CAPM cost of equity of 13.88% (4.25% risk-free rate + 1.75 beta × 5.50% ERP) blended with a 3.48% after-tax cost of debt at AMD's near-equity-only capital structure (99.16% equity / 0.84% debt by market value). The risk-free rate is consistent with the FRED 10-year Treasury yield in early 2026; the ERP sits between Damodaran's implied ERP (approximately 4.0-4.3% in 2025-2026) and his 97-year historical geometric average (5.44%); the beta of 1.75 is elevated relative to Damodaran's January 2026 semiconductor industry average of 1.52, reflecting AMD's specific volatility profile. Scenario C lowers the WACC to 12.50%, which can be decomposed into a 1.75 beta at a 5.00% ERP (closer to the implied ERP) or a 1.50 beta at a 5.50% ERP (closer to the industry average beta); either decomposition represents a defensible but optimistic parameter choice.</w:t>
      </w:r>
    </w:p>
    <w:p w14:paraId="7AA3419F" w14:textId="77777777" w:rsidR="00AC30F5" w:rsidRDefault="00000000">
      <w:pPr>
        <w:spacing w:after="80"/>
        <w:jc w:val="both"/>
      </w:pPr>
      <w:r>
        <w:t>Terminal value represents 71.9% of enterprise value in Scenario A, 73.4% in Scenario B, and 75.9% in Scenario C — reflecting the structural dominance of terminal value in five-year DCF models applied to high-growth companies. This dominance is a known vulnerability of the approach: small changes in the discount rate or terminal growth rate can shift the implied valuation materially. We address this through the two-way sensitivity table in Appendix C, which shows the implied price across WACC 11-16% and terminal growth 1.5-3.5%. Even at the most optimistic corner (WACC 11%, g 3.5%), the implied price reaches only $86.53 — still 82% below the $480 market price. The terminal value dominance is therefore not the principal driver of the gap to market; the principal driver is that the market price implies 2030 free cash flow far exceeding any defensible projection, as the reverse DCF in the next section demonstrates.</w:t>
      </w:r>
    </w:p>
    <w:p w14:paraId="641967AC" w14:textId="77777777" w:rsidR="00AC30F5" w:rsidRDefault="00000000">
      <w:pPr>
        <w:pStyle w:val="Heading2"/>
      </w:pPr>
      <w:r>
        <w:lastRenderedPageBreak/>
        <w:t>Terminal Value Reliability and the R&amp;D Capitalization Tension</w:t>
      </w:r>
    </w:p>
    <w:p w14:paraId="3DAB1584" w14:textId="77777777" w:rsidR="00AC30F5" w:rsidRDefault="00000000">
      <w:pPr>
        <w:spacing w:after="80"/>
        <w:jc w:val="both"/>
      </w:pPr>
      <w:r>
        <w:t>A structural feature of the model worth flagging is that the terminal-year reinvestment rate (approximately 1%) is below the 12.5% required to sustain 2.5% terminal growth at the assumed 20% terminal ROIC (g = ROIC × reinvestment rate). This gap arises because the model expenses research and development rather than capitalizing it, and R&amp;D is the principal reinvestment activity for a fabless semiconductor designer. We tested whether capitalizing R&amp;D (per Damodaran's methodology, amortizing over a 5-year useful life) would close the gap, and found that it actually widens it: the adjusted ROIC falls from the assumed 20% to 6.6% (FY2025: adjusted NOPAT $5.4B / adjusted invested capital $82.3B including a $19.4B R&amp;D asset), which in turn raises the required terminal reinvestment rate from 12.5% to 37.9%. The logical implication is that the 20% terminal ROIC assumption is itself optimistic — but lowering it would either require a much higher reinvestment rate (reducing terminal free cash flow) or a much lower terminal growth rate (also reducing terminal value). Either adjustment would lower the implied valuation, widening rather than narrowing the gap to the $480 market price. We retain the 2.5% terminal growth rate as a deliberate conservative anchor and acknowledge that terminal value is the least reliable component of the model; the sensitivity table in Appendix C discloses the full range of defensible outputs. The SELL rating does not depend on the precision of the terminal value — it holds across the full range of defensible WACC, terminal growth, and terminal ROIC combinations.</w:t>
      </w:r>
    </w:p>
    <w:p w14:paraId="67652F3C" w14:textId="77777777" w:rsidR="00AC30F5" w:rsidRDefault="00000000">
      <w:pPr>
        <w:pStyle w:val="Heading1"/>
      </w:pPr>
      <w:r>
        <w:t>Reverse DCF: What the Market Is Pricing In</w:t>
      </w:r>
    </w:p>
    <w:p w14:paraId="2FD1F92C" w14:textId="77777777" w:rsidR="00AC30F5" w:rsidRDefault="00000000">
      <w:pPr>
        <w:pStyle w:val="Heading2"/>
      </w:pPr>
      <w:r>
        <w:t>Methodology</w:t>
      </w:r>
    </w:p>
    <w:p w14:paraId="2550E7CD" w14:textId="77777777" w:rsidR="00AC30F5" w:rsidRDefault="00000000">
      <w:pPr>
        <w:spacing w:after="80"/>
        <w:jc w:val="both"/>
      </w:pPr>
      <w:r>
        <w:t>The reverse DCF is the most informative single piece of analysis in this note. Rather than starting from assumptions and deriving a value, it starts from the market price and solves for the future free cash flow that the market implies, holding the discount rate and terminal growth rate constant. This makes the market's implicit growth expectations explicit and auditable, and allows a direct comparison between what the market is pricing in and what any defensible scenario can produce.</w:t>
      </w:r>
    </w:p>
    <w:p w14:paraId="2BD95CA5" w14:textId="77777777" w:rsidR="00AC30F5" w:rsidRDefault="00000000">
      <w:pPr>
        <w:pStyle w:val="Heading2"/>
      </w:pPr>
      <w:r>
        <w:t>Computation at $480</w:t>
      </w:r>
    </w:p>
    <w:p w14:paraId="4CC3F01F" w14:textId="77777777" w:rsidR="00AC30F5" w:rsidRDefault="00000000">
      <w:pPr>
        <w:spacing w:after="80"/>
        <w:jc w:val="both"/>
      </w:pPr>
      <w:r>
        <w:t>Holding WACC at 13.79% and terminal growth at 2.5% (the Scenario A parameters), the $480 market price implies a 2030 free cash flow of approximately $163B, versus the model's Scenario A projection of $13.8B (a 1,084% premium, or 11.8x the model) and Scenario C projection of $19.3B (a 743% premium, or 8.4x the model). The computation is set out in Table 4.</w:t>
      </w:r>
    </w:p>
    <w:p w14:paraId="13DFA85C" w14:textId="77777777" w:rsidR="00AC30F5" w:rsidRDefault="00000000">
      <w:pPr>
        <w:spacing w:before="120" w:after="40"/>
      </w:pPr>
      <w:r>
        <w:rPr>
          <w:b/>
          <w:color w:val="1F4E78"/>
          <w:sz w:val="19"/>
        </w:rPr>
        <w:t>Table 4: Reverse DCF at $480</w:t>
      </w:r>
    </w:p>
    <w:tbl>
      <w:tblPr>
        <w:tblW w:w="0" w:type="auto"/>
        <w:jc w:val="center"/>
        <w:tblLook w:val="04A0" w:firstRow="1" w:lastRow="0" w:firstColumn="1" w:lastColumn="0" w:noHBand="0" w:noVBand="1"/>
      </w:tblPr>
      <w:tblGrid>
        <w:gridCol w:w="3400"/>
        <w:gridCol w:w="3400"/>
        <w:gridCol w:w="3400"/>
      </w:tblGrid>
      <w:tr w:rsidR="00AC30F5" w14:paraId="651A01DD"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64A95C3" w14:textId="77777777" w:rsidR="00AC30F5" w:rsidRDefault="00000000">
            <w:pPr>
              <w:jc w:val="center"/>
            </w:pPr>
            <w:r>
              <w:rPr>
                <w:b/>
                <w:color w:val="FFFFFF"/>
                <w:sz w:val="17"/>
              </w:rPr>
              <w:t>Step</w:t>
            </w:r>
          </w:p>
        </w:tc>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6600020" w14:textId="77777777" w:rsidR="00AC30F5" w:rsidRDefault="00000000">
            <w:pPr>
              <w:jc w:val="center"/>
            </w:pPr>
            <w:r>
              <w:rPr>
                <w:b/>
                <w:color w:val="FFFFFF"/>
                <w:sz w:val="17"/>
              </w:rPr>
              <w:t>Calculation</w:t>
            </w:r>
          </w:p>
        </w:tc>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BF1C4DC" w14:textId="77777777" w:rsidR="00AC30F5" w:rsidRDefault="00000000">
            <w:pPr>
              <w:jc w:val="center"/>
            </w:pPr>
            <w:r>
              <w:rPr>
                <w:b/>
                <w:color w:val="FFFFFF"/>
                <w:sz w:val="17"/>
              </w:rPr>
              <w:t>Result</w:t>
            </w:r>
          </w:p>
        </w:tc>
      </w:tr>
      <w:tr w:rsidR="00AC30F5" w14:paraId="2C18B8B6"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31C6623D" w14:textId="77777777" w:rsidR="00AC30F5" w:rsidRDefault="00000000">
            <w:r>
              <w:rPr>
                <w:sz w:val="17"/>
              </w:rPr>
              <w:t>1. Market equity value</w:t>
            </w:r>
          </w:p>
        </w:tc>
        <w:tc>
          <w:tcPr>
            <w:tcW w:w="3400" w:type="dxa"/>
            <w:tcBorders>
              <w:top w:val="single" w:sz="4" w:space="0" w:color="808080"/>
              <w:left w:val="single" w:sz="4" w:space="0" w:color="808080"/>
              <w:bottom w:val="single" w:sz="4" w:space="0" w:color="808080"/>
              <w:right w:val="single" w:sz="4" w:space="0" w:color="808080"/>
            </w:tcBorders>
            <w:vAlign w:val="center"/>
          </w:tcPr>
          <w:p w14:paraId="22B387AB" w14:textId="77777777" w:rsidR="00AC30F5" w:rsidRDefault="00000000">
            <w:pPr>
              <w:jc w:val="center"/>
            </w:pPr>
            <w:r>
              <w:rPr>
                <w:sz w:val="17"/>
              </w:rPr>
              <w:t>1,796M shares × $480</w:t>
            </w:r>
          </w:p>
        </w:tc>
        <w:tc>
          <w:tcPr>
            <w:tcW w:w="3400" w:type="dxa"/>
            <w:tcBorders>
              <w:top w:val="single" w:sz="4" w:space="0" w:color="808080"/>
              <w:left w:val="single" w:sz="4" w:space="0" w:color="808080"/>
              <w:bottom w:val="single" w:sz="4" w:space="0" w:color="808080"/>
              <w:right w:val="single" w:sz="4" w:space="0" w:color="808080"/>
            </w:tcBorders>
            <w:vAlign w:val="center"/>
          </w:tcPr>
          <w:p w14:paraId="5C6865DD" w14:textId="77777777" w:rsidR="00AC30F5" w:rsidRDefault="00000000">
            <w:pPr>
              <w:jc w:val="center"/>
            </w:pPr>
            <w:r>
              <w:rPr>
                <w:sz w:val="17"/>
              </w:rPr>
              <w:t>$862,080M</w:t>
            </w:r>
          </w:p>
        </w:tc>
      </w:tr>
      <w:tr w:rsidR="00AC30F5" w14:paraId="23313E93"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B72E766" w14:textId="77777777" w:rsidR="00AC30F5" w:rsidRDefault="00000000">
            <w:r>
              <w:rPr>
                <w:sz w:val="17"/>
              </w:rPr>
              <w:t>2. Add net debt</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2240043" w14:textId="77777777" w:rsidR="00AC30F5" w:rsidRDefault="00000000">
            <w:pPr>
              <w:jc w:val="center"/>
            </w:pPr>
            <w:r>
              <w:rPr>
                <w:sz w:val="17"/>
              </w:rPr>
              <w:t>$862,080M + ($3,250M − $10,552M)</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2AB367" w14:textId="77777777" w:rsidR="00AC30F5" w:rsidRDefault="00000000">
            <w:pPr>
              <w:jc w:val="center"/>
            </w:pPr>
            <w:r>
              <w:rPr>
                <w:sz w:val="17"/>
              </w:rPr>
              <w:t>$854,778M (EV)</w:t>
            </w:r>
          </w:p>
        </w:tc>
      </w:tr>
      <w:tr w:rsidR="00AC30F5" w14:paraId="6FDAD77F"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333A642C" w14:textId="77777777" w:rsidR="00AC30F5" w:rsidRDefault="00000000">
            <w:r>
              <w:rPr>
                <w:sz w:val="17"/>
              </w:rPr>
              <w:t>3. Less PV of explicit FCFs (Scenario A)</w:t>
            </w:r>
          </w:p>
        </w:tc>
        <w:tc>
          <w:tcPr>
            <w:tcW w:w="3400" w:type="dxa"/>
            <w:tcBorders>
              <w:top w:val="single" w:sz="4" w:space="0" w:color="808080"/>
              <w:left w:val="single" w:sz="4" w:space="0" w:color="808080"/>
              <w:bottom w:val="single" w:sz="4" w:space="0" w:color="808080"/>
              <w:right w:val="single" w:sz="4" w:space="0" w:color="808080"/>
            </w:tcBorders>
            <w:vAlign w:val="center"/>
          </w:tcPr>
          <w:p w14:paraId="6221AC7F" w14:textId="77777777" w:rsidR="00AC30F5" w:rsidRDefault="00000000">
            <w:pPr>
              <w:jc w:val="center"/>
            </w:pPr>
            <w:r>
              <w:rPr>
                <w:sz w:val="17"/>
              </w:rPr>
              <w:t>$854,778M − $27,286M</w:t>
            </w:r>
          </w:p>
        </w:tc>
        <w:tc>
          <w:tcPr>
            <w:tcW w:w="3400" w:type="dxa"/>
            <w:tcBorders>
              <w:top w:val="single" w:sz="4" w:space="0" w:color="808080"/>
              <w:left w:val="single" w:sz="4" w:space="0" w:color="808080"/>
              <w:bottom w:val="single" w:sz="4" w:space="0" w:color="808080"/>
              <w:right w:val="single" w:sz="4" w:space="0" w:color="808080"/>
            </w:tcBorders>
            <w:vAlign w:val="center"/>
          </w:tcPr>
          <w:p w14:paraId="40E36D09" w14:textId="77777777" w:rsidR="00AC30F5" w:rsidRDefault="00000000">
            <w:pPr>
              <w:jc w:val="center"/>
            </w:pPr>
            <w:r>
              <w:rPr>
                <w:sz w:val="17"/>
              </w:rPr>
              <w:t>$827,492M (PV of TV)</w:t>
            </w:r>
          </w:p>
        </w:tc>
      </w:tr>
      <w:tr w:rsidR="00AC30F5" w14:paraId="77A0E96D"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98A0C30" w14:textId="77777777" w:rsidR="00AC30F5" w:rsidRDefault="00000000">
            <w:r>
              <w:rPr>
                <w:sz w:val="17"/>
              </w:rPr>
              <w:t>4. Solve for implied terminal FCF</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0025A65" w14:textId="77777777" w:rsidR="00AC30F5" w:rsidRDefault="00000000">
            <w:pPr>
              <w:jc w:val="center"/>
            </w:pPr>
            <w:r>
              <w:rPr>
                <w:sz w:val="17"/>
              </w:rPr>
              <w:t>PV_TV × (WACC − g) / ((1+g) × DF5)</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55276B5" w14:textId="77777777" w:rsidR="00AC30F5" w:rsidRDefault="00AC30F5">
            <w:pPr>
              <w:jc w:val="center"/>
            </w:pPr>
          </w:p>
        </w:tc>
      </w:tr>
      <w:tr w:rsidR="00AC30F5" w14:paraId="7A59F2E2"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7327E2F8" w14:textId="77777777" w:rsidR="00AC30F5" w:rsidRDefault="00000000">
            <w:r>
              <w:rPr>
                <w:sz w:val="17"/>
              </w:rPr>
              <w:t xml:space="preserve">   Where DF5 = 1/(1.1379)^4.5</w:t>
            </w:r>
          </w:p>
        </w:tc>
        <w:tc>
          <w:tcPr>
            <w:tcW w:w="3400" w:type="dxa"/>
            <w:tcBorders>
              <w:top w:val="single" w:sz="4" w:space="0" w:color="808080"/>
              <w:left w:val="single" w:sz="4" w:space="0" w:color="808080"/>
              <w:bottom w:val="single" w:sz="4" w:space="0" w:color="808080"/>
              <w:right w:val="single" w:sz="4" w:space="0" w:color="808080"/>
            </w:tcBorders>
            <w:vAlign w:val="center"/>
          </w:tcPr>
          <w:p w14:paraId="5C3B4558" w14:textId="77777777" w:rsidR="00AC30F5" w:rsidRDefault="00000000">
            <w:pPr>
              <w:jc w:val="center"/>
            </w:pPr>
            <w:r>
              <w:rPr>
                <w:sz w:val="17"/>
              </w:rPr>
              <w:t>= 0.5592</w:t>
            </w:r>
          </w:p>
        </w:tc>
        <w:tc>
          <w:tcPr>
            <w:tcW w:w="3400" w:type="dxa"/>
            <w:tcBorders>
              <w:top w:val="single" w:sz="4" w:space="0" w:color="808080"/>
              <w:left w:val="single" w:sz="4" w:space="0" w:color="808080"/>
              <w:bottom w:val="single" w:sz="4" w:space="0" w:color="808080"/>
              <w:right w:val="single" w:sz="4" w:space="0" w:color="808080"/>
            </w:tcBorders>
            <w:vAlign w:val="center"/>
          </w:tcPr>
          <w:p w14:paraId="68E0278B" w14:textId="77777777" w:rsidR="00AC30F5" w:rsidRDefault="00AC30F5">
            <w:pPr>
              <w:jc w:val="center"/>
            </w:pPr>
          </w:p>
        </w:tc>
      </w:tr>
      <w:tr w:rsidR="00AC30F5" w14:paraId="5265A2C7"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7C7BDD0" w14:textId="77777777" w:rsidR="00AC30F5" w:rsidRDefault="00000000">
            <w:r>
              <w:rPr>
                <w:sz w:val="17"/>
              </w:rPr>
              <w:t>5. Implied terminal FCF (2030)</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4C9BC2F" w14:textId="77777777" w:rsidR="00AC30F5" w:rsidRDefault="00000000">
            <w:pPr>
              <w:jc w:val="center"/>
            </w:pPr>
            <w:r>
              <w:rPr>
                <w:sz w:val="17"/>
              </w:rPr>
              <w:t>$827,492M × 11.01% / 0.5592</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A455F4A" w14:textId="77777777" w:rsidR="00AC30F5" w:rsidRDefault="00000000">
            <w:pPr>
              <w:jc w:val="center"/>
            </w:pPr>
            <w:r>
              <w:rPr>
                <w:sz w:val="17"/>
              </w:rPr>
              <w:t>$162,968M</w:t>
            </w:r>
          </w:p>
        </w:tc>
      </w:tr>
      <w:tr w:rsidR="00AC30F5" w14:paraId="2833DBAB"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202280BD" w14:textId="77777777" w:rsidR="00AC30F5" w:rsidRDefault="00000000">
            <w:r>
              <w:rPr>
                <w:sz w:val="17"/>
              </w:rPr>
              <w:t>6. Model's Scenario A 2030 FCF</w:t>
            </w:r>
          </w:p>
        </w:tc>
        <w:tc>
          <w:tcPr>
            <w:tcW w:w="3400" w:type="dxa"/>
            <w:tcBorders>
              <w:top w:val="single" w:sz="4" w:space="0" w:color="808080"/>
              <w:left w:val="single" w:sz="4" w:space="0" w:color="808080"/>
              <w:bottom w:val="single" w:sz="4" w:space="0" w:color="808080"/>
              <w:right w:val="single" w:sz="4" w:space="0" w:color="808080"/>
            </w:tcBorders>
            <w:vAlign w:val="center"/>
          </w:tcPr>
          <w:p w14:paraId="66B1A155" w14:textId="77777777" w:rsidR="00AC30F5" w:rsidRDefault="00000000">
            <w:pPr>
              <w:jc w:val="center"/>
            </w:pPr>
            <w:r>
              <w:rPr>
                <w:sz w:val="17"/>
              </w:rPr>
              <w:t>From base case</w:t>
            </w:r>
          </w:p>
        </w:tc>
        <w:tc>
          <w:tcPr>
            <w:tcW w:w="3400" w:type="dxa"/>
            <w:tcBorders>
              <w:top w:val="single" w:sz="4" w:space="0" w:color="808080"/>
              <w:left w:val="single" w:sz="4" w:space="0" w:color="808080"/>
              <w:bottom w:val="single" w:sz="4" w:space="0" w:color="808080"/>
              <w:right w:val="single" w:sz="4" w:space="0" w:color="808080"/>
            </w:tcBorders>
            <w:vAlign w:val="center"/>
          </w:tcPr>
          <w:p w14:paraId="47872F71" w14:textId="77777777" w:rsidR="00AC30F5" w:rsidRDefault="00000000">
            <w:pPr>
              <w:jc w:val="center"/>
            </w:pPr>
            <w:r>
              <w:rPr>
                <w:sz w:val="17"/>
              </w:rPr>
              <w:t>$13,759M</w:t>
            </w:r>
          </w:p>
        </w:tc>
      </w:tr>
      <w:tr w:rsidR="00AC30F5" w14:paraId="0AC109BC"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87EEBE3" w14:textId="77777777" w:rsidR="00AC30F5" w:rsidRDefault="00000000">
            <w:r>
              <w:rPr>
                <w:sz w:val="17"/>
              </w:rPr>
              <w:t>7. Model's Scenario C 2030 FCF</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82C4937" w14:textId="77777777" w:rsidR="00AC30F5" w:rsidRDefault="00000000">
            <w:pPr>
              <w:jc w:val="center"/>
            </w:pPr>
            <w:r>
              <w:rPr>
                <w:sz w:val="17"/>
              </w:rPr>
              <w:t>From revised case</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01B673" w14:textId="77777777" w:rsidR="00AC30F5" w:rsidRDefault="00000000">
            <w:pPr>
              <w:jc w:val="center"/>
            </w:pPr>
            <w:r>
              <w:rPr>
                <w:sz w:val="17"/>
              </w:rPr>
              <w:t>$19,331M</w:t>
            </w:r>
          </w:p>
        </w:tc>
      </w:tr>
      <w:tr w:rsidR="00AC30F5" w14:paraId="3D5DBD6C"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2A9F2E5D" w14:textId="77777777" w:rsidR="00AC30F5" w:rsidRDefault="00000000">
            <w:r>
              <w:rPr>
                <w:sz w:val="17"/>
              </w:rPr>
              <w:t>8. Market premium vs Scenario A</w:t>
            </w:r>
          </w:p>
        </w:tc>
        <w:tc>
          <w:tcPr>
            <w:tcW w:w="3400" w:type="dxa"/>
            <w:tcBorders>
              <w:top w:val="single" w:sz="4" w:space="0" w:color="808080"/>
              <w:left w:val="single" w:sz="4" w:space="0" w:color="808080"/>
              <w:bottom w:val="single" w:sz="4" w:space="0" w:color="808080"/>
              <w:right w:val="single" w:sz="4" w:space="0" w:color="808080"/>
            </w:tcBorders>
            <w:vAlign w:val="center"/>
          </w:tcPr>
          <w:p w14:paraId="37C2810C" w14:textId="77777777" w:rsidR="00AC30F5" w:rsidRDefault="00000000">
            <w:pPr>
              <w:jc w:val="center"/>
            </w:pPr>
            <w:r>
              <w:rPr>
                <w:sz w:val="17"/>
              </w:rPr>
              <w:t>($162,968 − $13,759) / $13,759</w:t>
            </w:r>
          </w:p>
        </w:tc>
        <w:tc>
          <w:tcPr>
            <w:tcW w:w="3400" w:type="dxa"/>
            <w:tcBorders>
              <w:top w:val="single" w:sz="4" w:space="0" w:color="808080"/>
              <w:left w:val="single" w:sz="4" w:space="0" w:color="808080"/>
              <w:bottom w:val="single" w:sz="4" w:space="0" w:color="808080"/>
              <w:right w:val="single" w:sz="4" w:space="0" w:color="808080"/>
            </w:tcBorders>
            <w:vAlign w:val="center"/>
          </w:tcPr>
          <w:p w14:paraId="3BDD8C57" w14:textId="77777777" w:rsidR="00AC30F5" w:rsidRDefault="00000000">
            <w:pPr>
              <w:jc w:val="center"/>
            </w:pPr>
            <w:r>
              <w:rPr>
                <w:sz w:val="17"/>
              </w:rPr>
              <w:t>+1,084%</w:t>
            </w:r>
          </w:p>
        </w:tc>
      </w:tr>
      <w:tr w:rsidR="00AC30F5" w14:paraId="162DC1CF"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038AD94" w14:textId="77777777" w:rsidR="00AC30F5" w:rsidRDefault="00000000">
            <w:r>
              <w:rPr>
                <w:sz w:val="17"/>
              </w:rPr>
              <w:lastRenderedPageBreak/>
              <w:t>9. Market premium vs Scenario C</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967DC56" w14:textId="77777777" w:rsidR="00AC30F5" w:rsidRDefault="00000000">
            <w:pPr>
              <w:jc w:val="center"/>
            </w:pPr>
            <w:r>
              <w:rPr>
                <w:sz w:val="17"/>
              </w:rPr>
              <w:t>($162,968 − $19,331) / $19,331</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7C935B" w14:textId="77777777" w:rsidR="00AC30F5" w:rsidRDefault="00000000">
            <w:pPr>
              <w:jc w:val="center"/>
            </w:pPr>
            <w:r>
              <w:rPr>
                <w:sz w:val="17"/>
              </w:rPr>
              <w:t>+743%</w:t>
            </w:r>
          </w:p>
        </w:tc>
      </w:tr>
    </w:tbl>
    <w:p w14:paraId="7470DB11" w14:textId="77777777" w:rsidR="00AC30F5" w:rsidRDefault="00AC30F5">
      <w:pPr>
        <w:spacing w:after="80"/>
      </w:pPr>
    </w:p>
    <w:p w14:paraId="28911636" w14:textId="77777777" w:rsidR="00AC30F5" w:rsidRDefault="00000000">
      <w:pPr>
        <w:pStyle w:val="Heading2"/>
      </w:pPr>
      <w:r>
        <w:t>What $163B of 2030 FCF Would Require</w:t>
      </w:r>
    </w:p>
    <w:p w14:paraId="610DD2FB" w14:textId="77777777" w:rsidR="00AC30F5" w:rsidRDefault="00000000">
      <w:pPr>
        <w:spacing w:after="80"/>
        <w:jc w:val="both"/>
      </w:pPr>
      <w:r>
        <w:t>Achieving $163B of free cash flow in 2030 would require a combination of revenue and free cash flow margin that no defensible single scenario can produce. Table 5 sets out the required revenue at various FCF margin assumptions. We frame these as extreme rather than impossible, because the relevant total addressable market ($1 trillion compute market by 2030) is management-sourced and not independently verified, and could in principle prove conservative if AI infrastructure spending exceeds current forecasts. However, even accepting the $1T TAM at face value, the required outcomes are extreme.</w:t>
      </w:r>
    </w:p>
    <w:p w14:paraId="6A63DE51" w14:textId="77777777" w:rsidR="00AC30F5" w:rsidRDefault="00000000">
      <w:pPr>
        <w:spacing w:before="120" w:after="40"/>
      </w:pPr>
      <w:r>
        <w:rPr>
          <w:b/>
          <w:color w:val="1F4E78"/>
          <w:sz w:val="19"/>
        </w:rPr>
        <w:t>Table 5: Required 2030 Outcomes to Justify $480</w:t>
      </w:r>
    </w:p>
    <w:tbl>
      <w:tblPr>
        <w:tblW w:w="0" w:type="auto"/>
        <w:jc w:val="center"/>
        <w:tblLook w:val="04A0" w:firstRow="1" w:lastRow="0" w:firstColumn="1" w:lastColumn="0" w:noHBand="0" w:noVBand="1"/>
      </w:tblPr>
      <w:tblGrid>
        <w:gridCol w:w="2550"/>
        <w:gridCol w:w="2550"/>
        <w:gridCol w:w="2550"/>
        <w:gridCol w:w="2550"/>
      </w:tblGrid>
      <w:tr w:rsidR="00AC30F5" w14:paraId="69BA3FFA"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454C24A" w14:textId="77777777" w:rsidR="00AC30F5" w:rsidRDefault="00000000">
            <w:pPr>
              <w:jc w:val="center"/>
            </w:pPr>
            <w:r>
              <w:rPr>
                <w:b/>
                <w:color w:val="FFFFFF"/>
                <w:sz w:val="17"/>
              </w:rPr>
              <w:t>FCF Margin</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2AE43D6" w14:textId="77777777" w:rsidR="00AC30F5" w:rsidRDefault="00000000">
            <w:pPr>
              <w:jc w:val="center"/>
            </w:pPr>
            <w:r>
              <w:rPr>
                <w:b/>
                <w:color w:val="FFFFFF"/>
                <w:sz w:val="17"/>
              </w:rPr>
              <w:t>Required 2030 Revenue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26D3000" w14:textId="77777777" w:rsidR="00AC30F5" w:rsidRDefault="00000000">
            <w:pPr>
              <w:jc w:val="center"/>
            </w:pPr>
            <w:r>
              <w:rPr>
                <w:b/>
                <w:color w:val="FFFFFF"/>
                <w:sz w:val="17"/>
              </w:rPr>
              <w:t>Share of $1T Forecast TAM</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1D73FDF" w14:textId="77777777" w:rsidR="00AC30F5" w:rsidRDefault="00000000">
            <w:pPr>
              <w:jc w:val="center"/>
            </w:pPr>
            <w:r>
              <w:rPr>
                <w:b/>
                <w:color w:val="FFFFFF"/>
                <w:sz w:val="17"/>
              </w:rPr>
              <w:t>Assessment</w:t>
            </w:r>
          </w:p>
        </w:tc>
      </w:tr>
      <w:tr w:rsidR="00AC30F5" w14:paraId="7B66D103"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29353E4D" w14:textId="77777777" w:rsidR="00AC30F5" w:rsidRDefault="00000000">
            <w:r>
              <w:rPr>
                <w:sz w:val="17"/>
              </w:rPr>
              <w:t>15.8% (model base)</w:t>
            </w:r>
          </w:p>
        </w:tc>
        <w:tc>
          <w:tcPr>
            <w:tcW w:w="2550" w:type="dxa"/>
            <w:tcBorders>
              <w:top w:val="single" w:sz="4" w:space="0" w:color="808080"/>
              <w:left w:val="single" w:sz="4" w:space="0" w:color="808080"/>
              <w:bottom w:val="single" w:sz="4" w:space="0" w:color="808080"/>
              <w:right w:val="single" w:sz="4" w:space="0" w:color="808080"/>
            </w:tcBorders>
            <w:vAlign w:val="center"/>
          </w:tcPr>
          <w:p w14:paraId="7AA3D9B3" w14:textId="77777777" w:rsidR="00AC30F5" w:rsidRDefault="00000000">
            <w:pPr>
              <w:jc w:val="center"/>
            </w:pPr>
            <w:r>
              <w:rPr>
                <w:sz w:val="17"/>
              </w:rPr>
              <w:t>$1,033B</w:t>
            </w:r>
          </w:p>
        </w:tc>
        <w:tc>
          <w:tcPr>
            <w:tcW w:w="2550" w:type="dxa"/>
            <w:tcBorders>
              <w:top w:val="single" w:sz="4" w:space="0" w:color="808080"/>
              <w:left w:val="single" w:sz="4" w:space="0" w:color="808080"/>
              <w:bottom w:val="single" w:sz="4" w:space="0" w:color="808080"/>
              <w:right w:val="single" w:sz="4" w:space="0" w:color="808080"/>
            </w:tcBorders>
            <w:vAlign w:val="center"/>
          </w:tcPr>
          <w:p w14:paraId="7AE39E09" w14:textId="77777777" w:rsidR="00AC30F5" w:rsidRDefault="00000000">
            <w:pPr>
              <w:jc w:val="center"/>
            </w:pPr>
            <w:r>
              <w:rPr>
                <w:sz w:val="17"/>
              </w:rPr>
              <w:t>~103%</w:t>
            </w:r>
          </w:p>
        </w:tc>
        <w:tc>
          <w:tcPr>
            <w:tcW w:w="2550" w:type="dxa"/>
            <w:tcBorders>
              <w:top w:val="single" w:sz="4" w:space="0" w:color="808080"/>
              <w:left w:val="single" w:sz="4" w:space="0" w:color="808080"/>
              <w:bottom w:val="single" w:sz="4" w:space="0" w:color="808080"/>
              <w:right w:val="single" w:sz="4" w:space="0" w:color="808080"/>
            </w:tcBorders>
            <w:vAlign w:val="center"/>
          </w:tcPr>
          <w:p w14:paraId="0932C2C6" w14:textId="77777777" w:rsidR="00AC30F5" w:rsidRDefault="00000000">
            <w:pPr>
              <w:jc w:val="center"/>
            </w:pPr>
            <w:r>
              <w:rPr>
                <w:sz w:val="17"/>
              </w:rPr>
              <w:t>Would require TAM forecast to be materially understated</w:t>
            </w:r>
          </w:p>
        </w:tc>
      </w:tr>
      <w:tr w:rsidR="00AC30F5" w14:paraId="29C6F52C"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26D4AF0" w14:textId="77777777" w:rsidR="00AC30F5" w:rsidRDefault="00000000">
            <w:r>
              <w:rPr>
                <w:sz w:val="17"/>
              </w:rPr>
              <w:t>20%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E0B3ED" w14:textId="77777777" w:rsidR="00AC30F5" w:rsidRDefault="00000000">
            <w:pPr>
              <w:jc w:val="center"/>
            </w:pPr>
            <w:r>
              <w:rPr>
                <w:sz w:val="17"/>
              </w:rPr>
              <w:t>$815B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86363AA" w14:textId="77777777" w:rsidR="00AC30F5" w:rsidRDefault="00000000">
            <w:pPr>
              <w:jc w:val="center"/>
            </w:pPr>
            <w:r>
              <w:rPr>
                <w:sz w:val="17"/>
              </w:rPr>
              <w:t>~81%</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7F33F0F" w14:textId="77777777" w:rsidR="00AC30F5" w:rsidRDefault="00000000">
            <w:pPr>
              <w:jc w:val="center"/>
            </w:pPr>
            <w:r>
              <w:rPr>
                <w:sz w:val="17"/>
              </w:rPr>
              <w:t>Extreme; would require AMD to dominate AI accelerators</w:t>
            </w:r>
          </w:p>
        </w:tc>
      </w:tr>
      <w:tr w:rsidR="00AC30F5" w14:paraId="12330967"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0B860D7" w14:textId="77777777" w:rsidR="00AC30F5" w:rsidRDefault="00000000">
            <w:r>
              <w:rPr>
                <w:sz w:val="17"/>
              </w:rPr>
              <w:t>25%</w:t>
            </w:r>
          </w:p>
        </w:tc>
        <w:tc>
          <w:tcPr>
            <w:tcW w:w="2550" w:type="dxa"/>
            <w:tcBorders>
              <w:top w:val="single" w:sz="4" w:space="0" w:color="808080"/>
              <w:left w:val="single" w:sz="4" w:space="0" w:color="808080"/>
              <w:bottom w:val="single" w:sz="4" w:space="0" w:color="808080"/>
              <w:right w:val="single" w:sz="4" w:space="0" w:color="808080"/>
            </w:tcBorders>
            <w:vAlign w:val="center"/>
          </w:tcPr>
          <w:p w14:paraId="4C67F95D" w14:textId="77777777" w:rsidR="00AC30F5" w:rsidRDefault="00000000">
            <w:pPr>
              <w:jc w:val="center"/>
            </w:pPr>
            <w:r>
              <w:rPr>
                <w:sz w:val="17"/>
              </w:rPr>
              <w:t>$652B</w:t>
            </w:r>
          </w:p>
        </w:tc>
        <w:tc>
          <w:tcPr>
            <w:tcW w:w="2550" w:type="dxa"/>
            <w:tcBorders>
              <w:top w:val="single" w:sz="4" w:space="0" w:color="808080"/>
              <w:left w:val="single" w:sz="4" w:space="0" w:color="808080"/>
              <w:bottom w:val="single" w:sz="4" w:space="0" w:color="808080"/>
              <w:right w:val="single" w:sz="4" w:space="0" w:color="808080"/>
            </w:tcBorders>
            <w:vAlign w:val="center"/>
          </w:tcPr>
          <w:p w14:paraId="4BD635C8" w14:textId="77777777" w:rsidR="00AC30F5" w:rsidRDefault="00000000">
            <w:pPr>
              <w:jc w:val="center"/>
            </w:pPr>
            <w:r>
              <w:rPr>
                <w:sz w:val="17"/>
              </w:rPr>
              <w:t>~65%</w:t>
            </w:r>
          </w:p>
        </w:tc>
        <w:tc>
          <w:tcPr>
            <w:tcW w:w="2550" w:type="dxa"/>
            <w:tcBorders>
              <w:top w:val="single" w:sz="4" w:space="0" w:color="808080"/>
              <w:left w:val="single" w:sz="4" w:space="0" w:color="808080"/>
              <w:bottom w:val="single" w:sz="4" w:space="0" w:color="808080"/>
              <w:right w:val="single" w:sz="4" w:space="0" w:color="808080"/>
            </w:tcBorders>
            <w:vAlign w:val="center"/>
          </w:tcPr>
          <w:p w14:paraId="73DA210E" w14:textId="77777777" w:rsidR="00AC30F5" w:rsidRDefault="00000000">
            <w:pPr>
              <w:jc w:val="center"/>
            </w:pPr>
            <w:r>
              <w:rPr>
                <w:sz w:val="17"/>
              </w:rPr>
              <w:t>Extreme; above NVIDIA's current ~45% FCF margin</w:t>
            </w:r>
          </w:p>
        </w:tc>
      </w:tr>
      <w:tr w:rsidR="00AC30F5" w14:paraId="0D3DD2FA"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AFC7CE0" w14:textId="77777777" w:rsidR="00AC30F5" w:rsidRDefault="00000000">
            <w:r>
              <w:rPr>
                <w:sz w:val="17"/>
              </w:rPr>
              <w:t>30%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34F69A7" w14:textId="77777777" w:rsidR="00AC30F5" w:rsidRDefault="00000000">
            <w:pPr>
              <w:jc w:val="center"/>
            </w:pPr>
            <w:r>
              <w:rPr>
                <w:sz w:val="17"/>
              </w:rPr>
              <w:t>$543B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8950210" w14:textId="77777777" w:rsidR="00AC30F5" w:rsidRDefault="00000000">
            <w:pPr>
              <w:jc w:val="center"/>
            </w:pPr>
            <w:r>
              <w:rPr>
                <w:sz w:val="17"/>
              </w:rPr>
              <w:t>~54%</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7CE3D8" w14:textId="77777777" w:rsidR="00AC30F5" w:rsidRDefault="00000000">
            <w:pPr>
              <w:jc w:val="center"/>
            </w:pPr>
            <w:r>
              <w:rPr>
                <w:sz w:val="17"/>
              </w:rPr>
              <w:t>Extreme; would require displacing NVIDIA</w:t>
            </w:r>
          </w:p>
        </w:tc>
      </w:tr>
      <w:tr w:rsidR="00AC30F5" w14:paraId="47AC83FA"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17D37DE4" w14:textId="77777777" w:rsidR="00AC30F5" w:rsidRDefault="00000000">
            <w:r>
              <w:rPr>
                <w:sz w:val="17"/>
              </w:rPr>
              <w:t>40%</w:t>
            </w:r>
          </w:p>
        </w:tc>
        <w:tc>
          <w:tcPr>
            <w:tcW w:w="2550" w:type="dxa"/>
            <w:tcBorders>
              <w:top w:val="single" w:sz="4" w:space="0" w:color="808080"/>
              <w:left w:val="single" w:sz="4" w:space="0" w:color="808080"/>
              <w:bottom w:val="single" w:sz="4" w:space="0" w:color="808080"/>
              <w:right w:val="single" w:sz="4" w:space="0" w:color="808080"/>
            </w:tcBorders>
            <w:vAlign w:val="center"/>
          </w:tcPr>
          <w:p w14:paraId="279148BB" w14:textId="77777777" w:rsidR="00AC30F5" w:rsidRDefault="00000000">
            <w:pPr>
              <w:jc w:val="center"/>
            </w:pPr>
            <w:r>
              <w:rPr>
                <w:sz w:val="17"/>
              </w:rPr>
              <w:t>$407B</w:t>
            </w:r>
          </w:p>
        </w:tc>
        <w:tc>
          <w:tcPr>
            <w:tcW w:w="2550" w:type="dxa"/>
            <w:tcBorders>
              <w:top w:val="single" w:sz="4" w:space="0" w:color="808080"/>
              <w:left w:val="single" w:sz="4" w:space="0" w:color="808080"/>
              <w:bottom w:val="single" w:sz="4" w:space="0" w:color="808080"/>
              <w:right w:val="single" w:sz="4" w:space="0" w:color="808080"/>
            </w:tcBorders>
            <w:vAlign w:val="center"/>
          </w:tcPr>
          <w:p w14:paraId="0B9FEA8E" w14:textId="77777777" w:rsidR="00AC30F5" w:rsidRDefault="00000000">
            <w:pPr>
              <w:jc w:val="center"/>
            </w:pPr>
            <w:r>
              <w:rPr>
                <w:sz w:val="17"/>
              </w:rPr>
              <w:t>~41%</w:t>
            </w:r>
          </w:p>
        </w:tc>
        <w:tc>
          <w:tcPr>
            <w:tcW w:w="2550" w:type="dxa"/>
            <w:tcBorders>
              <w:top w:val="single" w:sz="4" w:space="0" w:color="808080"/>
              <w:left w:val="single" w:sz="4" w:space="0" w:color="808080"/>
              <w:bottom w:val="single" w:sz="4" w:space="0" w:color="808080"/>
              <w:right w:val="single" w:sz="4" w:space="0" w:color="808080"/>
            </w:tcBorders>
            <w:vAlign w:val="center"/>
          </w:tcPr>
          <w:p w14:paraId="10F5FB0B" w14:textId="77777777" w:rsidR="00AC30F5" w:rsidRDefault="00000000">
            <w:pPr>
              <w:jc w:val="center"/>
            </w:pPr>
            <w:r>
              <w:rPr>
                <w:sz w:val="17"/>
              </w:rPr>
              <w:t>Extreme; FCF margin above NVIDIA's current profile</w:t>
            </w:r>
          </w:p>
        </w:tc>
      </w:tr>
    </w:tbl>
    <w:p w14:paraId="404FE364" w14:textId="77777777" w:rsidR="00AC30F5" w:rsidRDefault="00AC30F5">
      <w:pPr>
        <w:spacing w:after="80"/>
      </w:pPr>
    </w:p>
    <w:p w14:paraId="53D33770" w14:textId="77777777" w:rsidR="00AC30F5" w:rsidRDefault="00000000">
      <w:pPr>
        <w:spacing w:after="80"/>
        <w:jc w:val="both"/>
      </w:pPr>
      <w:r>
        <w:t>To be clear about the boundaries of this analysis: a 187% free cash flow margin (which the Scenario A base-case revenue would require) is mathematically impossible, since free cash flow cannot exceed revenue. But the revenue-based requirements are better described as extreme rather than impossible, because they depend on the $1T compute TAM forecast, which is AMD management's own estimate and could in principle prove conservative. What can be said with confidence is that achieving $163B of 2030 FCF would require AMD to capture a dominant share of the AI accelerator market at free cash flow margins at or above NVIDIA's current profile — an outcome that is conceivable in its components but arithmetically extreme in combination, and that no defensible discounted cash flow scenario can produce. The market is therefore pricing in an outcome that lies outside the boundaries of conventional valuation analysis, which is the analytical basis for the SELL rating.</w:t>
      </w:r>
    </w:p>
    <w:p w14:paraId="6902A1CC" w14:textId="77777777" w:rsidR="00AC30F5" w:rsidRDefault="00000000">
      <w:pPr>
        <w:pStyle w:val="Heading1"/>
      </w:pPr>
      <w:r>
        <w:t>Relative Valuation Cross-Check</w:t>
      </w:r>
    </w:p>
    <w:p w14:paraId="2505EE58" w14:textId="77777777" w:rsidR="00AC30F5" w:rsidRDefault="00000000">
      <w:pPr>
        <w:pStyle w:val="Heading2"/>
      </w:pPr>
      <w:r>
        <w:t>Peer Multiples Comparison</w:t>
      </w:r>
    </w:p>
    <w:p w14:paraId="6F957AA3" w14:textId="77777777" w:rsidR="00AC30F5" w:rsidRDefault="00000000">
      <w:pPr>
        <w:spacing w:after="80"/>
        <w:jc w:val="both"/>
      </w:pPr>
      <w:r>
        <w:t>To complement the DCF, we conduct a relative valuation cross-check against NVIDIA (NVDA), Intel (INTC), and Damodaran's semiconductor industry averages (January 2026 update). Table 6 sets out the comparable multiples at the 5 August 2026 reference date. NVIDIA's fiscal year ends in late January, so its FY2026 results are essentially complete at the reference date; we use TTM data and forward consensus estimates as available. Intel's multiples are distorted by FY2024-FY2025 operating losses and restructuring charges, and should be interpreted as a downside reference rather than a like-for-like comparable.</w:t>
      </w:r>
    </w:p>
    <w:p w14:paraId="548EA2CB" w14:textId="77777777" w:rsidR="00AC30F5" w:rsidRDefault="00000000">
      <w:pPr>
        <w:spacing w:before="120" w:after="40"/>
      </w:pPr>
      <w:r>
        <w:rPr>
          <w:b/>
          <w:color w:val="1F4E78"/>
          <w:sz w:val="19"/>
        </w:rPr>
        <w:t>Table 6: Peer Multiples Comparison (5 August 2026)</w:t>
      </w:r>
    </w:p>
    <w:tbl>
      <w:tblPr>
        <w:tblW w:w="0" w:type="auto"/>
        <w:jc w:val="center"/>
        <w:tblLook w:val="04A0" w:firstRow="1" w:lastRow="0" w:firstColumn="1" w:lastColumn="0" w:noHBand="0" w:noVBand="1"/>
      </w:tblPr>
      <w:tblGrid>
        <w:gridCol w:w="2040"/>
        <w:gridCol w:w="2040"/>
        <w:gridCol w:w="2040"/>
        <w:gridCol w:w="2040"/>
        <w:gridCol w:w="2040"/>
      </w:tblGrid>
      <w:tr w:rsidR="00AC30F5" w14:paraId="2D979B7E"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F082F04" w14:textId="77777777" w:rsidR="00AC30F5" w:rsidRDefault="00000000">
            <w:pPr>
              <w:jc w:val="center"/>
            </w:pPr>
            <w:r>
              <w:rPr>
                <w:b/>
                <w:color w:val="FFFFFF"/>
                <w:sz w:val="17"/>
              </w:rPr>
              <w:lastRenderedPageBreak/>
              <w:t>Metric</w:t>
            </w:r>
          </w:p>
        </w:tc>
        <w:tc>
          <w:tcPr>
            <w:tcW w:w="204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800B485" w14:textId="77777777" w:rsidR="00AC30F5" w:rsidRDefault="00000000">
            <w:pPr>
              <w:jc w:val="center"/>
            </w:pPr>
            <w:r>
              <w:rPr>
                <w:b/>
                <w:color w:val="FFFFFF"/>
                <w:sz w:val="17"/>
              </w:rPr>
              <w:t>AMD ($480)</w:t>
            </w:r>
          </w:p>
        </w:tc>
        <w:tc>
          <w:tcPr>
            <w:tcW w:w="204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E1A4D20" w14:textId="77777777" w:rsidR="00AC30F5" w:rsidRDefault="00000000">
            <w:pPr>
              <w:jc w:val="center"/>
            </w:pPr>
            <w:r>
              <w:rPr>
                <w:b/>
                <w:color w:val="FFFFFF"/>
                <w:sz w:val="17"/>
              </w:rPr>
              <w:t>NVIDIA</w:t>
            </w:r>
          </w:p>
        </w:tc>
        <w:tc>
          <w:tcPr>
            <w:tcW w:w="204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20D935F" w14:textId="77777777" w:rsidR="00AC30F5" w:rsidRDefault="00000000">
            <w:pPr>
              <w:jc w:val="center"/>
            </w:pPr>
            <w:r>
              <w:rPr>
                <w:b/>
                <w:color w:val="FFFFFF"/>
                <w:sz w:val="17"/>
              </w:rPr>
              <w:t>Intel</w:t>
            </w:r>
          </w:p>
        </w:tc>
        <w:tc>
          <w:tcPr>
            <w:tcW w:w="204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3DDBA00B" w14:textId="77777777" w:rsidR="00AC30F5" w:rsidRDefault="00000000">
            <w:pPr>
              <w:jc w:val="center"/>
            </w:pPr>
            <w:r>
              <w:rPr>
                <w:b/>
                <w:color w:val="FFFFFF"/>
                <w:sz w:val="17"/>
              </w:rPr>
              <w:t>Industry Avg</w:t>
            </w:r>
          </w:p>
        </w:tc>
      </w:tr>
      <w:tr w:rsidR="00AC30F5" w14:paraId="00F9FB31" w14:textId="77777777">
        <w:trPr>
          <w:jc w:val="center"/>
        </w:trPr>
        <w:tc>
          <w:tcPr>
            <w:tcW w:w="2040" w:type="dxa"/>
            <w:tcBorders>
              <w:top w:val="single" w:sz="4" w:space="0" w:color="808080"/>
              <w:left w:val="single" w:sz="4" w:space="0" w:color="808080"/>
              <w:bottom w:val="single" w:sz="4" w:space="0" w:color="808080"/>
              <w:right w:val="single" w:sz="4" w:space="0" w:color="808080"/>
            </w:tcBorders>
            <w:vAlign w:val="center"/>
          </w:tcPr>
          <w:p w14:paraId="2C34EDEB" w14:textId="77777777" w:rsidR="00AC30F5" w:rsidRDefault="00000000">
            <w:r>
              <w:rPr>
                <w:sz w:val="17"/>
              </w:rPr>
              <w:t>Share Price</w:t>
            </w:r>
          </w:p>
        </w:tc>
        <w:tc>
          <w:tcPr>
            <w:tcW w:w="2040" w:type="dxa"/>
            <w:tcBorders>
              <w:top w:val="single" w:sz="4" w:space="0" w:color="808080"/>
              <w:left w:val="single" w:sz="4" w:space="0" w:color="808080"/>
              <w:bottom w:val="single" w:sz="4" w:space="0" w:color="808080"/>
              <w:right w:val="single" w:sz="4" w:space="0" w:color="808080"/>
            </w:tcBorders>
            <w:vAlign w:val="center"/>
          </w:tcPr>
          <w:p w14:paraId="05980C3E" w14:textId="77777777" w:rsidR="00AC30F5" w:rsidRDefault="00000000">
            <w:pPr>
              <w:jc w:val="center"/>
            </w:pPr>
            <w:r>
              <w:rPr>
                <w:sz w:val="17"/>
              </w:rPr>
              <w:t>$480.00</w:t>
            </w:r>
          </w:p>
        </w:tc>
        <w:tc>
          <w:tcPr>
            <w:tcW w:w="2040" w:type="dxa"/>
            <w:tcBorders>
              <w:top w:val="single" w:sz="4" w:space="0" w:color="808080"/>
              <w:left w:val="single" w:sz="4" w:space="0" w:color="808080"/>
              <w:bottom w:val="single" w:sz="4" w:space="0" w:color="808080"/>
              <w:right w:val="single" w:sz="4" w:space="0" w:color="808080"/>
            </w:tcBorders>
            <w:vAlign w:val="center"/>
          </w:tcPr>
          <w:p w14:paraId="351A5F05" w14:textId="77777777" w:rsidR="00AC30F5" w:rsidRDefault="00000000">
            <w:pPr>
              <w:jc w:val="center"/>
            </w:pPr>
            <w:r>
              <w:rPr>
                <w:sz w:val="17"/>
              </w:rPr>
              <w:t>$191.13*</w:t>
            </w:r>
          </w:p>
        </w:tc>
        <w:tc>
          <w:tcPr>
            <w:tcW w:w="2040" w:type="dxa"/>
            <w:tcBorders>
              <w:top w:val="single" w:sz="4" w:space="0" w:color="808080"/>
              <w:left w:val="single" w:sz="4" w:space="0" w:color="808080"/>
              <w:bottom w:val="single" w:sz="4" w:space="0" w:color="808080"/>
              <w:right w:val="single" w:sz="4" w:space="0" w:color="808080"/>
            </w:tcBorders>
            <w:vAlign w:val="center"/>
          </w:tcPr>
          <w:p w14:paraId="4FBC1B02" w14:textId="77777777" w:rsidR="00AC30F5" w:rsidRDefault="00000000">
            <w:pPr>
              <w:jc w:val="center"/>
            </w:pPr>
            <w:r>
              <w:rPr>
                <w:sz w:val="17"/>
              </w:rPr>
              <w:t>$46.47*</w:t>
            </w:r>
          </w:p>
        </w:tc>
        <w:tc>
          <w:tcPr>
            <w:tcW w:w="2040" w:type="dxa"/>
            <w:tcBorders>
              <w:top w:val="single" w:sz="4" w:space="0" w:color="808080"/>
              <w:left w:val="single" w:sz="4" w:space="0" w:color="808080"/>
              <w:bottom w:val="single" w:sz="4" w:space="0" w:color="808080"/>
              <w:right w:val="single" w:sz="4" w:space="0" w:color="808080"/>
            </w:tcBorders>
            <w:vAlign w:val="center"/>
          </w:tcPr>
          <w:p w14:paraId="7E64ED8B" w14:textId="77777777" w:rsidR="00AC30F5" w:rsidRDefault="00000000">
            <w:pPr>
              <w:jc w:val="center"/>
            </w:pPr>
            <w:r>
              <w:rPr>
                <w:sz w:val="17"/>
              </w:rPr>
              <w:t>—</w:t>
            </w:r>
          </w:p>
        </w:tc>
      </w:tr>
      <w:tr w:rsidR="00AC30F5" w14:paraId="2A04C366"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262680" w14:textId="77777777" w:rsidR="00AC30F5" w:rsidRDefault="00000000">
            <w:r>
              <w:rPr>
                <w:sz w:val="17"/>
              </w:rPr>
              <w:t>Market Cap ($B)</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F9FA99B" w14:textId="77777777" w:rsidR="00AC30F5" w:rsidRDefault="00000000">
            <w:pPr>
              <w:jc w:val="center"/>
            </w:pPr>
            <w:r>
              <w:rPr>
                <w:sz w:val="17"/>
              </w:rPr>
              <w:t>785.3</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B3A91FD" w14:textId="77777777" w:rsidR="00AC30F5" w:rsidRDefault="00000000">
            <w:pPr>
              <w:jc w:val="center"/>
            </w:pPr>
            <w:r>
              <w:rPr>
                <w:sz w:val="17"/>
              </w:rPr>
              <w:t>4,645.0</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0FF5DB9" w14:textId="77777777" w:rsidR="00AC30F5" w:rsidRDefault="00000000">
            <w:pPr>
              <w:jc w:val="center"/>
            </w:pPr>
            <w:r>
              <w:rPr>
                <w:sz w:val="17"/>
              </w:rPr>
              <w:t>232.0</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FBB2845" w14:textId="77777777" w:rsidR="00AC30F5" w:rsidRDefault="00000000">
            <w:pPr>
              <w:jc w:val="center"/>
            </w:pPr>
            <w:r>
              <w:rPr>
                <w:sz w:val="17"/>
              </w:rPr>
              <w:t>—</w:t>
            </w:r>
          </w:p>
        </w:tc>
      </w:tr>
      <w:tr w:rsidR="00AC30F5" w14:paraId="2184A937" w14:textId="77777777">
        <w:trPr>
          <w:jc w:val="center"/>
        </w:trPr>
        <w:tc>
          <w:tcPr>
            <w:tcW w:w="2040" w:type="dxa"/>
            <w:tcBorders>
              <w:top w:val="single" w:sz="4" w:space="0" w:color="808080"/>
              <w:left w:val="single" w:sz="4" w:space="0" w:color="808080"/>
              <w:bottom w:val="single" w:sz="4" w:space="0" w:color="808080"/>
              <w:right w:val="single" w:sz="4" w:space="0" w:color="808080"/>
            </w:tcBorders>
            <w:vAlign w:val="center"/>
          </w:tcPr>
          <w:p w14:paraId="13C8E751" w14:textId="77777777" w:rsidR="00AC30F5" w:rsidRDefault="00000000">
            <w:r>
              <w:rPr>
                <w:b/>
                <w:sz w:val="17"/>
              </w:rPr>
              <w:t>Enterprise Value ($B)</w:t>
            </w:r>
          </w:p>
        </w:tc>
        <w:tc>
          <w:tcPr>
            <w:tcW w:w="2040" w:type="dxa"/>
            <w:tcBorders>
              <w:top w:val="single" w:sz="4" w:space="0" w:color="808080"/>
              <w:left w:val="single" w:sz="4" w:space="0" w:color="808080"/>
              <w:bottom w:val="single" w:sz="4" w:space="0" w:color="808080"/>
              <w:right w:val="single" w:sz="4" w:space="0" w:color="808080"/>
            </w:tcBorders>
            <w:vAlign w:val="center"/>
          </w:tcPr>
          <w:p w14:paraId="1D5EB7F0" w14:textId="77777777" w:rsidR="00AC30F5" w:rsidRDefault="00000000">
            <w:pPr>
              <w:jc w:val="center"/>
            </w:pPr>
            <w:r>
              <w:rPr>
                <w:sz w:val="17"/>
              </w:rPr>
              <w:t>778.0</w:t>
            </w:r>
          </w:p>
        </w:tc>
        <w:tc>
          <w:tcPr>
            <w:tcW w:w="2040" w:type="dxa"/>
            <w:tcBorders>
              <w:top w:val="single" w:sz="4" w:space="0" w:color="808080"/>
              <w:left w:val="single" w:sz="4" w:space="0" w:color="808080"/>
              <w:bottom w:val="single" w:sz="4" w:space="0" w:color="808080"/>
              <w:right w:val="single" w:sz="4" w:space="0" w:color="808080"/>
            </w:tcBorders>
            <w:vAlign w:val="center"/>
          </w:tcPr>
          <w:p w14:paraId="55C33DCA" w14:textId="77777777" w:rsidR="00AC30F5" w:rsidRDefault="00000000">
            <w:pPr>
              <w:jc w:val="center"/>
            </w:pPr>
            <w:r>
              <w:rPr>
                <w:sz w:val="17"/>
              </w:rPr>
              <w:t>4,591.0</w:t>
            </w:r>
          </w:p>
        </w:tc>
        <w:tc>
          <w:tcPr>
            <w:tcW w:w="2040" w:type="dxa"/>
            <w:tcBorders>
              <w:top w:val="single" w:sz="4" w:space="0" w:color="808080"/>
              <w:left w:val="single" w:sz="4" w:space="0" w:color="808080"/>
              <w:bottom w:val="single" w:sz="4" w:space="0" w:color="808080"/>
              <w:right w:val="single" w:sz="4" w:space="0" w:color="808080"/>
            </w:tcBorders>
            <w:vAlign w:val="center"/>
          </w:tcPr>
          <w:p w14:paraId="3E2652CA" w14:textId="77777777" w:rsidR="00AC30F5" w:rsidRDefault="00000000">
            <w:pPr>
              <w:jc w:val="center"/>
            </w:pPr>
            <w:r>
              <w:rPr>
                <w:sz w:val="17"/>
              </w:rPr>
              <w:t>253.0</w:t>
            </w:r>
          </w:p>
        </w:tc>
        <w:tc>
          <w:tcPr>
            <w:tcW w:w="2040" w:type="dxa"/>
            <w:tcBorders>
              <w:top w:val="single" w:sz="4" w:space="0" w:color="808080"/>
              <w:left w:val="single" w:sz="4" w:space="0" w:color="808080"/>
              <w:bottom w:val="single" w:sz="4" w:space="0" w:color="808080"/>
              <w:right w:val="single" w:sz="4" w:space="0" w:color="808080"/>
            </w:tcBorders>
            <w:vAlign w:val="center"/>
          </w:tcPr>
          <w:p w14:paraId="5F42D224" w14:textId="77777777" w:rsidR="00AC30F5" w:rsidRDefault="00000000">
            <w:pPr>
              <w:jc w:val="center"/>
            </w:pPr>
            <w:r>
              <w:rPr>
                <w:sz w:val="17"/>
              </w:rPr>
              <w:t>—</w:t>
            </w:r>
          </w:p>
        </w:tc>
      </w:tr>
      <w:tr w:rsidR="00AC30F5" w14:paraId="3F0F9982"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95C594D" w14:textId="77777777" w:rsidR="00AC30F5" w:rsidRDefault="00000000">
            <w:r>
              <w:rPr>
                <w:sz w:val="17"/>
              </w:rPr>
              <w:t>TTM Revenue ($B)</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6DAD342" w14:textId="77777777" w:rsidR="00AC30F5" w:rsidRDefault="00000000">
            <w:pPr>
              <w:jc w:val="center"/>
            </w:pPr>
            <w:r>
              <w:rPr>
                <w:sz w:val="17"/>
              </w:rPr>
              <w:t>34.6</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3E78794" w14:textId="77777777" w:rsidR="00AC30F5" w:rsidRDefault="00000000">
            <w:pPr>
              <w:jc w:val="center"/>
            </w:pPr>
            <w:r>
              <w:rPr>
                <w:sz w:val="17"/>
              </w:rPr>
              <w:t>215.9</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4493B98" w14:textId="77777777" w:rsidR="00AC30F5" w:rsidRDefault="00000000">
            <w:pPr>
              <w:jc w:val="center"/>
            </w:pPr>
            <w:r>
              <w:rPr>
                <w:sz w:val="17"/>
              </w:rPr>
              <w:t>52.9</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87FEF63" w14:textId="77777777" w:rsidR="00AC30F5" w:rsidRDefault="00000000">
            <w:pPr>
              <w:jc w:val="center"/>
            </w:pPr>
            <w:r>
              <w:rPr>
                <w:sz w:val="17"/>
              </w:rPr>
              <w:t>—</w:t>
            </w:r>
          </w:p>
        </w:tc>
      </w:tr>
      <w:tr w:rsidR="00AC30F5" w14:paraId="277A070E" w14:textId="77777777">
        <w:trPr>
          <w:jc w:val="center"/>
        </w:trPr>
        <w:tc>
          <w:tcPr>
            <w:tcW w:w="2040" w:type="dxa"/>
            <w:tcBorders>
              <w:top w:val="single" w:sz="4" w:space="0" w:color="808080"/>
              <w:left w:val="single" w:sz="4" w:space="0" w:color="808080"/>
              <w:bottom w:val="single" w:sz="4" w:space="0" w:color="808080"/>
              <w:right w:val="single" w:sz="4" w:space="0" w:color="808080"/>
            </w:tcBorders>
            <w:vAlign w:val="center"/>
          </w:tcPr>
          <w:p w14:paraId="5480E352" w14:textId="77777777" w:rsidR="00AC30F5" w:rsidRDefault="00000000">
            <w:r>
              <w:rPr>
                <w:sz w:val="17"/>
              </w:rPr>
              <w:t>TTM EBITDA ($B)</w:t>
            </w:r>
          </w:p>
        </w:tc>
        <w:tc>
          <w:tcPr>
            <w:tcW w:w="2040" w:type="dxa"/>
            <w:tcBorders>
              <w:top w:val="single" w:sz="4" w:space="0" w:color="808080"/>
              <w:left w:val="single" w:sz="4" w:space="0" w:color="808080"/>
              <w:bottom w:val="single" w:sz="4" w:space="0" w:color="808080"/>
              <w:right w:val="single" w:sz="4" w:space="0" w:color="808080"/>
            </w:tcBorders>
            <w:vAlign w:val="center"/>
          </w:tcPr>
          <w:p w14:paraId="6F9DAB7C" w14:textId="77777777" w:rsidR="00AC30F5" w:rsidRDefault="00000000">
            <w:pPr>
              <w:jc w:val="center"/>
            </w:pPr>
            <w:r>
              <w:rPr>
                <w:sz w:val="17"/>
              </w:rPr>
              <w:t>6.7</w:t>
            </w:r>
          </w:p>
        </w:tc>
        <w:tc>
          <w:tcPr>
            <w:tcW w:w="2040" w:type="dxa"/>
            <w:tcBorders>
              <w:top w:val="single" w:sz="4" w:space="0" w:color="808080"/>
              <w:left w:val="single" w:sz="4" w:space="0" w:color="808080"/>
              <w:bottom w:val="single" w:sz="4" w:space="0" w:color="808080"/>
              <w:right w:val="single" w:sz="4" w:space="0" w:color="808080"/>
            </w:tcBorders>
            <w:vAlign w:val="center"/>
          </w:tcPr>
          <w:p w14:paraId="0EC8A711" w14:textId="77777777" w:rsidR="00AC30F5" w:rsidRDefault="00000000">
            <w:pPr>
              <w:jc w:val="center"/>
            </w:pPr>
            <w:r>
              <w:rPr>
                <w:sz w:val="17"/>
              </w:rPr>
              <w:t>133.2</w:t>
            </w:r>
          </w:p>
        </w:tc>
        <w:tc>
          <w:tcPr>
            <w:tcW w:w="2040" w:type="dxa"/>
            <w:tcBorders>
              <w:top w:val="single" w:sz="4" w:space="0" w:color="808080"/>
              <w:left w:val="single" w:sz="4" w:space="0" w:color="808080"/>
              <w:bottom w:val="single" w:sz="4" w:space="0" w:color="808080"/>
              <w:right w:val="single" w:sz="4" w:space="0" w:color="808080"/>
            </w:tcBorders>
            <w:vAlign w:val="center"/>
          </w:tcPr>
          <w:p w14:paraId="42BDE3C2" w14:textId="77777777" w:rsidR="00AC30F5" w:rsidRDefault="00000000">
            <w:pPr>
              <w:jc w:val="center"/>
            </w:pPr>
            <w:r>
              <w:rPr>
                <w:sz w:val="17"/>
              </w:rPr>
              <w:t>9.5</w:t>
            </w:r>
          </w:p>
        </w:tc>
        <w:tc>
          <w:tcPr>
            <w:tcW w:w="2040" w:type="dxa"/>
            <w:tcBorders>
              <w:top w:val="single" w:sz="4" w:space="0" w:color="808080"/>
              <w:left w:val="single" w:sz="4" w:space="0" w:color="808080"/>
              <w:bottom w:val="single" w:sz="4" w:space="0" w:color="808080"/>
              <w:right w:val="single" w:sz="4" w:space="0" w:color="808080"/>
            </w:tcBorders>
            <w:vAlign w:val="center"/>
          </w:tcPr>
          <w:p w14:paraId="09D7663E" w14:textId="77777777" w:rsidR="00AC30F5" w:rsidRDefault="00000000">
            <w:pPr>
              <w:jc w:val="center"/>
            </w:pPr>
            <w:r>
              <w:rPr>
                <w:sz w:val="17"/>
              </w:rPr>
              <w:t>—</w:t>
            </w:r>
          </w:p>
        </w:tc>
      </w:tr>
      <w:tr w:rsidR="00AC30F5" w14:paraId="0DB45DB5"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6D7636" w14:textId="77777777" w:rsidR="00AC30F5" w:rsidRDefault="00000000">
            <w:r>
              <w:rPr>
                <w:sz w:val="17"/>
              </w:rPr>
              <w:t>EV / TTM Sales</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55CAC16" w14:textId="77777777" w:rsidR="00AC30F5" w:rsidRDefault="00000000">
            <w:pPr>
              <w:jc w:val="center"/>
            </w:pPr>
            <w:r>
              <w:rPr>
                <w:sz w:val="17"/>
              </w:rPr>
              <w:t>22.5x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F42CA37" w14:textId="77777777" w:rsidR="00AC30F5" w:rsidRDefault="00000000">
            <w:pPr>
              <w:jc w:val="center"/>
            </w:pPr>
            <w:r>
              <w:rPr>
                <w:sz w:val="17"/>
              </w:rPr>
              <w:t>21.3x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054947F" w14:textId="77777777" w:rsidR="00AC30F5" w:rsidRDefault="00000000">
            <w:pPr>
              <w:jc w:val="center"/>
            </w:pPr>
            <w:r>
              <w:rPr>
                <w:sz w:val="17"/>
              </w:rPr>
              <w:t>4.8x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7D19100" w14:textId="77777777" w:rsidR="00AC30F5" w:rsidRDefault="00000000">
            <w:pPr>
              <w:jc w:val="center"/>
            </w:pPr>
            <w:r>
              <w:rPr>
                <w:sz w:val="17"/>
              </w:rPr>
              <w:t>15.5x</w:t>
            </w:r>
          </w:p>
        </w:tc>
      </w:tr>
      <w:tr w:rsidR="00AC30F5" w14:paraId="1E35CE72" w14:textId="77777777">
        <w:trPr>
          <w:jc w:val="center"/>
        </w:trPr>
        <w:tc>
          <w:tcPr>
            <w:tcW w:w="2040" w:type="dxa"/>
            <w:tcBorders>
              <w:top w:val="single" w:sz="4" w:space="0" w:color="808080"/>
              <w:left w:val="single" w:sz="4" w:space="0" w:color="808080"/>
              <w:bottom w:val="single" w:sz="4" w:space="0" w:color="808080"/>
              <w:right w:val="single" w:sz="4" w:space="0" w:color="808080"/>
            </w:tcBorders>
            <w:vAlign w:val="center"/>
          </w:tcPr>
          <w:p w14:paraId="5B7B9EC7" w14:textId="77777777" w:rsidR="00AC30F5" w:rsidRDefault="00000000">
            <w:r>
              <w:rPr>
                <w:sz w:val="17"/>
              </w:rPr>
              <w:t>EV / Forward Sales</w:t>
            </w:r>
          </w:p>
        </w:tc>
        <w:tc>
          <w:tcPr>
            <w:tcW w:w="2040" w:type="dxa"/>
            <w:tcBorders>
              <w:top w:val="single" w:sz="4" w:space="0" w:color="808080"/>
              <w:left w:val="single" w:sz="4" w:space="0" w:color="808080"/>
              <w:bottom w:val="single" w:sz="4" w:space="0" w:color="808080"/>
              <w:right w:val="single" w:sz="4" w:space="0" w:color="808080"/>
            </w:tcBorders>
            <w:vAlign w:val="center"/>
          </w:tcPr>
          <w:p w14:paraId="308710B6" w14:textId="77777777" w:rsidR="00AC30F5" w:rsidRDefault="00000000">
            <w:pPr>
              <w:jc w:val="center"/>
            </w:pPr>
            <w:r>
              <w:rPr>
                <w:sz w:val="17"/>
              </w:rPr>
              <w:t>18.1x</w:t>
            </w:r>
          </w:p>
        </w:tc>
        <w:tc>
          <w:tcPr>
            <w:tcW w:w="2040" w:type="dxa"/>
            <w:tcBorders>
              <w:top w:val="single" w:sz="4" w:space="0" w:color="808080"/>
              <w:left w:val="single" w:sz="4" w:space="0" w:color="808080"/>
              <w:bottom w:val="single" w:sz="4" w:space="0" w:color="808080"/>
              <w:right w:val="single" w:sz="4" w:space="0" w:color="808080"/>
            </w:tcBorders>
            <w:vAlign w:val="center"/>
          </w:tcPr>
          <w:p w14:paraId="4898D67B" w14:textId="77777777" w:rsidR="00AC30F5" w:rsidRDefault="00000000">
            <w:pPr>
              <w:jc w:val="center"/>
            </w:pPr>
            <w:r>
              <w:rPr>
                <w:sz w:val="17"/>
              </w:rPr>
              <w:t>16.4x</w:t>
            </w:r>
          </w:p>
        </w:tc>
        <w:tc>
          <w:tcPr>
            <w:tcW w:w="2040" w:type="dxa"/>
            <w:tcBorders>
              <w:top w:val="single" w:sz="4" w:space="0" w:color="808080"/>
              <w:left w:val="single" w:sz="4" w:space="0" w:color="808080"/>
              <w:bottom w:val="single" w:sz="4" w:space="0" w:color="808080"/>
              <w:right w:val="single" w:sz="4" w:space="0" w:color="808080"/>
            </w:tcBorders>
            <w:vAlign w:val="center"/>
          </w:tcPr>
          <w:p w14:paraId="2A6907A6" w14:textId="77777777" w:rsidR="00AC30F5" w:rsidRDefault="00000000">
            <w:pPr>
              <w:jc w:val="center"/>
            </w:pPr>
            <w:r>
              <w:rPr>
                <w:sz w:val="17"/>
              </w:rPr>
              <w:t>4.5x</w:t>
            </w:r>
          </w:p>
        </w:tc>
        <w:tc>
          <w:tcPr>
            <w:tcW w:w="2040" w:type="dxa"/>
            <w:tcBorders>
              <w:top w:val="single" w:sz="4" w:space="0" w:color="808080"/>
              <w:left w:val="single" w:sz="4" w:space="0" w:color="808080"/>
              <w:bottom w:val="single" w:sz="4" w:space="0" w:color="808080"/>
              <w:right w:val="single" w:sz="4" w:space="0" w:color="808080"/>
            </w:tcBorders>
            <w:vAlign w:val="center"/>
          </w:tcPr>
          <w:p w14:paraId="1A57326A" w14:textId="77777777" w:rsidR="00AC30F5" w:rsidRDefault="00000000">
            <w:pPr>
              <w:jc w:val="center"/>
            </w:pPr>
            <w:r>
              <w:rPr>
                <w:sz w:val="17"/>
              </w:rPr>
              <w:t>15.5x</w:t>
            </w:r>
          </w:p>
        </w:tc>
      </w:tr>
      <w:tr w:rsidR="00AC30F5" w14:paraId="23A065AB"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3DBF43" w14:textId="77777777" w:rsidR="00AC30F5" w:rsidRDefault="00000000">
            <w:r>
              <w:rPr>
                <w:sz w:val="17"/>
              </w:rPr>
              <w:t>EV / TTM EBITDA</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DF2AA3" w14:textId="77777777" w:rsidR="00AC30F5" w:rsidRDefault="00000000">
            <w:pPr>
              <w:jc w:val="center"/>
            </w:pPr>
            <w:r>
              <w:rPr>
                <w:sz w:val="17"/>
              </w:rPr>
              <w:t>116.1x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47352A7" w14:textId="77777777" w:rsidR="00AC30F5" w:rsidRDefault="00000000">
            <w:pPr>
              <w:jc w:val="center"/>
            </w:pPr>
            <w:r>
              <w:rPr>
                <w:sz w:val="17"/>
              </w:rPr>
              <w:t>34.5x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736CDA7" w14:textId="77777777" w:rsidR="00AC30F5" w:rsidRDefault="00000000">
            <w:pPr>
              <w:jc w:val="center"/>
            </w:pPr>
            <w:r>
              <w:rPr>
                <w:sz w:val="17"/>
              </w:rPr>
              <w:t>26.6x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7C323E" w14:textId="77777777" w:rsidR="00AC30F5" w:rsidRDefault="00000000">
            <w:pPr>
              <w:jc w:val="center"/>
            </w:pPr>
            <w:r>
              <w:rPr>
                <w:sz w:val="17"/>
              </w:rPr>
              <w:t>34.8x</w:t>
            </w:r>
          </w:p>
        </w:tc>
      </w:tr>
      <w:tr w:rsidR="00AC30F5" w14:paraId="3EACAF70" w14:textId="77777777">
        <w:trPr>
          <w:jc w:val="center"/>
        </w:trPr>
        <w:tc>
          <w:tcPr>
            <w:tcW w:w="2040" w:type="dxa"/>
            <w:tcBorders>
              <w:top w:val="single" w:sz="4" w:space="0" w:color="808080"/>
              <w:left w:val="single" w:sz="4" w:space="0" w:color="808080"/>
              <w:bottom w:val="single" w:sz="4" w:space="0" w:color="808080"/>
              <w:right w:val="single" w:sz="4" w:space="0" w:color="808080"/>
            </w:tcBorders>
            <w:vAlign w:val="center"/>
          </w:tcPr>
          <w:p w14:paraId="5B690F3C" w14:textId="77777777" w:rsidR="00AC30F5" w:rsidRDefault="00000000">
            <w:r>
              <w:rPr>
                <w:sz w:val="17"/>
              </w:rPr>
              <w:t>EV / Forward EBITDA</w:t>
            </w:r>
          </w:p>
        </w:tc>
        <w:tc>
          <w:tcPr>
            <w:tcW w:w="2040" w:type="dxa"/>
            <w:tcBorders>
              <w:top w:val="single" w:sz="4" w:space="0" w:color="808080"/>
              <w:left w:val="single" w:sz="4" w:space="0" w:color="808080"/>
              <w:bottom w:val="single" w:sz="4" w:space="0" w:color="808080"/>
              <w:right w:val="single" w:sz="4" w:space="0" w:color="808080"/>
            </w:tcBorders>
            <w:vAlign w:val="center"/>
          </w:tcPr>
          <w:p w14:paraId="687A60E3" w14:textId="77777777" w:rsidR="00AC30F5" w:rsidRDefault="00000000">
            <w:pPr>
              <w:jc w:val="center"/>
            </w:pPr>
            <w:r>
              <w:rPr>
                <w:sz w:val="17"/>
              </w:rPr>
              <w:t>75.0x</w:t>
            </w:r>
          </w:p>
        </w:tc>
        <w:tc>
          <w:tcPr>
            <w:tcW w:w="2040" w:type="dxa"/>
            <w:tcBorders>
              <w:top w:val="single" w:sz="4" w:space="0" w:color="808080"/>
              <w:left w:val="single" w:sz="4" w:space="0" w:color="808080"/>
              <w:bottom w:val="single" w:sz="4" w:space="0" w:color="808080"/>
              <w:right w:val="single" w:sz="4" w:space="0" w:color="808080"/>
            </w:tcBorders>
            <w:vAlign w:val="center"/>
          </w:tcPr>
          <w:p w14:paraId="39E3DA7A" w14:textId="77777777" w:rsidR="00AC30F5" w:rsidRDefault="00000000">
            <w:pPr>
              <w:jc w:val="center"/>
            </w:pPr>
            <w:r>
              <w:rPr>
                <w:sz w:val="17"/>
              </w:rPr>
              <w:t>26.2x</w:t>
            </w:r>
          </w:p>
        </w:tc>
        <w:tc>
          <w:tcPr>
            <w:tcW w:w="2040" w:type="dxa"/>
            <w:tcBorders>
              <w:top w:val="single" w:sz="4" w:space="0" w:color="808080"/>
              <w:left w:val="single" w:sz="4" w:space="0" w:color="808080"/>
              <w:bottom w:val="single" w:sz="4" w:space="0" w:color="808080"/>
              <w:right w:val="single" w:sz="4" w:space="0" w:color="808080"/>
            </w:tcBorders>
            <w:vAlign w:val="center"/>
          </w:tcPr>
          <w:p w14:paraId="75415761" w14:textId="77777777" w:rsidR="00AC30F5" w:rsidRDefault="00000000">
            <w:pPr>
              <w:jc w:val="center"/>
            </w:pPr>
            <w:r>
              <w:rPr>
                <w:sz w:val="17"/>
              </w:rPr>
              <w:t>21.1x</w:t>
            </w:r>
          </w:p>
        </w:tc>
        <w:tc>
          <w:tcPr>
            <w:tcW w:w="2040" w:type="dxa"/>
            <w:tcBorders>
              <w:top w:val="single" w:sz="4" w:space="0" w:color="808080"/>
              <w:left w:val="single" w:sz="4" w:space="0" w:color="808080"/>
              <w:bottom w:val="single" w:sz="4" w:space="0" w:color="808080"/>
              <w:right w:val="single" w:sz="4" w:space="0" w:color="808080"/>
            </w:tcBorders>
            <w:vAlign w:val="center"/>
          </w:tcPr>
          <w:p w14:paraId="66C21501" w14:textId="77777777" w:rsidR="00AC30F5" w:rsidRDefault="00000000">
            <w:pPr>
              <w:jc w:val="center"/>
            </w:pPr>
            <w:r>
              <w:rPr>
                <w:sz w:val="17"/>
              </w:rPr>
              <w:t>34.8x</w:t>
            </w:r>
          </w:p>
        </w:tc>
      </w:tr>
      <w:tr w:rsidR="00AC30F5" w14:paraId="5584A01A" w14:textId="77777777">
        <w:trPr>
          <w:jc w:val="center"/>
        </w:trPr>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1D340FF" w14:textId="77777777" w:rsidR="00AC30F5" w:rsidRDefault="00000000">
            <w:r>
              <w:rPr>
                <w:sz w:val="17"/>
              </w:rPr>
              <w:t>P / Forward EPS</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07119EE" w14:textId="77777777" w:rsidR="00AC30F5" w:rsidRDefault="00000000">
            <w:pPr>
              <w:jc w:val="center"/>
            </w:pPr>
            <w:r>
              <w:rPr>
                <w:sz w:val="17"/>
              </w:rPr>
              <w:t>115.1x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DFC8825" w14:textId="77777777" w:rsidR="00AC30F5" w:rsidRDefault="00000000">
            <w:pPr>
              <w:jc w:val="center"/>
            </w:pPr>
            <w:r>
              <w:rPr>
                <w:sz w:val="17"/>
              </w:rPr>
              <w:t>30.3x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BFFC543" w14:textId="77777777" w:rsidR="00AC30F5" w:rsidRDefault="00000000">
            <w:pPr>
              <w:jc w:val="center"/>
            </w:pPr>
            <w:r>
              <w:rPr>
                <w:sz w:val="17"/>
              </w:rPr>
              <w:t>110.6x</w:t>
            </w:r>
          </w:p>
        </w:tc>
        <w:tc>
          <w:tcPr>
            <w:tcW w:w="20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E3F82AB" w14:textId="77777777" w:rsidR="00AC30F5" w:rsidRDefault="00000000">
            <w:pPr>
              <w:jc w:val="center"/>
            </w:pPr>
            <w:r>
              <w:rPr>
                <w:sz w:val="17"/>
              </w:rPr>
              <w:t>37.3x</w:t>
            </w:r>
          </w:p>
        </w:tc>
      </w:tr>
    </w:tbl>
    <w:p w14:paraId="5BFEF84F" w14:textId="77777777" w:rsidR="00AC30F5" w:rsidRDefault="00AC30F5">
      <w:pPr>
        <w:spacing w:after="80"/>
      </w:pPr>
    </w:p>
    <w:p w14:paraId="5F88D9FF" w14:textId="77777777" w:rsidR="00AC30F5" w:rsidRDefault="00000000">
      <w:pPr>
        <w:spacing w:after="80"/>
        <w:jc w:val="both"/>
      </w:pPr>
      <w:r>
        <w:t>* NVIDIA and Intel prices are as of late January 2026 (the most recent verifiable date for which comprehensive peer multiples were compiled); AMD's multiples are computed at the 5 August 2026 $480 reference price. If NVIDIA's price has moved since January 2026, the directional finding (AMD trading at a premium to NVIDIA on EV/Sales) is robust to reasonable peer price changes, because AMD's price has roughly doubled while NVIDIA's has been roughly flat (+8.75% YTD).</w:t>
      </w:r>
    </w:p>
    <w:p w14:paraId="201FE9AD" w14:textId="77777777" w:rsidR="00AC30F5" w:rsidRDefault="00000000">
      <w:pPr>
        <w:pStyle w:val="Heading2"/>
      </w:pPr>
      <w:r>
        <w:t>Implied AMD Price from Peer Multiples</w:t>
      </w:r>
    </w:p>
    <w:p w14:paraId="035443C1" w14:textId="77777777" w:rsidR="00AC30F5" w:rsidRDefault="00000000">
      <w:pPr>
        <w:spacing w:after="80"/>
        <w:jc w:val="both"/>
      </w:pPr>
      <w:r>
        <w:t>Applying peer and industry multiples to AMD's forward FY2026 estimates (revenue $47.1B, EBITDA $11.4B, EPS $4.17) yields the implied prices shown in Table 7.</w:t>
      </w:r>
    </w:p>
    <w:p w14:paraId="52B7F58A" w14:textId="77777777" w:rsidR="00AC30F5" w:rsidRDefault="00000000">
      <w:pPr>
        <w:spacing w:before="120" w:after="40"/>
      </w:pPr>
      <w:r>
        <w:rPr>
          <w:b/>
          <w:color w:val="1F4E78"/>
          <w:sz w:val="19"/>
        </w:rPr>
        <w:t>Table 7: Implied AMD Price from Peer Multiples</w:t>
      </w:r>
    </w:p>
    <w:tbl>
      <w:tblPr>
        <w:tblW w:w="0" w:type="auto"/>
        <w:jc w:val="center"/>
        <w:tblLook w:val="04A0" w:firstRow="1" w:lastRow="0" w:firstColumn="1" w:lastColumn="0" w:noHBand="0" w:noVBand="1"/>
      </w:tblPr>
      <w:tblGrid>
        <w:gridCol w:w="2550"/>
        <w:gridCol w:w="2550"/>
        <w:gridCol w:w="2550"/>
        <w:gridCol w:w="2550"/>
      </w:tblGrid>
      <w:tr w:rsidR="00AC30F5" w14:paraId="57E05C02"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6539256" w14:textId="77777777" w:rsidR="00AC30F5" w:rsidRDefault="00000000">
            <w:pPr>
              <w:jc w:val="center"/>
            </w:pPr>
            <w:r>
              <w:rPr>
                <w:b/>
                <w:color w:val="FFFFFF"/>
                <w:sz w:val="17"/>
              </w:rPr>
              <w:t>Multiple Source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F21F0F6" w14:textId="77777777" w:rsidR="00AC30F5" w:rsidRDefault="00000000">
            <w:pPr>
              <w:jc w:val="center"/>
            </w:pPr>
            <w:r>
              <w:rPr>
                <w:b/>
                <w:color w:val="FFFFFF"/>
                <w:sz w:val="17"/>
              </w:rPr>
              <w:t>Multiple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4261A28" w14:textId="77777777" w:rsidR="00AC30F5" w:rsidRDefault="00000000">
            <w:pPr>
              <w:jc w:val="center"/>
            </w:pPr>
            <w:r>
              <w:rPr>
                <w:b/>
                <w:color w:val="FFFFFF"/>
                <w:sz w:val="17"/>
              </w:rPr>
              <w:t>Implied Price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4C6560F" w14:textId="77777777" w:rsidR="00AC30F5" w:rsidRDefault="00000000">
            <w:pPr>
              <w:jc w:val="center"/>
            </w:pPr>
            <w:r>
              <w:rPr>
                <w:b/>
                <w:color w:val="FFFFFF"/>
                <w:sz w:val="17"/>
              </w:rPr>
              <w:t>vs $480 Market</w:t>
            </w:r>
          </w:p>
        </w:tc>
      </w:tr>
      <w:tr w:rsidR="00AC30F5" w14:paraId="679D939E"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5369B68" w14:textId="77777777" w:rsidR="00AC30F5" w:rsidRDefault="00000000">
            <w:r>
              <w:rPr>
                <w:sz w:val="17"/>
              </w:rPr>
              <w:t>NVIDIA EV/Fwd Sales</w:t>
            </w:r>
          </w:p>
        </w:tc>
        <w:tc>
          <w:tcPr>
            <w:tcW w:w="2550" w:type="dxa"/>
            <w:tcBorders>
              <w:top w:val="single" w:sz="4" w:space="0" w:color="808080"/>
              <w:left w:val="single" w:sz="4" w:space="0" w:color="808080"/>
              <w:bottom w:val="single" w:sz="4" w:space="0" w:color="808080"/>
              <w:right w:val="single" w:sz="4" w:space="0" w:color="808080"/>
            </w:tcBorders>
            <w:vAlign w:val="center"/>
          </w:tcPr>
          <w:p w14:paraId="2AF4C717" w14:textId="77777777" w:rsidR="00AC30F5" w:rsidRDefault="00000000">
            <w:pPr>
              <w:jc w:val="center"/>
            </w:pPr>
            <w:r>
              <w:rPr>
                <w:sz w:val="17"/>
              </w:rPr>
              <w:t>16.4x</w:t>
            </w:r>
          </w:p>
        </w:tc>
        <w:tc>
          <w:tcPr>
            <w:tcW w:w="2550" w:type="dxa"/>
            <w:tcBorders>
              <w:top w:val="single" w:sz="4" w:space="0" w:color="808080"/>
              <w:left w:val="single" w:sz="4" w:space="0" w:color="808080"/>
              <w:bottom w:val="single" w:sz="4" w:space="0" w:color="808080"/>
              <w:right w:val="single" w:sz="4" w:space="0" w:color="808080"/>
            </w:tcBorders>
            <w:vAlign w:val="center"/>
          </w:tcPr>
          <w:p w14:paraId="0B867CD3" w14:textId="77777777" w:rsidR="00AC30F5" w:rsidRDefault="00000000">
            <w:pPr>
              <w:jc w:val="center"/>
            </w:pPr>
            <w:r>
              <w:rPr>
                <w:sz w:val="17"/>
              </w:rPr>
              <w:t>$471</w:t>
            </w:r>
          </w:p>
        </w:tc>
        <w:tc>
          <w:tcPr>
            <w:tcW w:w="2550" w:type="dxa"/>
            <w:tcBorders>
              <w:top w:val="single" w:sz="4" w:space="0" w:color="808080"/>
              <w:left w:val="single" w:sz="4" w:space="0" w:color="808080"/>
              <w:bottom w:val="single" w:sz="4" w:space="0" w:color="808080"/>
              <w:right w:val="single" w:sz="4" w:space="0" w:color="808080"/>
            </w:tcBorders>
            <w:vAlign w:val="center"/>
          </w:tcPr>
          <w:p w14:paraId="416F585C" w14:textId="77777777" w:rsidR="00AC30F5" w:rsidRDefault="00000000">
            <w:pPr>
              <w:jc w:val="center"/>
            </w:pPr>
            <w:r>
              <w:rPr>
                <w:sz w:val="17"/>
              </w:rPr>
              <w:t>(1.9%)</w:t>
            </w:r>
          </w:p>
        </w:tc>
      </w:tr>
      <w:tr w:rsidR="00AC30F5" w14:paraId="3A153D93"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334F834" w14:textId="77777777" w:rsidR="00AC30F5" w:rsidRDefault="00000000">
            <w:r>
              <w:rPr>
                <w:sz w:val="17"/>
              </w:rPr>
              <w:t>NVIDIA EV/Fwd EBITDA</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22BAA2" w14:textId="77777777" w:rsidR="00AC30F5" w:rsidRDefault="00000000">
            <w:pPr>
              <w:jc w:val="center"/>
            </w:pPr>
            <w:r>
              <w:rPr>
                <w:sz w:val="17"/>
              </w:rPr>
              <w:t>26.2x</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5EA73A" w14:textId="77777777" w:rsidR="00AC30F5" w:rsidRDefault="00000000">
            <w:pPr>
              <w:jc w:val="center"/>
            </w:pPr>
            <w:r>
              <w:rPr>
                <w:sz w:val="17"/>
              </w:rPr>
              <w:t>$179</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F4235C2" w14:textId="77777777" w:rsidR="00AC30F5" w:rsidRDefault="00000000">
            <w:pPr>
              <w:jc w:val="center"/>
            </w:pPr>
            <w:r>
              <w:rPr>
                <w:sz w:val="17"/>
              </w:rPr>
              <w:t>(62.7%)</w:t>
            </w:r>
          </w:p>
        </w:tc>
      </w:tr>
      <w:tr w:rsidR="00AC30F5" w14:paraId="6CFDFBA2"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BE81208" w14:textId="77777777" w:rsidR="00AC30F5" w:rsidRDefault="00000000">
            <w:r>
              <w:rPr>
                <w:sz w:val="17"/>
              </w:rPr>
              <w:t>NVIDIA P/Fwd EPS</w:t>
            </w:r>
          </w:p>
        </w:tc>
        <w:tc>
          <w:tcPr>
            <w:tcW w:w="2550" w:type="dxa"/>
            <w:tcBorders>
              <w:top w:val="single" w:sz="4" w:space="0" w:color="808080"/>
              <w:left w:val="single" w:sz="4" w:space="0" w:color="808080"/>
              <w:bottom w:val="single" w:sz="4" w:space="0" w:color="808080"/>
              <w:right w:val="single" w:sz="4" w:space="0" w:color="808080"/>
            </w:tcBorders>
            <w:vAlign w:val="center"/>
          </w:tcPr>
          <w:p w14:paraId="7108B0BE" w14:textId="77777777" w:rsidR="00AC30F5" w:rsidRDefault="00000000">
            <w:pPr>
              <w:jc w:val="center"/>
            </w:pPr>
            <w:r>
              <w:rPr>
                <w:sz w:val="17"/>
              </w:rPr>
              <w:t>30.3x</w:t>
            </w:r>
          </w:p>
        </w:tc>
        <w:tc>
          <w:tcPr>
            <w:tcW w:w="2550" w:type="dxa"/>
            <w:tcBorders>
              <w:top w:val="single" w:sz="4" w:space="0" w:color="808080"/>
              <w:left w:val="single" w:sz="4" w:space="0" w:color="808080"/>
              <w:bottom w:val="single" w:sz="4" w:space="0" w:color="808080"/>
              <w:right w:val="single" w:sz="4" w:space="0" w:color="808080"/>
            </w:tcBorders>
            <w:vAlign w:val="center"/>
          </w:tcPr>
          <w:p w14:paraId="7571622E" w14:textId="77777777" w:rsidR="00AC30F5" w:rsidRDefault="00000000">
            <w:pPr>
              <w:jc w:val="center"/>
            </w:pPr>
            <w:r>
              <w:rPr>
                <w:sz w:val="17"/>
              </w:rPr>
              <w:t>$126</w:t>
            </w:r>
          </w:p>
        </w:tc>
        <w:tc>
          <w:tcPr>
            <w:tcW w:w="2550" w:type="dxa"/>
            <w:tcBorders>
              <w:top w:val="single" w:sz="4" w:space="0" w:color="808080"/>
              <w:left w:val="single" w:sz="4" w:space="0" w:color="808080"/>
              <w:bottom w:val="single" w:sz="4" w:space="0" w:color="808080"/>
              <w:right w:val="single" w:sz="4" w:space="0" w:color="808080"/>
            </w:tcBorders>
            <w:vAlign w:val="center"/>
          </w:tcPr>
          <w:p w14:paraId="19D073FA" w14:textId="77777777" w:rsidR="00AC30F5" w:rsidRDefault="00000000">
            <w:pPr>
              <w:jc w:val="center"/>
            </w:pPr>
            <w:r>
              <w:rPr>
                <w:sz w:val="17"/>
              </w:rPr>
              <w:t>(73.7%)</w:t>
            </w:r>
          </w:p>
        </w:tc>
      </w:tr>
      <w:tr w:rsidR="00AC30F5" w14:paraId="16703975"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6AB706F" w14:textId="77777777" w:rsidR="00AC30F5" w:rsidRDefault="00000000">
            <w:r>
              <w:rPr>
                <w:sz w:val="17"/>
              </w:rPr>
              <w:t>Industry EV/Fwd Sales</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053275" w14:textId="77777777" w:rsidR="00AC30F5" w:rsidRDefault="00000000">
            <w:pPr>
              <w:jc w:val="center"/>
            </w:pPr>
            <w:r>
              <w:rPr>
                <w:sz w:val="17"/>
              </w:rPr>
              <w:t>15.5x</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46D8E12" w14:textId="77777777" w:rsidR="00AC30F5" w:rsidRDefault="00000000">
            <w:pPr>
              <w:jc w:val="center"/>
            </w:pPr>
            <w:r>
              <w:rPr>
                <w:sz w:val="17"/>
              </w:rPr>
              <w:t>$445</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EFFAAA" w14:textId="77777777" w:rsidR="00AC30F5" w:rsidRDefault="00000000">
            <w:pPr>
              <w:jc w:val="center"/>
            </w:pPr>
            <w:r>
              <w:rPr>
                <w:sz w:val="17"/>
              </w:rPr>
              <w:t>(7.3%)</w:t>
            </w:r>
          </w:p>
        </w:tc>
      </w:tr>
      <w:tr w:rsidR="00AC30F5" w14:paraId="57A741CD"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6A58EDFB" w14:textId="77777777" w:rsidR="00AC30F5" w:rsidRDefault="00000000">
            <w:r>
              <w:rPr>
                <w:sz w:val="17"/>
              </w:rPr>
              <w:t>Industry EV/Fwd EBITDA</w:t>
            </w:r>
          </w:p>
        </w:tc>
        <w:tc>
          <w:tcPr>
            <w:tcW w:w="2550" w:type="dxa"/>
            <w:tcBorders>
              <w:top w:val="single" w:sz="4" w:space="0" w:color="808080"/>
              <w:left w:val="single" w:sz="4" w:space="0" w:color="808080"/>
              <w:bottom w:val="single" w:sz="4" w:space="0" w:color="808080"/>
              <w:right w:val="single" w:sz="4" w:space="0" w:color="808080"/>
            </w:tcBorders>
            <w:vAlign w:val="center"/>
          </w:tcPr>
          <w:p w14:paraId="70AEA407" w14:textId="77777777" w:rsidR="00AC30F5" w:rsidRDefault="00000000">
            <w:pPr>
              <w:jc w:val="center"/>
            </w:pPr>
            <w:r>
              <w:rPr>
                <w:sz w:val="17"/>
              </w:rPr>
              <w:t>34.8x</w:t>
            </w:r>
          </w:p>
        </w:tc>
        <w:tc>
          <w:tcPr>
            <w:tcW w:w="2550" w:type="dxa"/>
            <w:tcBorders>
              <w:top w:val="single" w:sz="4" w:space="0" w:color="808080"/>
              <w:left w:val="single" w:sz="4" w:space="0" w:color="808080"/>
              <w:bottom w:val="single" w:sz="4" w:space="0" w:color="808080"/>
              <w:right w:val="single" w:sz="4" w:space="0" w:color="808080"/>
            </w:tcBorders>
            <w:vAlign w:val="center"/>
          </w:tcPr>
          <w:p w14:paraId="76D78552" w14:textId="77777777" w:rsidR="00AC30F5" w:rsidRDefault="00000000">
            <w:pPr>
              <w:jc w:val="center"/>
            </w:pPr>
            <w:r>
              <w:rPr>
                <w:sz w:val="17"/>
              </w:rPr>
              <w:t>$239</w:t>
            </w:r>
          </w:p>
        </w:tc>
        <w:tc>
          <w:tcPr>
            <w:tcW w:w="2550" w:type="dxa"/>
            <w:tcBorders>
              <w:top w:val="single" w:sz="4" w:space="0" w:color="808080"/>
              <w:left w:val="single" w:sz="4" w:space="0" w:color="808080"/>
              <w:bottom w:val="single" w:sz="4" w:space="0" w:color="808080"/>
              <w:right w:val="single" w:sz="4" w:space="0" w:color="808080"/>
            </w:tcBorders>
            <w:vAlign w:val="center"/>
          </w:tcPr>
          <w:p w14:paraId="45228077" w14:textId="77777777" w:rsidR="00AC30F5" w:rsidRDefault="00000000">
            <w:pPr>
              <w:jc w:val="center"/>
            </w:pPr>
            <w:r>
              <w:rPr>
                <w:sz w:val="17"/>
              </w:rPr>
              <w:t>(50.2%)</w:t>
            </w:r>
          </w:p>
        </w:tc>
      </w:tr>
      <w:tr w:rsidR="00AC30F5" w14:paraId="0DCD1748"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69436E1" w14:textId="77777777" w:rsidR="00AC30F5" w:rsidRDefault="00000000">
            <w:r>
              <w:rPr>
                <w:sz w:val="17"/>
              </w:rPr>
              <w:t>Industry P/Fwd EPS</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F0A34AC" w14:textId="77777777" w:rsidR="00AC30F5" w:rsidRDefault="00000000">
            <w:pPr>
              <w:jc w:val="center"/>
            </w:pPr>
            <w:r>
              <w:rPr>
                <w:sz w:val="17"/>
              </w:rPr>
              <w:t>37.3x</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9389A6" w14:textId="77777777" w:rsidR="00AC30F5" w:rsidRDefault="00000000">
            <w:pPr>
              <w:jc w:val="center"/>
            </w:pPr>
            <w:r>
              <w:rPr>
                <w:sz w:val="17"/>
              </w:rPr>
              <w:t>$156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144CA5" w14:textId="77777777" w:rsidR="00AC30F5" w:rsidRDefault="00000000">
            <w:pPr>
              <w:jc w:val="center"/>
            </w:pPr>
            <w:r>
              <w:rPr>
                <w:sz w:val="17"/>
              </w:rPr>
              <w:t>(67.6%)</w:t>
            </w:r>
          </w:p>
        </w:tc>
      </w:tr>
      <w:tr w:rsidR="00AC30F5" w14:paraId="1AB89AC2"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1002E79F" w14:textId="77777777" w:rsidR="00AC30F5" w:rsidRDefault="00000000">
            <w:r>
              <w:rPr>
                <w:sz w:val="17"/>
              </w:rPr>
              <w:t>Intel EV/Fwd Sales</w:t>
            </w:r>
          </w:p>
        </w:tc>
        <w:tc>
          <w:tcPr>
            <w:tcW w:w="2550" w:type="dxa"/>
            <w:tcBorders>
              <w:top w:val="single" w:sz="4" w:space="0" w:color="808080"/>
              <w:left w:val="single" w:sz="4" w:space="0" w:color="808080"/>
              <w:bottom w:val="single" w:sz="4" w:space="0" w:color="808080"/>
              <w:right w:val="single" w:sz="4" w:space="0" w:color="808080"/>
            </w:tcBorders>
            <w:vAlign w:val="center"/>
          </w:tcPr>
          <w:p w14:paraId="5A7C76A8" w14:textId="77777777" w:rsidR="00AC30F5" w:rsidRDefault="00000000">
            <w:pPr>
              <w:jc w:val="center"/>
            </w:pPr>
            <w:r>
              <w:rPr>
                <w:sz w:val="17"/>
              </w:rPr>
              <w:t>4.5x</w:t>
            </w:r>
          </w:p>
        </w:tc>
        <w:tc>
          <w:tcPr>
            <w:tcW w:w="2550" w:type="dxa"/>
            <w:tcBorders>
              <w:top w:val="single" w:sz="4" w:space="0" w:color="808080"/>
              <w:left w:val="single" w:sz="4" w:space="0" w:color="808080"/>
              <w:bottom w:val="single" w:sz="4" w:space="0" w:color="808080"/>
              <w:right w:val="single" w:sz="4" w:space="0" w:color="808080"/>
            </w:tcBorders>
            <w:vAlign w:val="center"/>
          </w:tcPr>
          <w:p w14:paraId="73E0F833" w14:textId="77777777" w:rsidR="00AC30F5" w:rsidRDefault="00000000">
            <w:pPr>
              <w:jc w:val="center"/>
            </w:pPr>
            <w:r>
              <w:rPr>
                <w:sz w:val="17"/>
              </w:rPr>
              <w:t>$126</w:t>
            </w:r>
          </w:p>
        </w:tc>
        <w:tc>
          <w:tcPr>
            <w:tcW w:w="2550" w:type="dxa"/>
            <w:tcBorders>
              <w:top w:val="single" w:sz="4" w:space="0" w:color="808080"/>
              <w:left w:val="single" w:sz="4" w:space="0" w:color="808080"/>
              <w:bottom w:val="single" w:sz="4" w:space="0" w:color="808080"/>
              <w:right w:val="single" w:sz="4" w:space="0" w:color="808080"/>
            </w:tcBorders>
            <w:vAlign w:val="center"/>
          </w:tcPr>
          <w:p w14:paraId="189EAF52" w14:textId="77777777" w:rsidR="00AC30F5" w:rsidRDefault="00000000">
            <w:pPr>
              <w:jc w:val="center"/>
            </w:pPr>
            <w:r>
              <w:rPr>
                <w:sz w:val="17"/>
              </w:rPr>
              <w:t>(73.7%)</w:t>
            </w:r>
          </w:p>
        </w:tc>
      </w:tr>
      <w:tr w:rsidR="00AC30F5" w14:paraId="0E500AF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15C045" w14:textId="77777777" w:rsidR="00AC30F5" w:rsidRDefault="00000000">
            <w:r>
              <w:rPr>
                <w:sz w:val="17"/>
              </w:rPr>
              <w:t>Intel EV/Fwd EBITDA</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87DEEF5" w14:textId="77777777" w:rsidR="00AC30F5" w:rsidRDefault="00000000">
            <w:pPr>
              <w:jc w:val="center"/>
            </w:pPr>
            <w:r>
              <w:rPr>
                <w:sz w:val="17"/>
              </w:rPr>
              <w:t>21.1x</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2450950" w14:textId="77777777" w:rsidR="00AC30F5" w:rsidRDefault="00000000">
            <w:pPr>
              <w:jc w:val="center"/>
            </w:pPr>
            <w:r>
              <w:rPr>
                <w:sz w:val="17"/>
              </w:rPr>
              <w:t>$143</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D8339DF" w14:textId="77777777" w:rsidR="00AC30F5" w:rsidRDefault="00000000">
            <w:pPr>
              <w:jc w:val="center"/>
            </w:pPr>
            <w:r>
              <w:rPr>
                <w:sz w:val="17"/>
              </w:rPr>
              <w:t>(70.2%)</w:t>
            </w:r>
          </w:p>
        </w:tc>
      </w:tr>
    </w:tbl>
    <w:p w14:paraId="2FC05462" w14:textId="77777777" w:rsidR="00AC30F5" w:rsidRDefault="00AC30F5">
      <w:pPr>
        <w:spacing w:after="80"/>
      </w:pPr>
    </w:p>
    <w:p w14:paraId="0071FA1D" w14:textId="77777777" w:rsidR="00AC30F5" w:rsidRDefault="00000000">
      <w:pPr>
        <w:spacing w:after="80"/>
        <w:jc w:val="both"/>
      </w:pPr>
      <w:r>
        <w:t xml:space="preserve">The relative valuation cross-check yields a wide range of implied prices ($126 to $471), with a median of $179 and an average of $236. The only peer multiple that implies a price near $480 is NVIDIA's EV/Forward Sales ($471), which requires believing AMD will achieve NVIDIA-like margins — an outcome the DCF and competitive analysis argue is not </w:t>
      </w:r>
      <w:r>
        <w:lastRenderedPageBreak/>
        <w:t>the base case. The more defensible industry-average EV/Forward EBITDA of 34.8x implies $239, still 50% below the market price.</w:t>
      </w:r>
    </w:p>
    <w:p w14:paraId="2F94DB17" w14:textId="77777777" w:rsidR="00AC30F5" w:rsidRDefault="00000000">
      <w:pPr>
        <w:pStyle w:val="Heading2"/>
      </w:pPr>
      <w:r>
        <w:t>The Logical Hinge: Why Relative Valuation Matters Now</w:t>
      </w:r>
    </w:p>
    <w:p w14:paraId="7CA5CFCE" w14:textId="77777777" w:rsidR="00AC30F5" w:rsidRDefault="00000000">
      <w:pPr>
        <w:spacing w:after="80"/>
        <w:jc w:val="both"/>
      </w:pPr>
      <w:r>
        <w:t>A skeptical reader might raise a fair challenge here: if relative valuation broadly supporting the market price was previously used (in the author's earlier analytical work) to justify a HOLD rating at approximately $237, why does relative valuation's collapse now justify SELL? Why is relative valuation treated as decision-relevant when it supports SELL, but not symmetrically weighted against the DCF when it supported HOLD? This logical hinge deserves a direct defense.</w:t>
      </w:r>
    </w:p>
    <w:p w14:paraId="0021FE00" w14:textId="77777777" w:rsidR="00AC30F5" w:rsidRDefault="00000000">
      <w:pPr>
        <w:spacing w:after="80"/>
        <w:jc w:val="both"/>
      </w:pPr>
      <w:r>
        <w:t>The answer is that relative valuation functions as a consistency check on the DCF, not as an independent valuation method, and its informational value changes depending on whether it confirms or contradicts the DCF. When the DCF and relative valuation disagree — as they did at $237, where the DCF said $58 and relative valuation said $236 — the appropriate response is agnosticism (HOLD), because there is no clear mispricing signal when the two methods point in opposite directions. The HOLD reflected the view that the market was not making a clear error on either side: the DCF said undervalued, relative valuation said fairly valued, and the disagreement warranted neither a BUY nor a SELL. When the DCF and relative valuation agree — as they do at $480, where the DCF says $58-$90 and relative valuation says $179-$239 (with the only near-market outlier being NVIDIA's EV/Sales, which imports NVIDIA's own premium) — the appropriate response is a clear directional call, because both methods now agree the market is overvalued. The asymmetry is not in the weighting of relative valuation; it is in the informational content of agreement versus disagreement between the two methods. When methods agree, the signal is strong; when they disagree, the signal is weak. This is a standard epistemological principle in multi-method valuation, not a convenient post hoc rationalization.</w:t>
      </w:r>
    </w:p>
    <w:p w14:paraId="3319EDF0" w14:textId="77777777" w:rsidR="00AC30F5" w:rsidRDefault="00000000">
      <w:pPr>
        <w:spacing w:after="80"/>
        <w:jc w:val="both"/>
      </w:pPr>
      <w:r>
        <w:t>A second, related point: at $237, AMD's multiples were below NVIDIA's on every measure, meaning the market was pricing AMD at a discount to its most direct AI accelerator competitor. That discount could be defended on the grounds that AMD's AI business was smaller and less proven, and a HOLD reflected the view that the discount might narrow (justifying neither BUY nor SELL). At $480, AMD's multiples exceed NVIDIA's on EV/Sales and P/E, meaning the market is now pricing AMD at a premium to NVIDIA — a position that requires believing AMD will not just match but exceed NVIDIA's future performance. That is a much stronger claim, and one that neither the DCF nor the competitive analysis supports. The collapse of relative valuation support is therefore not just a matter of the gap widening; it is a matter of the market moving from a defensible discount to an indefensible premium relative to the most directly comparable peer.</w:t>
      </w:r>
    </w:p>
    <w:p w14:paraId="04C9E2EA" w14:textId="77777777" w:rsidR="00AC30F5" w:rsidRDefault="00000000">
      <w:pPr>
        <w:pStyle w:val="Heading1"/>
      </w:pPr>
      <w:r>
        <w:t>Counterarguments and Limitations</w:t>
      </w:r>
    </w:p>
    <w:p w14:paraId="5012DAE3" w14:textId="77777777" w:rsidR="00AC30F5" w:rsidRDefault="00000000">
      <w:pPr>
        <w:pStyle w:val="Heading2"/>
      </w:pPr>
      <w:r>
        <w:t>Counterargument 1: The market has been right; the DCF has been wrong</w:t>
      </w:r>
    </w:p>
    <w:p w14:paraId="7E6412EC" w14:textId="77777777" w:rsidR="00AC30F5" w:rsidRDefault="00000000">
      <w:pPr>
        <w:spacing w:after="80"/>
        <w:jc w:val="both"/>
      </w:pPr>
      <w:r>
        <w:rPr>
          <w:b/>
        </w:rPr>
        <w:t>Steelman.</w:t>
      </w:r>
      <w:r>
        <w:t xml:space="preserve"> AMD's price has roughly doubled since early 2026, and the doubling was driven by genuine fundamental beats — Q2 2026 Data Center revenue more than doubled year-over-year, three major customer commitments were signed, and management guided to a further doubling in 2027. The DCF, with its $58-$90 range, was too conservative to capture these outcomes, and an investor who had shorted AMD on the DCF signal would have lost approximately 100% of the position. The correct response is to revise the DCF upward — perhaps dramatically — not to double down on a SELL rating that the market has decisively rejected. The market is forward-looking; the DCF is backward-looking; and the gap between them reflects the DCF's limitations, not the market's irrationality.</w:t>
      </w:r>
    </w:p>
    <w:p w14:paraId="6036ED7B" w14:textId="77777777" w:rsidR="00AC30F5" w:rsidRDefault="00000000">
      <w:pPr>
        <w:spacing w:after="80"/>
        <w:jc w:val="both"/>
      </w:pPr>
      <w:r>
        <w:rPr>
          <w:b/>
        </w:rPr>
        <w:t>Response.</w:t>
      </w:r>
      <w:r>
        <w:t xml:space="preserve"> This is the strongest counterargument and deserves careful engagement. It is true that the original DCF's operating assumptions were too conservative, and the revised upper-bound scenario ($90) reflects an honest attempt to incorporate the H1 2026 beats and the 2027 doubling guidance. It is also true that the market is forward-looking in ways that a five-year explicit DCF cannot fully capture — the OpenAI, Meta, and Anthropic commitments extend well beyond 2030, and the option value of AMD's AI accelerator platform is not easily quantified in a conventional </w:t>
      </w:r>
      <w:r>
        <w:lastRenderedPageBreak/>
        <w:t>framework. However, even after generous revisions, $480 remains indefensible. The reverse DCF at $480 implies $163B of 2030 free cash flow, which would require, at a 30% FCF margin (above NVIDIA's current profile), approximately $543B in revenue — representing roughly 54% of the $1T compute TAM forecast. Whether the $1T forecast is conservative or optimistic is an open question, but even accepting it at face value, AMD capturing over half at industry-leading margins would require displacing NVIDIA as the dominant AI accelerator supplier, an outcome the competitive analysis does not support. The market may have been right directionally, but the price has overshot even the most optimistic defensible scenario. SELL is appropriate not as a directional call on AMD's business — which is genuinely improving — but as a statement that the price has moved beyond any defensible valuation framework.</w:t>
      </w:r>
    </w:p>
    <w:p w14:paraId="36416A5D" w14:textId="77777777" w:rsidR="00AC30F5" w:rsidRDefault="00000000">
      <w:pPr>
        <w:pStyle w:val="Heading2"/>
      </w:pPr>
      <w:r>
        <w:t>Counterargument 2: Relative valuation should be weighted symmetrically</w:t>
      </w:r>
    </w:p>
    <w:p w14:paraId="069A5418" w14:textId="77777777" w:rsidR="00AC30F5" w:rsidRDefault="00000000">
      <w:pPr>
        <w:spacing w:after="80"/>
        <w:jc w:val="both"/>
      </w:pPr>
      <w:r>
        <w:rPr>
          <w:b/>
        </w:rPr>
        <w:t>Steelman.</w:t>
      </w:r>
      <w:r>
        <w:t xml:space="preserve"> The note's use of relative valuation is asymmetric. When relative valuation broadly supported the market price (at approximately $237), it was used to justify a HOLD rating that overrode the DCF's $58 signal. Now that relative valuation has moved below the market price (at $480), it is used to justify a SELL rating that reinforces the DCF. If relative valuation was decision-relevant enough to override the DCF in the HOLD case, why is it not given equal weight against the DCF in the SELL case? The logical hinge appears convenient: relative valuation is invoked when it supports the desired rating and dismissed when it does not.</w:t>
      </w:r>
    </w:p>
    <w:p w14:paraId="6998DC2E" w14:textId="77777777" w:rsidR="00AC30F5" w:rsidRDefault="00000000">
      <w:pPr>
        <w:spacing w:after="80"/>
        <w:jc w:val="both"/>
      </w:pPr>
      <w:r>
        <w:rPr>
          <w:b/>
        </w:rPr>
        <w:t>Response.</w:t>
      </w:r>
      <w:r>
        <w:t xml:space="preserve"> This challenge is addressed in detail in Section 6, but the short response is that the asymmetry lies not in the weighting of relative valuation but in the informational content of agreement versus disagreement between methods. When the DCF and relative valuation disagree (as at $237), the appropriate response is agnosticism — neither method provides a clear signal, so HOLD is the rational stance. When they agree (as at $480, where both say the market is overvalued), the appropriate response is a directional call. The HOLD at $237 was not 'overriding' the DCF; it was acknowledging that the DCF and relative valuation pointed in opposite directions, and that neither signal was strong enough to act on alone. The SELL at $480 is not 'reinforcing' the DCF; it is recognizing that both methods now agree, which is a fundamentally stronger signal than either method alone. This is standard multi-method epistemology: agreement between independent methods increases confidence; disagreement warrants caution. There is no asymmetry in the treatment of relative valuation; there is a difference in the strength of the combined signal.</w:t>
      </w:r>
    </w:p>
    <w:p w14:paraId="2843CB25" w14:textId="77777777" w:rsidR="00AC30F5" w:rsidRDefault="00000000">
      <w:pPr>
        <w:pStyle w:val="Heading2"/>
      </w:pPr>
      <w:r>
        <w:t>Counterargument 3: The $1T TAM could be understated</w:t>
      </w:r>
    </w:p>
    <w:p w14:paraId="4BD51CA3" w14:textId="77777777" w:rsidR="00AC30F5" w:rsidRDefault="00000000">
      <w:pPr>
        <w:spacing w:after="80"/>
        <w:jc w:val="both"/>
      </w:pPr>
      <w:r>
        <w:rPr>
          <w:b/>
        </w:rPr>
        <w:t>Steelman.</w:t>
      </w:r>
      <w:r>
        <w:t xml:space="preserve"> The note's reverse DCF analysis concludes that achieving $163B of 2030 free cash flow would require revenue exceeding the $1T compute TAM forecast, and frames this as evidence that the market price is indefensible. But the $1T TAM is AMD management's own forecast, and management forecasts are routinely conservative — particularly when, as here, the company has an incentive to under-promise and over-deliver. If the actual 2030 compute TAM turns out to be $2T or $3T (which is conceivable given the current trajectory of hyperscaler capex, with Goldman Sachs forecasting $5.3T in cumulative four-hyperscaler spending over the AI buildout cycle), then AMD capturing 50-80% of the $1T forecast is not extreme at all — it is simply a larger share of a larger market. The note's framing overstates certainty by treating a management forecast as if it were an independently verified ceiling.</w:t>
      </w:r>
    </w:p>
    <w:p w14:paraId="49B87D05" w14:textId="77777777" w:rsidR="00AC30F5" w:rsidRDefault="00000000">
      <w:pPr>
        <w:spacing w:after="80"/>
        <w:jc w:val="both"/>
      </w:pPr>
      <w:r>
        <w:rPr>
          <w:b/>
        </w:rPr>
        <w:t>Response.</w:t>
      </w:r>
      <w:r>
        <w:t xml:space="preserve"> This is a fair point and the note has been drafted to address it. The language throughout has been softened from 'impossible' to 'extreme' where TAM-dependent revenue requirements are concerned, and Table 5 explicitly notes that the $1T forecast is management-sourced and not independently verified. It is entirely possible that the actual 2030 compute TAM exceeds $1T, and if it does, the revenue requirements in Table 5 would correspondingly shrink as a percentage of the larger TAM. However, three points remain robust regardless of where the actual TAM lands. First, a 187% free cash flow margin (the requirement at the model's base-case revenue) is mathematically impossible — free cash flow cannot exceed revenue — so at least one cell in Table 5 is genuinely impossible rather than merely extreme. Second, even at a 40% FCF margin (above NVIDIA's current profile), the required revenue of $407B represents approximately 41% of the $1T forecast — and AMD capturing 41% of the compute market would require displacing NVIDIA, which currently holds 80-92% of the discrete GPU market. Third, even if one doubles the TAM to $2T, AMD capturing 27% at a 30% FCF margin (a generous scenario) would still require tripling the model's </w:t>
      </w:r>
      <w:r>
        <w:lastRenderedPageBreak/>
        <w:t>Scenario C 2030 revenue and nearly doubling NVIDIA's current FCF margin. The exact magnitude of the gap depends on TAM assumptions, but the directional finding — that $480 prices in outcomes beyond any defensible scenario — holds across a wide range of plausible TAMs.</w:t>
      </w:r>
    </w:p>
    <w:p w14:paraId="45A1008F" w14:textId="77777777" w:rsidR="00AC30F5" w:rsidRDefault="00000000">
      <w:pPr>
        <w:pStyle w:val="Heading2"/>
      </w:pPr>
      <w:r>
        <w:t>Limitations of This Analysis</w:t>
      </w:r>
    </w:p>
    <w:p w14:paraId="4C9F3C53" w14:textId="77777777" w:rsidR="00AC30F5" w:rsidRDefault="00000000">
      <w:pPr>
        <w:pStyle w:val="ListBullet"/>
        <w:spacing w:after="60"/>
        <w:jc w:val="both"/>
      </w:pPr>
      <w:r>
        <w:rPr>
          <w:b/>
        </w:rPr>
        <w:t>DCF model not fully rebuilt.</w:t>
      </w:r>
      <w:r>
        <w:t xml:space="preserve"> The upper bound of the price target range ($90) reflects a revised scenario, not a complete model rebuild with segment-level forecasts. A full rebuild incorporating H1 2026 actuals, the 2027 doubling guidance, and segment-specific margin assumptions would produce a more precise estimate within the $58-$90 range.</w:t>
      </w:r>
    </w:p>
    <w:p w14:paraId="13DA15D8" w14:textId="77777777" w:rsidR="00AC30F5" w:rsidRDefault="00000000">
      <w:pPr>
        <w:pStyle w:val="ListBullet"/>
        <w:spacing w:after="60"/>
        <w:jc w:val="both"/>
      </w:pPr>
      <w:r>
        <w:rPr>
          <w:b/>
        </w:rPr>
        <w:t>Peer multiples as of January 2026.</w:t>
      </w:r>
      <w:r>
        <w:t xml:space="preserve"> NVIDIA and Intel multiples are as of late January 2026 (the most recent verifiable compilation date); if peer prices have moved since, the directional finding is robust but the exact multiples may differ.</w:t>
      </w:r>
    </w:p>
    <w:p w14:paraId="3084C335" w14:textId="77777777" w:rsidR="00AC30F5" w:rsidRDefault="00000000">
      <w:pPr>
        <w:pStyle w:val="ListBullet"/>
        <w:spacing w:after="60"/>
        <w:jc w:val="both"/>
      </w:pPr>
      <w:r>
        <w:rPr>
          <w:b/>
        </w:rPr>
        <w:t>OpenAI/Meta warrant vesting not modeled as staged.</w:t>
      </w:r>
      <w:r>
        <w:t xml:space="preserve"> The base case treats the OpenAI warrant as fully diluted (1,796M shares); the staged vesting structure (with share-price hurdles escalating to $600) is documented but not modeled as a probability-weighted dilution scenario.</w:t>
      </w:r>
    </w:p>
    <w:p w14:paraId="70418385" w14:textId="77777777" w:rsidR="00AC30F5" w:rsidRDefault="00000000">
      <w:pPr>
        <w:pStyle w:val="ListBullet"/>
        <w:spacing w:after="60"/>
        <w:jc w:val="both"/>
      </w:pPr>
      <w:r>
        <w:rPr>
          <w:b/>
        </w:rPr>
        <w:t>Terminal value dominates.</w:t>
      </w:r>
      <w:r>
        <w:t xml:space="preserve"> Terminal value represents 72-76% of enterprise value across the three scenarios, making the valuation sensitive to terminal assumptions. The sensitivity table in Appendix C discloses the full range, but the inherent uncertainty of terminal value is a structural limitation.</w:t>
      </w:r>
    </w:p>
    <w:p w14:paraId="1C5F7928" w14:textId="77777777" w:rsidR="00AC30F5" w:rsidRDefault="00000000">
      <w:pPr>
        <w:pStyle w:val="ListBullet"/>
        <w:spacing w:after="60"/>
        <w:jc w:val="both"/>
      </w:pPr>
      <w:r>
        <w:rPr>
          <w:b/>
        </w:rPr>
        <w:t>TAM forecast is management-sourced.</w:t>
      </w:r>
      <w:r>
        <w:t xml:space="preserve"> The $1T compute market forecast is AMD's own estimate and is not independently verified. The reverse DCF analysis acknowledges this by framing TAM-dependent requirements as extreme rather than impossible.</w:t>
      </w:r>
    </w:p>
    <w:p w14:paraId="15B7C67B" w14:textId="77777777" w:rsidR="00AC30F5" w:rsidRDefault="00000000">
      <w:pPr>
        <w:pStyle w:val="Heading1"/>
      </w:pPr>
      <w:r>
        <w:t>Risk Factors: Bull / Base / Bear</w:t>
      </w:r>
    </w:p>
    <w:p w14:paraId="46461315" w14:textId="77777777" w:rsidR="00AC30F5" w:rsidRDefault="00000000">
      <w:pPr>
        <w:spacing w:after="80"/>
        <w:jc w:val="both"/>
      </w:pPr>
      <w:r>
        <w:t>Table 8 presents the structured bull/base/bear case analysis. Each case is defined by a coherent combination of revenue growth, margin trajectory, WACC, and share count, and yields a distinct implied price. The cases are not symmetric: the bear case downside is closer to the base than the bull case upside is, reflecting the structural ceiling that the DCF framework imposes on high-growth valuations. The market price of $480 sits well above even the bull case, indicating that the market is pricing in outcomes outside the scope of any of these scenarios.</w:t>
      </w:r>
    </w:p>
    <w:p w14:paraId="0956E187" w14:textId="77777777" w:rsidR="00AC30F5" w:rsidRDefault="00000000">
      <w:pPr>
        <w:spacing w:before="120" w:after="40"/>
      </w:pPr>
      <w:r>
        <w:rPr>
          <w:b/>
          <w:color w:val="1F4E78"/>
          <w:sz w:val="19"/>
        </w:rPr>
        <w:t>Table 8: Bull / Base / Bear Case Analysis</w:t>
      </w:r>
    </w:p>
    <w:tbl>
      <w:tblPr>
        <w:tblW w:w="0" w:type="auto"/>
        <w:jc w:val="center"/>
        <w:tblLook w:val="04A0" w:firstRow="1" w:lastRow="0" w:firstColumn="1" w:lastColumn="0" w:noHBand="0" w:noVBand="1"/>
      </w:tblPr>
      <w:tblGrid>
        <w:gridCol w:w="2550"/>
        <w:gridCol w:w="2550"/>
        <w:gridCol w:w="2550"/>
        <w:gridCol w:w="2550"/>
      </w:tblGrid>
      <w:tr w:rsidR="00AC30F5" w14:paraId="47423246"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516A3CD" w14:textId="77777777" w:rsidR="00AC30F5" w:rsidRDefault="00000000">
            <w:pPr>
              <w:jc w:val="center"/>
            </w:pPr>
            <w:r>
              <w:rPr>
                <w:b/>
                <w:color w:val="FFFFFF"/>
                <w:sz w:val="17"/>
              </w:rPr>
              <w:t>Driver</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3096CC4F" w14:textId="77777777" w:rsidR="00AC30F5" w:rsidRDefault="00000000">
            <w:pPr>
              <w:jc w:val="center"/>
            </w:pPr>
            <w:r>
              <w:rPr>
                <w:b/>
                <w:color w:val="FFFFFF"/>
                <w:sz w:val="17"/>
              </w:rPr>
              <w:t>Bear Case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428CE90" w14:textId="77777777" w:rsidR="00AC30F5" w:rsidRDefault="00000000">
            <w:pPr>
              <w:jc w:val="center"/>
            </w:pPr>
            <w:r>
              <w:rPr>
                <w:b/>
                <w:color w:val="FFFFFF"/>
                <w:sz w:val="17"/>
              </w:rPr>
              <w:t>Base Case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C893850" w14:textId="77777777" w:rsidR="00AC30F5" w:rsidRDefault="00000000">
            <w:pPr>
              <w:jc w:val="center"/>
            </w:pPr>
            <w:r>
              <w:rPr>
                <w:b/>
                <w:color w:val="FFFFFF"/>
                <w:sz w:val="17"/>
              </w:rPr>
              <w:t>Bull Case</w:t>
            </w:r>
          </w:p>
        </w:tc>
      </w:tr>
      <w:tr w:rsidR="00AC30F5" w14:paraId="320EC7A7"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18F7FC5" w14:textId="77777777" w:rsidR="00AC30F5" w:rsidRDefault="00000000">
            <w:r>
              <w:rPr>
                <w:sz w:val="17"/>
              </w:rPr>
              <w:t>Revenue CAGR (2025-2030)</w:t>
            </w:r>
          </w:p>
        </w:tc>
        <w:tc>
          <w:tcPr>
            <w:tcW w:w="2550" w:type="dxa"/>
            <w:tcBorders>
              <w:top w:val="single" w:sz="4" w:space="0" w:color="808080"/>
              <w:left w:val="single" w:sz="4" w:space="0" w:color="808080"/>
              <w:bottom w:val="single" w:sz="4" w:space="0" w:color="808080"/>
              <w:right w:val="single" w:sz="4" w:space="0" w:color="808080"/>
            </w:tcBorders>
            <w:vAlign w:val="center"/>
          </w:tcPr>
          <w:p w14:paraId="09258854" w14:textId="77777777" w:rsidR="00AC30F5" w:rsidRDefault="00000000">
            <w:pPr>
              <w:jc w:val="center"/>
            </w:pPr>
            <w:r>
              <w:rPr>
                <w:sz w:val="17"/>
              </w:rPr>
              <w:t>13.0%</w:t>
            </w:r>
          </w:p>
        </w:tc>
        <w:tc>
          <w:tcPr>
            <w:tcW w:w="2550" w:type="dxa"/>
            <w:tcBorders>
              <w:top w:val="single" w:sz="4" w:space="0" w:color="808080"/>
              <w:left w:val="single" w:sz="4" w:space="0" w:color="808080"/>
              <w:bottom w:val="single" w:sz="4" w:space="0" w:color="808080"/>
              <w:right w:val="single" w:sz="4" w:space="0" w:color="808080"/>
            </w:tcBorders>
            <w:vAlign w:val="center"/>
          </w:tcPr>
          <w:p w14:paraId="7FEBB73C" w14:textId="77777777" w:rsidR="00AC30F5" w:rsidRDefault="00000000">
            <w:pPr>
              <w:jc w:val="center"/>
            </w:pPr>
            <w:r>
              <w:rPr>
                <w:sz w:val="17"/>
              </w:rPr>
              <w:t>20.3%</w:t>
            </w:r>
          </w:p>
        </w:tc>
        <w:tc>
          <w:tcPr>
            <w:tcW w:w="2550" w:type="dxa"/>
            <w:tcBorders>
              <w:top w:val="single" w:sz="4" w:space="0" w:color="808080"/>
              <w:left w:val="single" w:sz="4" w:space="0" w:color="808080"/>
              <w:bottom w:val="single" w:sz="4" w:space="0" w:color="808080"/>
              <w:right w:val="single" w:sz="4" w:space="0" w:color="808080"/>
            </w:tcBorders>
            <w:vAlign w:val="center"/>
          </w:tcPr>
          <w:p w14:paraId="10E165E5" w14:textId="77777777" w:rsidR="00AC30F5" w:rsidRDefault="00000000">
            <w:pPr>
              <w:jc w:val="center"/>
            </w:pPr>
            <w:r>
              <w:rPr>
                <w:sz w:val="17"/>
              </w:rPr>
              <w:t>26.5%</w:t>
            </w:r>
          </w:p>
        </w:tc>
      </w:tr>
      <w:tr w:rsidR="00AC30F5" w14:paraId="35C2DBC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C0E13C0" w14:textId="77777777" w:rsidR="00AC30F5" w:rsidRDefault="00000000">
            <w:r>
              <w:rPr>
                <w:sz w:val="17"/>
              </w:rPr>
              <w:t>2030 Revenue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18B4E5" w14:textId="77777777" w:rsidR="00AC30F5" w:rsidRDefault="00000000">
            <w:pPr>
              <w:jc w:val="center"/>
            </w:pPr>
            <w:r>
              <w:rPr>
                <w:sz w:val="17"/>
              </w:rPr>
              <w:t>$63.6B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E090AE" w14:textId="77777777" w:rsidR="00AC30F5" w:rsidRDefault="00000000">
            <w:pPr>
              <w:jc w:val="center"/>
            </w:pPr>
            <w:r>
              <w:rPr>
                <w:sz w:val="17"/>
              </w:rPr>
              <w:t>$87.2B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31B34BC" w14:textId="77777777" w:rsidR="00AC30F5" w:rsidRDefault="00000000">
            <w:pPr>
              <w:jc w:val="center"/>
            </w:pPr>
            <w:r>
              <w:rPr>
                <w:sz w:val="17"/>
              </w:rPr>
              <w:t>$112.0B</w:t>
            </w:r>
          </w:p>
        </w:tc>
      </w:tr>
      <w:tr w:rsidR="00AC30F5" w14:paraId="00D83D60"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0F752B38" w14:textId="77777777" w:rsidR="00AC30F5" w:rsidRDefault="00000000">
            <w:r>
              <w:rPr>
                <w:sz w:val="17"/>
              </w:rPr>
              <w:t>2030 EBIT Margin</w:t>
            </w:r>
          </w:p>
        </w:tc>
        <w:tc>
          <w:tcPr>
            <w:tcW w:w="2550" w:type="dxa"/>
            <w:tcBorders>
              <w:top w:val="single" w:sz="4" w:space="0" w:color="808080"/>
              <w:left w:val="single" w:sz="4" w:space="0" w:color="808080"/>
              <w:bottom w:val="single" w:sz="4" w:space="0" w:color="808080"/>
              <w:right w:val="single" w:sz="4" w:space="0" w:color="808080"/>
            </w:tcBorders>
            <w:vAlign w:val="center"/>
          </w:tcPr>
          <w:p w14:paraId="1D07CE59" w14:textId="77777777" w:rsidR="00AC30F5" w:rsidRDefault="00000000">
            <w:pPr>
              <w:jc w:val="center"/>
            </w:pPr>
            <w:r>
              <w:rPr>
                <w:sz w:val="17"/>
              </w:rPr>
              <w:t>20.0%</w:t>
            </w:r>
          </w:p>
        </w:tc>
        <w:tc>
          <w:tcPr>
            <w:tcW w:w="2550" w:type="dxa"/>
            <w:tcBorders>
              <w:top w:val="single" w:sz="4" w:space="0" w:color="808080"/>
              <w:left w:val="single" w:sz="4" w:space="0" w:color="808080"/>
              <w:bottom w:val="single" w:sz="4" w:space="0" w:color="808080"/>
              <w:right w:val="single" w:sz="4" w:space="0" w:color="808080"/>
            </w:tcBorders>
            <w:vAlign w:val="center"/>
          </w:tcPr>
          <w:p w14:paraId="4F83FF5A" w14:textId="77777777" w:rsidR="00AC30F5" w:rsidRDefault="00000000">
            <w:pPr>
              <w:jc w:val="center"/>
            </w:pPr>
            <w:r>
              <w:rPr>
                <w:sz w:val="17"/>
              </w:rPr>
              <w:t>23.3%</w:t>
            </w:r>
          </w:p>
        </w:tc>
        <w:tc>
          <w:tcPr>
            <w:tcW w:w="2550" w:type="dxa"/>
            <w:tcBorders>
              <w:top w:val="single" w:sz="4" w:space="0" w:color="808080"/>
              <w:left w:val="single" w:sz="4" w:space="0" w:color="808080"/>
              <w:bottom w:val="single" w:sz="4" w:space="0" w:color="808080"/>
              <w:right w:val="single" w:sz="4" w:space="0" w:color="808080"/>
            </w:tcBorders>
            <w:vAlign w:val="center"/>
          </w:tcPr>
          <w:p w14:paraId="15E8036E" w14:textId="77777777" w:rsidR="00AC30F5" w:rsidRDefault="00000000">
            <w:pPr>
              <w:jc w:val="center"/>
            </w:pPr>
            <w:r>
              <w:rPr>
                <w:sz w:val="17"/>
              </w:rPr>
              <w:t>25.7%</w:t>
            </w:r>
          </w:p>
        </w:tc>
      </w:tr>
      <w:tr w:rsidR="00AC30F5" w14:paraId="2CE140DF"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B73803" w14:textId="77777777" w:rsidR="00AC30F5" w:rsidRDefault="00000000">
            <w:r>
              <w:rPr>
                <w:sz w:val="17"/>
              </w:rPr>
              <w:t>2030 Free Cash Flow</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EC7E0B" w14:textId="77777777" w:rsidR="00AC30F5" w:rsidRDefault="00000000">
            <w:pPr>
              <w:jc w:val="center"/>
            </w:pPr>
            <w:r>
              <w:rPr>
                <w:sz w:val="17"/>
              </w:rPr>
              <w:t>$10.2B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AC3EC1" w14:textId="77777777" w:rsidR="00AC30F5" w:rsidRDefault="00000000">
            <w:pPr>
              <w:jc w:val="center"/>
            </w:pPr>
            <w:r>
              <w:rPr>
                <w:sz w:val="17"/>
              </w:rPr>
              <w:t>$13.8B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AF039AC" w14:textId="77777777" w:rsidR="00AC30F5" w:rsidRDefault="00000000">
            <w:pPr>
              <w:jc w:val="center"/>
            </w:pPr>
            <w:r>
              <w:rPr>
                <w:sz w:val="17"/>
              </w:rPr>
              <w:t>$19.3B</w:t>
            </w:r>
          </w:p>
        </w:tc>
      </w:tr>
      <w:tr w:rsidR="00AC30F5" w14:paraId="40FD8D89"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8826621" w14:textId="77777777" w:rsidR="00AC30F5" w:rsidRDefault="00000000">
            <w:r>
              <w:rPr>
                <w:sz w:val="17"/>
              </w:rPr>
              <w:t>WACC</w:t>
            </w:r>
          </w:p>
        </w:tc>
        <w:tc>
          <w:tcPr>
            <w:tcW w:w="2550" w:type="dxa"/>
            <w:tcBorders>
              <w:top w:val="single" w:sz="4" w:space="0" w:color="808080"/>
              <w:left w:val="single" w:sz="4" w:space="0" w:color="808080"/>
              <w:bottom w:val="single" w:sz="4" w:space="0" w:color="808080"/>
              <w:right w:val="single" w:sz="4" w:space="0" w:color="808080"/>
            </w:tcBorders>
            <w:vAlign w:val="center"/>
          </w:tcPr>
          <w:p w14:paraId="1D94E5E5" w14:textId="77777777" w:rsidR="00AC30F5" w:rsidRDefault="00000000">
            <w:pPr>
              <w:jc w:val="center"/>
            </w:pPr>
            <w:r>
              <w:rPr>
                <w:sz w:val="17"/>
              </w:rPr>
              <w:t>15.00%</w:t>
            </w:r>
          </w:p>
        </w:tc>
        <w:tc>
          <w:tcPr>
            <w:tcW w:w="2550" w:type="dxa"/>
            <w:tcBorders>
              <w:top w:val="single" w:sz="4" w:space="0" w:color="808080"/>
              <w:left w:val="single" w:sz="4" w:space="0" w:color="808080"/>
              <w:bottom w:val="single" w:sz="4" w:space="0" w:color="808080"/>
              <w:right w:val="single" w:sz="4" w:space="0" w:color="808080"/>
            </w:tcBorders>
            <w:vAlign w:val="center"/>
          </w:tcPr>
          <w:p w14:paraId="744436DD" w14:textId="77777777" w:rsidR="00AC30F5" w:rsidRDefault="00000000">
            <w:pPr>
              <w:jc w:val="center"/>
            </w:pPr>
            <w:r>
              <w:rPr>
                <w:sz w:val="17"/>
              </w:rPr>
              <w:t>13.79%</w:t>
            </w:r>
          </w:p>
        </w:tc>
        <w:tc>
          <w:tcPr>
            <w:tcW w:w="2550" w:type="dxa"/>
            <w:tcBorders>
              <w:top w:val="single" w:sz="4" w:space="0" w:color="808080"/>
              <w:left w:val="single" w:sz="4" w:space="0" w:color="808080"/>
              <w:bottom w:val="single" w:sz="4" w:space="0" w:color="808080"/>
              <w:right w:val="single" w:sz="4" w:space="0" w:color="808080"/>
            </w:tcBorders>
            <w:vAlign w:val="center"/>
          </w:tcPr>
          <w:p w14:paraId="77F9B0B8" w14:textId="77777777" w:rsidR="00AC30F5" w:rsidRDefault="00000000">
            <w:pPr>
              <w:jc w:val="center"/>
            </w:pPr>
            <w:r>
              <w:rPr>
                <w:sz w:val="17"/>
              </w:rPr>
              <w:t>12.50%</w:t>
            </w:r>
          </w:p>
        </w:tc>
      </w:tr>
      <w:tr w:rsidR="00AC30F5" w14:paraId="71008562"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2BA300" w14:textId="77777777" w:rsidR="00AC30F5" w:rsidRDefault="00000000">
            <w:r>
              <w:rPr>
                <w:sz w:val="17"/>
              </w:rPr>
              <w:t>Terminal Growth</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71915DC" w14:textId="77777777" w:rsidR="00AC30F5" w:rsidRDefault="00000000">
            <w:pPr>
              <w:jc w:val="center"/>
            </w:pPr>
            <w:r>
              <w:rPr>
                <w:sz w:val="17"/>
              </w:rPr>
              <w:t>2.0%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68711C" w14:textId="77777777" w:rsidR="00AC30F5" w:rsidRDefault="00000000">
            <w:pPr>
              <w:jc w:val="center"/>
            </w:pPr>
            <w:r>
              <w:rPr>
                <w:sz w:val="17"/>
              </w:rPr>
              <w:t>2.5%</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9C8375B" w14:textId="77777777" w:rsidR="00AC30F5" w:rsidRDefault="00000000">
            <w:pPr>
              <w:jc w:val="center"/>
            </w:pPr>
            <w:r>
              <w:rPr>
                <w:sz w:val="17"/>
              </w:rPr>
              <w:t>3.0%</w:t>
            </w:r>
          </w:p>
        </w:tc>
      </w:tr>
      <w:tr w:rsidR="00AC30F5" w14:paraId="25AB8880"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3C09ECF3" w14:textId="77777777" w:rsidR="00AC30F5" w:rsidRDefault="00000000">
            <w:r>
              <w:rPr>
                <w:sz w:val="17"/>
              </w:rPr>
              <w:t>Diluted Shares (M)</w:t>
            </w:r>
          </w:p>
        </w:tc>
        <w:tc>
          <w:tcPr>
            <w:tcW w:w="2550" w:type="dxa"/>
            <w:tcBorders>
              <w:top w:val="single" w:sz="4" w:space="0" w:color="808080"/>
              <w:left w:val="single" w:sz="4" w:space="0" w:color="808080"/>
              <w:bottom w:val="single" w:sz="4" w:space="0" w:color="808080"/>
              <w:right w:val="single" w:sz="4" w:space="0" w:color="808080"/>
            </w:tcBorders>
            <w:vAlign w:val="center"/>
          </w:tcPr>
          <w:p w14:paraId="63D3F2ED" w14:textId="77777777" w:rsidR="00AC30F5" w:rsidRDefault="00000000">
            <w:pPr>
              <w:jc w:val="center"/>
            </w:pPr>
            <w:r>
              <w:rPr>
                <w:sz w:val="17"/>
              </w:rPr>
              <w:t>1,796</w:t>
            </w:r>
          </w:p>
        </w:tc>
        <w:tc>
          <w:tcPr>
            <w:tcW w:w="2550" w:type="dxa"/>
            <w:tcBorders>
              <w:top w:val="single" w:sz="4" w:space="0" w:color="808080"/>
              <w:left w:val="single" w:sz="4" w:space="0" w:color="808080"/>
              <w:bottom w:val="single" w:sz="4" w:space="0" w:color="808080"/>
              <w:right w:val="single" w:sz="4" w:space="0" w:color="808080"/>
            </w:tcBorders>
            <w:vAlign w:val="center"/>
          </w:tcPr>
          <w:p w14:paraId="551B6755" w14:textId="77777777" w:rsidR="00AC30F5" w:rsidRDefault="00000000">
            <w:pPr>
              <w:jc w:val="center"/>
            </w:pPr>
            <w:r>
              <w:rPr>
                <w:sz w:val="17"/>
              </w:rPr>
              <w:t>1,796</w:t>
            </w:r>
          </w:p>
        </w:tc>
        <w:tc>
          <w:tcPr>
            <w:tcW w:w="2550" w:type="dxa"/>
            <w:tcBorders>
              <w:top w:val="single" w:sz="4" w:space="0" w:color="808080"/>
              <w:left w:val="single" w:sz="4" w:space="0" w:color="808080"/>
              <w:bottom w:val="single" w:sz="4" w:space="0" w:color="808080"/>
              <w:right w:val="single" w:sz="4" w:space="0" w:color="808080"/>
            </w:tcBorders>
            <w:vAlign w:val="center"/>
          </w:tcPr>
          <w:p w14:paraId="1757FDAD" w14:textId="77777777" w:rsidR="00AC30F5" w:rsidRDefault="00000000">
            <w:pPr>
              <w:jc w:val="center"/>
            </w:pPr>
            <w:r>
              <w:rPr>
                <w:sz w:val="17"/>
              </w:rPr>
              <w:t>1,796</w:t>
            </w:r>
          </w:p>
        </w:tc>
      </w:tr>
      <w:tr w:rsidR="00AC30F5" w14:paraId="03082AE1"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0A0683F" w14:textId="77777777" w:rsidR="00AC30F5" w:rsidRDefault="00000000">
            <w:r>
              <w:rPr>
                <w:b/>
                <w:sz w:val="17"/>
              </w:rPr>
              <w:t>Implied Share Price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4CC193E" w14:textId="77777777" w:rsidR="00AC30F5" w:rsidRDefault="00000000">
            <w:pPr>
              <w:jc w:val="center"/>
            </w:pPr>
            <w:r>
              <w:rPr>
                <w:sz w:val="17"/>
              </w:rPr>
              <w:t>$45.55</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F14FFF" w14:textId="77777777" w:rsidR="00AC30F5" w:rsidRDefault="00000000">
            <w:pPr>
              <w:jc w:val="center"/>
            </w:pPr>
            <w:r>
              <w:rPr>
                <w:sz w:val="17"/>
              </w:rPr>
              <w:t>$58.16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8968F67" w14:textId="77777777" w:rsidR="00AC30F5" w:rsidRDefault="00000000">
            <w:pPr>
              <w:jc w:val="center"/>
            </w:pPr>
            <w:r>
              <w:rPr>
                <w:sz w:val="17"/>
              </w:rPr>
              <w:t>$89.60</w:t>
            </w:r>
          </w:p>
        </w:tc>
      </w:tr>
      <w:tr w:rsidR="00AC30F5" w14:paraId="10DC9040"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6B619FA6" w14:textId="77777777" w:rsidR="00AC30F5" w:rsidRDefault="00000000">
            <w:r>
              <w:rPr>
                <w:sz w:val="17"/>
              </w:rPr>
              <w:t>vs $480 Market Price</w:t>
            </w:r>
          </w:p>
        </w:tc>
        <w:tc>
          <w:tcPr>
            <w:tcW w:w="2550" w:type="dxa"/>
            <w:tcBorders>
              <w:top w:val="single" w:sz="4" w:space="0" w:color="808080"/>
              <w:left w:val="single" w:sz="4" w:space="0" w:color="808080"/>
              <w:bottom w:val="single" w:sz="4" w:space="0" w:color="808080"/>
              <w:right w:val="single" w:sz="4" w:space="0" w:color="808080"/>
            </w:tcBorders>
            <w:vAlign w:val="center"/>
          </w:tcPr>
          <w:p w14:paraId="1B36A011" w14:textId="77777777" w:rsidR="00AC30F5" w:rsidRDefault="00000000">
            <w:pPr>
              <w:jc w:val="center"/>
            </w:pPr>
            <w:r>
              <w:rPr>
                <w:sz w:val="17"/>
              </w:rPr>
              <w:t>(90.5%)</w:t>
            </w:r>
          </w:p>
        </w:tc>
        <w:tc>
          <w:tcPr>
            <w:tcW w:w="2550" w:type="dxa"/>
            <w:tcBorders>
              <w:top w:val="single" w:sz="4" w:space="0" w:color="808080"/>
              <w:left w:val="single" w:sz="4" w:space="0" w:color="808080"/>
              <w:bottom w:val="single" w:sz="4" w:space="0" w:color="808080"/>
              <w:right w:val="single" w:sz="4" w:space="0" w:color="808080"/>
            </w:tcBorders>
            <w:vAlign w:val="center"/>
          </w:tcPr>
          <w:p w14:paraId="19A760DA" w14:textId="77777777" w:rsidR="00AC30F5" w:rsidRDefault="00000000">
            <w:pPr>
              <w:jc w:val="center"/>
            </w:pPr>
            <w:r>
              <w:rPr>
                <w:sz w:val="17"/>
              </w:rPr>
              <w:t>(87.9%)</w:t>
            </w:r>
          </w:p>
        </w:tc>
        <w:tc>
          <w:tcPr>
            <w:tcW w:w="2550" w:type="dxa"/>
            <w:tcBorders>
              <w:top w:val="single" w:sz="4" w:space="0" w:color="808080"/>
              <w:left w:val="single" w:sz="4" w:space="0" w:color="808080"/>
              <w:bottom w:val="single" w:sz="4" w:space="0" w:color="808080"/>
              <w:right w:val="single" w:sz="4" w:space="0" w:color="808080"/>
            </w:tcBorders>
            <w:vAlign w:val="center"/>
          </w:tcPr>
          <w:p w14:paraId="453B5945" w14:textId="77777777" w:rsidR="00AC30F5" w:rsidRDefault="00000000">
            <w:pPr>
              <w:jc w:val="center"/>
            </w:pPr>
            <w:r>
              <w:rPr>
                <w:sz w:val="17"/>
              </w:rPr>
              <w:t>(81.3%)</w:t>
            </w:r>
          </w:p>
        </w:tc>
      </w:tr>
      <w:tr w:rsidR="00AC30F5" w14:paraId="4CF0C7EA"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96951A" w14:textId="77777777" w:rsidR="00AC30F5" w:rsidRDefault="00000000">
            <w:r>
              <w:rPr>
                <w:sz w:val="17"/>
              </w:rPr>
              <w:t>Probability Weighting</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E30CF1" w14:textId="77777777" w:rsidR="00AC30F5" w:rsidRDefault="00000000">
            <w:pPr>
              <w:jc w:val="center"/>
            </w:pPr>
            <w:r>
              <w:rPr>
                <w:sz w:val="17"/>
              </w:rPr>
              <w:t>20%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74552F" w14:textId="77777777" w:rsidR="00AC30F5" w:rsidRDefault="00000000">
            <w:pPr>
              <w:jc w:val="center"/>
            </w:pPr>
            <w:r>
              <w:rPr>
                <w:sz w:val="17"/>
              </w:rPr>
              <w:t>50%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1F4F1E6" w14:textId="77777777" w:rsidR="00AC30F5" w:rsidRDefault="00000000">
            <w:pPr>
              <w:jc w:val="center"/>
            </w:pPr>
            <w:r>
              <w:rPr>
                <w:sz w:val="17"/>
              </w:rPr>
              <w:t>30%</w:t>
            </w:r>
          </w:p>
        </w:tc>
      </w:tr>
    </w:tbl>
    <w:p w14:paraId="4C324129" w14:textId="77777777" w:rsidR="00AC30F5" w:rsidRDefault="00AC30F5">
      <w:pPr>
        <w:spacing w:after="80"/>
      </w:pPr>
    </w:p>
    <w:p w14:paraId="3EFAA3FA" w14:textId="77777777" w:rsidR="00AC30F5" w:rsidRDefault="00000000">
      <w:pPr>
        <w:spacing w:after="80"/>
        <w:jc w:val="both"/>
      </w:pPr>
      <w:r>
        <w:lastRenderedPageBreak/>
        <w:t>The probability-weighted expected price across these three scenarios is approximately $67, which is 86% below the $480 market price. Even the bull case alone ($89.60) implies 81% downside. The probability weighting (20% bear / 50% base / 30% bull) reflects a modest tilt toward the upside given AMD's demonstrated H1 2026 execution and the multi-year customer visibility; a more conservative weighting (e.g., 30% bear / 50% base / 20% bull) would lower the expected price to approximately $63, and a more aggressive weighting (e.g., 10% bear / 40% base / 50% bull) would raise it to approximately $72. Across the full range of reasonable probability weightings, the expected price remains 84-87% below the $480 market price.</w:t>
      </w:r>
    </w:p>
    <w:p w14:paraId="30717EBF" w14:textId="77777777" w:rsidR="00AC30F5" w:rsidRDefault="00000000">
      <w:pPr>
        <w:pStyle w:val="Heading2"/>
      </w:pPr>
      <w:r>
        <w:t>Key Risks and Mitigants</w:t>
      </w:r>
    </w:p>
    <w:p w14:paraId="0D181F76" w14:textId="77777777" w:rsidR="00AC30F5" w:rsidRDefault="00000000">
      <w:pPr>
        <w:spacing w:before="120" w:after="40"/>
      </w:pPr>
      <w:r>
        <w:rPr>
          <w:b/>
          <w:color w:val="1F4E78"/>
          <w:sz w:val="19"/>
        </w:rPr>
        <w:t>Table 9: Key Risks and Mitigants</w:t>
      </w:r>
    </w:p>
    <w:tbl>
      <w:tblPr>
        <w:tblW w:w="0" w:type="auto"/>
        <w:jc w:val="center"/>
        <w:tblLook w:val="04A0" w:firstRow="1" w:lastRow="0" w:firstColumn="1" w:lastColumn="0" w:noHBand="0" w:noVBand="1"/>
      </w:tblPr>
      <w:tblGrid>
        <w:gridCol w:w="2550"/>
        <w:gridCol w:w="2550"/>
        <w:gridCol w:w="2550"/>
        <w:gridCol w:w="2550"/>
      </w:tblGrid>
      <w:tr w:rsidR="00AC30F5" w14:paraId="0390AF44"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17B9C93" w14:textId="77777777" w:rsidR="00AC30F5" w:rsidRDefault="00000000">
            <w:pPr>
              <w:jc w:val="center"/>
            </w:pPr>
            <w:r>
              <w:rPr>
                <w:b/>
                <w:color w:val="FFFFFF"/>
                <w:sz w:val="17"/>
              </w:rPr>
              <w:t>Risk</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E32A1C6" w14:textId="77777777" w:rsidR="00AC30F5" w:rsidRDefault="00000000">
            <w:pPr>
              <w:jc w:val="center"/>
            </w:pPr>
            <w:r>
              <w:rPr>
                <w:b/>
                <w:color w:val="FFFFFF"/>
                <w:sz w:val="17"/>
              </w:rPr>
              <w:t>Severity</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774F1D5" w14:textId="77777777" w:rsidR="00AC30F5" w:rsidRDefault="00000000">
            <w:pPr>
              <w:jc w:val="center"/>
            </w:pPr>
            <w:r>
              <w:rPr>
                <w:b/>
                <w:color w:val="FFFFFF"/>
                <w:sz w:val="17"/>
              </w:rPr>
              <w:t>Description</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C6E6E78" w14:textId="77777777" w:rsidR="00AC30F5" w:rsidRDefault="00000000">
            <w:pPr>
              <w:jc w:val="center"/>
            </w:pPr>
            <w:r>
              <w:rPr>
                <w:b/>
                <w:color w:val="FFFFFF"/>
                <w:sz w:val="17"/>
              </w:rPr>
              <w:t>Mitigant</w:t>
            </w:r>
          </w:p>
        </w:tc>
      </w:tr>
      <w:tr w:rsidR="00AC30F5" w14:paraId="1E0D89F2"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60A0639F" w14:textId="77777777" w:rsidR="00AC30F5" w:rsidRDefault="00000000">
            <w:r>
              <w:rPr>
                <w:sz w:val="17"/>
              </w:rPr>
              <w:t>NVIDIA CUDA software moat</w:t>
            </w:r>
          </w:p>
        </w:tc>
        <w:tc>
          <w:tcPr>
            <w:tcW w:w="2550" w:type="dxa"/>
            <w:tcBorders>
              <w:top w:val="single" w:sz="4" w:space="0" w:color="808080"/>
              <w:left w:val="single" w:sz="4" w:space="0" w:color="808080"/>
              <w:bottom w:val="single" w:sz="4" w:space="0" w:color="808080"/>
              <w:right w:val="single" w:sz="4" w:space="0" w:color="808080"/>
            </w:tcBorders>
            <w:vAlign w:val="center"/>
          </w:tcPr>
          <w:p w14:paraId="041AB324" w14:textId="77777777" w:rsidR="00AC30F5" w:rsidRDefault="00000000">
            <w:pPr>
              <w:jc w:val="center"/>
            </w:pPr>
            <w:r>
              <w:rPr>
                <w:sz w:val="17"/>
              </w:rPr>
              <w:t>High</w:t>
            </w:r>
          </w:p>
        </w:tc>
        <w:tc>
          <w:tcPr>
            <w:tcW w:w="2550" w:type="dxa"/>
            <w:tcBorders>
              <w:top w:val="single" w:sz="4" w:space="0" w:color="808080"/>
              <w:left w:val="single" w:sz="4" w:space="0" w:color="808080"/>
              <w:bottom w:val="single" w:sz="4" w:space="0" w:color="808080"/>
              <w:right w:val="single" w:sz="4" w:space="0" w:color="808080"/>
            </w:tcBorders>
            <w:vAlign w:val="center"/>
          </w:tcPr>
          <w:p w14:paraId="0F572088" w14:textId="77777777" w:rsidR="00AC30F5" w:rsidRDefault="00000000">
            <w:pPr>
              <w:jc w:val="center"/>
            </w:pPr>
            <w:r>
              <w:rPr>
                <w:sz w:val="17"/>
              </w:rPr>
              <w:t>AMD's ROCm software stack remains behind NVIDIA's CUDA in developer mindshare; share gains in AI training workloads depend on closing this gap.</w:t>
            </w:r>
          </w:p>
        </w:tc>
        <w:tc>
          <w:tcPr>
            <w:tcW w:w="2550" w:type="dxa"/>
            <w:tcBorders>
              <w:top w:val="single" w:sz="4" w:space="0" w:color="808080"/>
              <w:left w:val="single" w:sz="4" w:space="0" w:color="808080"/>
              <w:bottom w:val="single" w:sz="4" w:space="0" w:color="808080"/>
              <w:right w:val="single" w:sz="4" w:space="0" w:color="808080"/>
            </w:tcBorders>
            <w:vAlign w:val="center"/>
          </w:tcPr>
          <w:p w14:paraId="1C87BA94" w14:textId="77777777" w:rsidR="00AC30F5" w:rsidRDefault="00000000">
            <w:pPr>
              <w:jc w:val="center"/>
            </w:pPr>
            <w:r>
              <w:rPr>
                <w:sz w:val="17"/>
              </w:rPr>
              <w:t>OpenAI, Meta, and Anthropic partnerships provide anchor customers and dedicated software engineering resources; MI400 series targets improved software stack.</w:t>
            </w:r>
          </w:p>
        </w:tc>
      </w:tr>
      <w:tr w:rsidR="00AC30F5" w14:paraId="539E5E0E"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71DC03" w14:textId="77777777" w:rsidR="00AC30F5" w:rsidRDefault="00000000">
            <w:r>
              <w:rPr>
                <w:sz w:val="17"/>
              </w:rPr>
              <w:t>Warrant dilution (OpenAI + Meta)</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312236D" w14:textId="77777777" w:rsidR="00AC30F5" w:rsidRDefault="00000000">
            <w:pPr>
              <w:jc w:val="center"/>
            </w:pPr>
            <w:r>
              <w:rPr>
                <w:sz w:val="17"/>
              </w:rPr>
              <w:t>Medium</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9E5D940" w14:textId="77777777" w:rsidR="00AC30F5" w:rsidRDefault="00000000">
            <w:pPr>
              <w:jc w:val="center"/>
            </w:pPr>
            <w:r>
              <w:rPr>
                <w:sz w:val="17"/>
              </w:rPr>
              <w:t>Combined potential dilution of ~19.6% if both 160M-share warrants fully vest; vesting tied to share-price hurdles escalating to $600.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1CC3F1F" w14:textId="77777777" w:rsidR="00AC30F5" w:rsidRDefault="00000000">
            <w:pPr>
              <w:jc w:val="center"/>
            </w:pPr>
            <w:r>
              <w:rPr>
                <w:sz w:val="17"/>
              </w:rPr>
              <w:t>Vesting is staged and contingent on share-price hurdles that themselves require substantial value creation; warrants expire 2030-2031.</w:t>
            </w:r>
          </w:p>
        </w:tc>
      </w:tr>
      <w:tr w:rsidR="00AC30F5" w14:paraId="07682C06"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7D8B1819" w14:textId="77777777" w:rsidR="00AC30F5" w:rsidRDefault="00000000">
            <w:r>
              <w:rPr>
                <w:sz w:val="17"/>
              </w:rPr>
              <w:t>Customer concentration</w:t>
            </w:r>
          </w:p>
        </w:tc>
        <w:tc>
          <w:tcPr>
            <w:tcW w:w="2550" w:type="dxa"/>
            <w:tcBorders>
              <w:top w:val="single" w:sz="4" w:space="0" w:color="808080"/>
              <w:left w:val="single" w:sz="4" w:space="0" w:color="808080"/>
              <w:bottom w:val="single" w:sz="4" w:space="0" w:color="808080"/>
              <w:right w:val="single" w:sz="4" w:space="0" w:color="808080"/>
            </w:tcBorders>
            <w:vAlign w:val="center"/>
          </w:tcPr>
          <w:p w14:paraId="5C286F31" w14:textId="77777777" w:rsidR="00AC30F5" w:rsidRDefault="00000000">
            <w:pPr>
              <w:jc w:val="center"/>
            </w:pPr>
            <w:r>
              <w:rPr>
                <w:sz w:val="17"/>
              </w:rPr>
              <w:t>Medium</w:t>
            </w:r>
          </w:p>
        </w:tc>
        <w:tc>
          <w:tcPr>
            <w:tcW w:w="2550" w:type="dxa"/>
            <w:tcBorders>
              <w:top w:val="single" w:sz="4" w:space="0" w:color="808080"/>
              <w:left w:val="single" w:sz="4" w:space="0" w:color="808080"/>
              <w:bottom w:val="single" w:sz="4" w:space="0" w:color="808080"/>
              <w:right w:val="single" w:sz="4" w:space="0" w:color="808080"/>
            </w:tcBorders>
            <w:vAlign w:val="center"/>
          </w:tcPr>
          <w:p w14:paraId="163E8B3D" w14:textId="77777777" w:rsidR="00AC30F5" w:rsidRDefault="00000000">
            <w:pPr>
              <w:jc w:val="center"/>
            </w:pPr>
            <w:r>
              <w:rPr>
                <w:sz w:val="17"/>
              </w:rPr>
              <w:t>Three warrants tie AMD's revenue trajectory to OpenAI, Meta, and Anthropic; deployment delays at any would materially affect the ramp.</w:t>
            </w:r>
          </w:p>
        </w:tc>
        <w:tc>
          <w:tcPr>
            <w:tcW w:w="2550" w:type="dxa"/>
            <w:tcBorders>
              <w:top w:val="single" w:sz="4" w:space="0" w:color="808080"/>
              <w:left w:val="single" w:sz="4" w:space="0" w:color="808080"/>
              <w:bottom w:val="single" w:sz="4" w:space="0" w:color="808080"/>
              <w:right w:val="single" w:sz="4" w:space="0" w:color="808080"/>
            </w:tcBorders>
            <w:vAlign w:val="center"/>
          </w:tcPr>
          <w:p w14:paraId="78704DDE" w14:textId="77777777" w:rsidR="00AC30F5" w:rsidRDefault="00000000">
            <w:pPr>
              <w:jc w:val="center"/>
            </w:pPr>
            <w:r>
              <w:rPr>
                <w:sz w:val="17"/>
              </w:rPr>
              <w:t>All three customers have multi-year, multi-GW commitments backed by their own AI capex; AMD's EPYC and embedded franchises provide non-AI revenue ballast.</w:t>
            </w:r>
          </w:p>
        </w:tc>
      </w:tr>
      <w:tr w:rsidR="00AC30F5" w14:paraId="6206D368"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6D84B9" w14:textId="77777777" w:rsidR="00AC30F5" w:rsidRDefault="00000000">
            <w:r>
              <w:rPr>
                <w:sz w:val="17"/>
              </w:rPr>
              <w:t>AI capex cycle air pocket</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E897CED" w14:textId="77777777" w:rsidR="00AC30F5" w:rsidRDefault="00000000">
            <w:pPr>
              <w:jc w:val="center"/>
            </w:pPr>
            <w:r>
              <w:rPr>
                <w:sz w:val="17"/>
              </w:rPr>
              <w:t>Medium</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8A9A7D" w14:textId="77777777" w:rsidR="00AC30F5" w:rsidRDefault="00000000">
            <w:pPr>
              <w:jc w:val="center"/>
            </w:pPr>
            <w:r>
              <w:rPr>
                <w:sz w:val="17"/>
              </w:rPr>
              <w:t>Hyperscaler AI capex ($602B in 2026 per CreditSights) could slow if AI monetization disappoints, triggering an inventory correction.</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559A22" w14:textId="77777777" w:rsidR="00AC30F5" w:rsidRDefault="00000000">
            <w:pPr>
              <w:jc w:val="center"/>
            </w:pPr>
            <w:r>
              <w:rPr>
                <w:sz w:val="17"/>
              </w:rPr>
              <w:t>AMD's revenue is increasingly locked in through multi-year deployment commitments; cyclical trough would affect spot pricing more than committed volumes.</w:t>
            </w:r>
          </w:p>
        </w:tc>
      </w:tr>
      <w:tr w:rsidR="00AC30F5" w14:paraId="5E24A753"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3AE91A71" w14:textId="77777777" w:rsidR="00AC30F5" w:rsidRDefault="00000000">
            <w:r>
              <w:rPr>
                <w:sz w:val="17"/>
              </w:rPr>
              <w:t>TSMC supply / geopolitical risk</w:t>
            </w:r>
          </w:p>
        </w:tc>
        <w:tc>
          <w:tcPr>
            <w:tcW w:w="2550" w:type="dxa"/>
            <w:tcBorders>
              <w:top w:val="single" w:sz="4" w:space="0" w:color="808080"/>
              <w:left w:val="single" w:sz="4" w:space="0" w:color="808080"/>
              <w:bottom w:val="single" w:sz="4" w:space="0" w:color="808080"/>
              <w:right w:val="single" w:sz="4" w:space="0" w:color="808080"/>
            </w:tcBorders>
            <w:vAlign w:val="center"/>
          </w:tcPr>
          <w:p w14:paraId="1BA83CD7" w14:textId="77777777" w:rsidR="00AC30F5" w:rsidRDefault="00000000">
            <w:pPr>
              <w:jc w:val="center"/>
            </w:pPr>
            <w:r>
              <w:rPr>
                <w:sz w:val="17"/>
              </w:rPr>
              <w:t>Medium</w:t>
            </w:r>
          </w:p>
        </w:tc>
        <w:tc>
          <w:tcPr>
            <w:tcW w:w="2550" w:type="dxa"/>
            <w:tcBorders>
              <w:top w:val="single" w:sz="4" w:space="0" w:color="808080"/>
              <w:left w:val="single" w:sz="4" w:space="0" w:color="808080"/>
              <w:bottom w:val="single" w:sz="4" w:space="0" w:color="808080"/>
              <w:right w:val="single" w:sz="4" w:space="0" w:color="808080"/>
            </w:tcBorders>
            <w:vAlign w:val="center"/>
          </w:tcPr>
          <w:p w14:paraId="2032CB24" w14:textId="77777777" w:rsidR="00AC30F5" w:rsidRDefault="00000000">
            <w:pPr>
              <w:jc w:val="center"/>
            </w:pPr>
            <w:r>
              <w:rPr>
                <w:sz w:val="17"/>
              </w:rPr>
              <w:t>AMD depends on TSMC for all leading-edge wafers; Taiwan disruption or U.S.-China export control escalation could restrict supply.</w:t>
            </w:r>
          </w:p>
        </w:tc>
        <w:tc>
          <w:tcPr>
            <w:tcW w:w="2550" w:type="dxa"/>
            <w:tcBorders>
              <w:top w:val="single" w:sz="4" w:space="0" w:color="808080"/>
              <w:left w:val="single" w:sz="4" w:space="0" w:color="808080"/>
              <w:bottom w:val="single" w:sz="4" w:space="0" w:color="808080"/>
              <w:right w:val="single" w:sz="4" w:space="0" w:color="808080"/>
            </w:tcBorders>
            <w:vAlign w:val="center"/>
          </w:tcPr>
          <w:p w14:paraId="57A7DF0C" w14:textId="77777777" w:rsidR="00AC30F5" w:rsidRDefault="00000000">
            <w:pPr>
              <w:jc w:val="center"/>
            </w:pPr>
            <w:r>
              <w:rPr>
                <w:sz w:val="17"/>
              </w:rPr>
              <w:t>TSMC geographic diversification (Arizona, Japan) provides partial mitigation; AMD's portfolio is less China-exposed than peers.</w:t>
            </w:r>
          </w:p>
        </w:tc>
      </w:tr>
      <w:tr w:rsidR="00AC30F5" w14:paraId="533B848F"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F33FE6F" w14:textId="77777777" w:rsidR="00AC30F5" w:rsidRDefault="00000000">
            <w:r>
              <w:rPr>
                <w:sz w:val="17"/>
              </w:rPr>
              <w:t>Terminal value dominance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8B4B5A6" w14:textId="77777777" w:rsidR="00AC30F5" w:rsidRDefault="00000000">
            <w:pPr>
              <w:jc w:val="center"/>
            </w:pPr>
            <w:r>
              <w:rPr>
                <w:sz w:val="17"/>
              </w:rPr>
              <w:t>Medium (methodological)</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7A98C87" w14:textId="77777777" w:rsidR="00AC30F5" w:rsidRDefault="00000000">
            <w:pPr>
              <w:jc w:val="center"/>
            </w:pPr>
            <w:r>
              <w:rPr>
                <w:sz w:val="17"/>
              </w:rPr>
              <w:t>72-76% of EV across scenarios comes from terminal value; small changes in WACC or g materially shift valuation.</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80EE1D" w14:textId="77777777" w:rsidR="00AC30F5" w:rsidRDefault="00000000">
            <w:pPr>
              <w:jc w:val="center"/>
            </w:pPr>
            <w:r>
              <w:rPr>
                <w:b/>
                <w:color w:val="C00000"/>
                <w:sz w:val="17"/>
              </w:rPr>
              <w:t>Conservative 2.5% growth below nominal GDP; full sensitivity table in Appendix C; SELL rating holds across the full range.</w:t>
            </w:r>
          </w:p>
        </w:tc>
      </w:tr>
      <w:tr w:rsidR="00AC30F5" w14:paraId="5D8C6899"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2D593A5E" w14:textId="77777777" w:rsidR="00AC30F5" w:rsidRDefault="00000000">
            <w:r>
              <w:rPr>
                <w:sz w:val="17"/>
              </w:rPr>
              <w:t>Model staleness</w:t>
            </w:r>
          </w:p>
        </w:tc>
        <w:tc>
          <w:tcPr>
            <w:tcW w:w="2550" w:type="dxa"/>
            <w:tcBorders>
              <w:top w:val="single" w:sz="4" w:space="0" w:color="808080"/>
              <w:left w:val="single" w:sz="4" w:space="0" w:color="808080"/>
              <w:bottom w:val="single" w:sz="4" w:space="0" w:color="808080"/>
              <w:right w:val="single" w:sz="4" w:space="0" w:color="808080"/>
            </w:tcBorders>
            <w:vAlign w:val="center"/>
          </w:tcPr>
          <w:p w14:paraId="5320E883" w14:textId="77777777" w:rsidR="00AC30F5" w:rsidRDefault="00000000">
            <w:pPr>
              <w:jc w:val="center"/>
            </w:pPr>
            <w:r>
              <w:rPr>
                <w:sz w:val="17"/>
              </w:rPr>
              <w:t>Low (addressed)</w:t>
            </w:r>
          </w:p>
        </w:tc>
        <w:tc>
          <w:tcPr>
            <w:tcW w:w="2550" w:type="dxa"/>
            <w:tcBorders>
              <w:top w:val="single" w:sz="4" w:space="0" w:color="808080"/>
              <w:left w:val="single" w:sz="4" w:space="0" w:color="808080"/>
              <w:bottom w:val="single" w:sz="4" w:space="0" w:color="808080"/>
              <w:right w:val="single" w:sz="4" w:space="0" w:color="808080"/>
            </w:tcBorders>
            <w:vAlign w:val="center"/>
          </w:tcPr>
          <w:p w14:paraId="3084C48E" w14:textId="77777777" w:rsidR="00AC30F5" w:rsidRDefault="00000000">
            <w:pPr>
              <w:jc w:val="center"/>
            </w:pPr>
            <w:r>
              <w:rPr>
                <w:sz w:val="17"/>
              </w:rPr>
              <w:t>Lower-bound DCF ($58) is built on FY2025 data; H1 2026 actuals and 2027 guidance not fully incorporated.</w:t>
            </w:r>
          </w:p>
        </w:tc>
        <w:tc>
          <w:tcPr>
            <w:tcW w:w="2550" w:type="dxa"/>
            <w:tcBorders>
              <w:top w:val="single" w:sz="4" w:space="0" w:color="808080"/>
              <w:left w:val="single" w:sz="4" w:space="0" w:color="808080"/>
              <w:bottom w:val="single" w:sz="4" w:space="0" w:color="808080"/>
              <w:right w:val="single" w:sz="4" w:space="0" w:color="808080"/>
            </w:tcBorders>
            <w:vAlign w:val="center"/>
          </w:tcPr>
          <w:p w14:paraId="707542B1" w14:textId="77777777" w:rsidR="00AC30F5" w:rsidRDefault="00000000">
            <w:pPr>
              <w:jc w:val="center"/>
            </w:pPr>
            <w:r>
              <w:rPr>
                <w:sz w:val="17"/>
              </w:rPr>
              <w:t>Upper-bound scenario ($90) reflects revised assumptions; price target presented as range to communicate uncertainty honestly.</w:t>
            </w:r>
          </w:p>
        </w:tc>
      </w:tr>
    </w:tbl>
    <w:p w14:paraId="6E95AFCA" w14:textId="77777777" w:rsidR="00AC30F5" w:rsidRDefault="00AC30F5">
      <w:pPr>
        <w:spacing w:after="80"/>
      </w:pPr>
    </w:p>
    <w:p w14:paraId="7F85BC09" w14:textId="77777777" w:rsidR="00AC30F5" w:rsidRDefault="00000000">
      <w:pPr>
        <w:pStyle w:val="Heading1"/>
      </w:pPr>
      <w:r>
        <w:lastRenderedPageBreak/>
        <w:t>Rating Change Triggers (Falsification Framework)</w:t>
      </w:r>
    </w:p>
    <w:p w14:paraId="488B9596" w14:textId="77777777" w:rsidR="00AC30F5" w:rsidRDefault="00000000">
      <w:pPr>
        <w:spacing w:after="80"/>
        <w:jc w:val="both"/>
      </w:pPr>
      <w:r>
        <w:t>A rating is only useful if it can be updated mechanically as new information arrives. The triggers below specify what evidence would move this rating in either direction, making the SELL falsifiable rather than a static output. Two triggers are currently active, confirming the SELL rating.</w:t>
      </w:r>
    </w:p>
    <w:p w14:paraId="2DF6801F" w14:textId="77777777" w:rsidR="00AC30F5" w:rsidRDefault="00000000">
      <w:pPr>
        <w:spacing w:before="120" w:after="40"/>
      </w:pPr>
      <w:r>
        <w:rPr>
          <w:b/>
          <w:color w:val="1F4E78"/>
          <w:sz w:val="19"/>
        </w:rPr>
        <w:t>Table 10: Rating Change Triggers</w:t>
      </w:r>
    </w:p>
    <w:tbl>
      <w:tblPr>
        <w:tblW w:w="0" w:type="auto"/>
        <w:jc w:val="center"/>
        <w:tblLook w:val="04A0" w:firstRow="1" w:lastRow="0" w:firstColumn="1" w:lastColumn="0" w:noHBand="0" w:noVBand="1"/>
      </w:tblPr>
      <w:tblGrid>
        <w:gridCol w:w="2550"/>
        <w:gridCol w:w="2550"/>
        <w:gridCol w:w="2550"/>
        <w:gridCol w:w="2550"/>
      </w:tblGrid>
      <w:tr w:rsidR="00AC30F5" w14:paraId="76FCA338"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49DFCED" w14:textId="77777777" w:rsidR="00AC30F5" w:rsidRDefault="00000000">
            <w:pPr>
              <w:jc w:val="center"/>
            </w:pPr>
            <w:r>
              <w:rPr>
                <w:b/>
                <w:color w:val="FFFFFF"/>
                <w:sz w:val="17"/>
              </w:rPr>
              <w:t>Trigger</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BFCFDDF" w14:textId="77777777" w:rsidR="00AC30F5" w:rsidRDefault="00000000">
            <w:pPr>
              <w:jc w:val="center"/>
            </w:pPr>
            <w:r>
              <w:rPr>
                <w:b/>
                <w:color w:val="FFFFFF"/>
                <w:sz w:val="17"/>
              </w:rPr>
              <w:t>Threshold</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3A40B75" w14:textId="77777777" w:rsidR="00AC30F5" w:rsidRDefault="00000000">
            <w:pPr>
              <w:jc w:val="center"/>
            </w:pPr>
            <w:r>
              <w:rPr>
                <w:b/>
                <w:color w:val="FFFFFF"/>
                <w:sz w:val="17"/>
              </w:rPr>
              <w:t>Current Status</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758713A" w14:textId="77777777" w:rsidR="00AC30F5" w:rsidRDefault="00000000">
            <w:pPr>
              <w:jc w:val="center"/>
            </w:pPr>
            <w:r>
              <w:rPr>
                <w:b/>
                <w:color w:val="FFFFFF"/>
                <w:sz w:val="17"/>
              </w:rPr>
              <w:t>Rating Action</w:t>
            </w:r>
          </w:p>
        </w:tc>
      </w:tr>
      <w:tr w:rsidR="00AC30F5" w14:paraId="25BF7ACA"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550EA3CA" w14:textId="77777777" w:rsidR="00AC30F5" w:rsidRDefault="00000000">
            <w:r>
              <w:rPr>
                <w:sz w:val="17"/>
              </w:rPr>
              <w:t>Price above DCF + 2 std dev band</w:t>
            </w:r>
          </w:p>
        </w:tc>
        <w:tc>
          <w:tcPr>
            <w:tcW w:w="2550" w:type="dxa"/>
            <w:tcBorders>
              <w:top w:val="single" w:sz="4" w:space="0" w:color="808080"/>
              <w:left w:val="single" w:sz="4" w:space="0" w:color="808080"/>
              <w:bottom w:val="single" w:sz="4" w:space="0" w:color="808080"/>
              <w:right w:val="single" w:sz="4" w:space="0" w:color="808080"/>
            </w:tcBorders>
            <w:vAlign w:val="center"/>
          </w:tcPr>
          <w:p w14:paraId="2DAE4D62" w14:textId="77777777" w:rsidR="00AC30F5" w:rsidRDefault="00000000">
            <w:pPr>
              <w:jc w:val="center"/>
            </w:pPr>
            <w:r>
              <w:rPr>
                <w:sz w:val="17"/>
              </w:rPr>
              <w:t>&gt; $120 without upward estimate revision</w:t>
            </w:r>
          </w:p>
        </w:tc>
        <w:tc>
          <w:tcPr>
            <w:tcW w:w="2550" w:type="dxa"/>
            <w:tcBorders>
              <w:top w:val="single" w:sz="4" w:space="0" w:color="808080"/>
              <w:left w:val="single" w:sz="4" w:space="0" w:color="808080"/>
              <w:bottom w:val="single" w:sz="4" w:space="0" w:color="808080"/>
              <w:right w:val="single" w:sz="4" w:space="0" w:color="808080"/>
            </w:tcBorders>
            <w:vAlign w:val="center"/>
          </w:tcPr>
          <w:p w14:paraId="12DB69A4" w14:textId="77777777" w:rsidR="00AC30F5" w:rsidRDefault="00000000">
            <w:pPr>
              <w:jc w:val="center"/>
            </w:pPr>
            <w:r>
              <w:rPr>
                <w:b/>
                <w:sz w:val="17"/>
              </w:rPr>
              <w:t>TRIGGERED ($480)</w:t>
            </w:r>
          </w:p>
        </w:tc>
        <w:tc>
          <w:tcPr>
            <w:tcW w:w="2550" w:type="dxa"/>
            <w:tcBorders>
              <w:top w:val="single" w:sz="4" w:space="0" w:color="808080"/>
              <w:left w:val="single" w:sz="4" w:space="0" w:color="808080"/>
              <w:bottom w:val="single" w:sz="4" w:space="0" w:color="808080"/>
              <w:right w:val="single" w:sz="4" w:space="0" w:color="808080"/>
            </w:tcBorders>
            <w:vAlign w:val="center"/>
          </w:tcPr>
          <w:p w14:paraId="06708589" w14:textId="77777777" w:rsidR="00AC30F5" w:rsidRDefault="00000000">
            <w:pPr>
              <w:jc w:val="center"/>
            </w:pPr>
            <w:r>
              <w:rPr>
                <w:b/>
                <w:color w:val="C00000"/>
                <w:sz w:val="17"/>
              </w:rPr>
              <w:t>Confirm SELL</w:t>
            </w:r>
          </w:p>
        </w:tc>
      </w:tr>
      <w:tr w:rsidR="00AC30F5" w14:paraId="676E2A20"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DD65CB1" w14:textId="77777777" w:rsidR="00AC30F5" w:rsidRDefault="00000000">
            <w:r>
              <w:rPr>
                <w:sz w:val="17"/>
              </w:rPr>
              <w:t>Price below DCF base case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3AECCD0" w14:textId="77777777" w:rsidR="00AC30F5" w:rsidRDefault="00000000">
            <w:pPr>
              <w:jc w:val="center"/>
            </w:pPr>
            <w:r>
              <w:rPr>
                <w:sz w:val="17"/>
              </w:rPr>
              <w:t>&lt; $60 without downward estimate revision</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F43196" w14:textId="77777777" w:rsidR="00AC30F5" w:rsidRDefault="00000000">
            <w:pPr>
              <w:jc w:val="center"/>
            </w:pPr>
            <w:r>
              <w:rPr>
                <w:sz w:val="17"/>
              </w:rPr>
              <w:t>Not triggered</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1F2229" w14:textId="77777777" w:rsidR="00AC30F5" w:rsidRDefault="00000000">
            <w:pPr>
              <w:jc w:val="center"/>
            </w:pPr>
            <w:r>
              <w:rPr>
                <w:b/>
                <w:color w:val="008000"/>
                <w:sz w:val="17"/>
              </w:rPr>
              <w:t>Move to BUY</w:t>
            </w:r>
          </w:p>
        </w:tc>
      </w:tr>
      <w:tr w:rsidR="00AC30F5" w14:paraId="4B055AFD"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0853066A" w14:textId="77777777" w:rsidR="00AC30F5" w:rsidRDefault="00000000">
            <w:r>
              <w:rPr>
                <w:sz w:val="17"/>
              </w:rPr>
              <w:t>Relative valuation vs NVIDIA</w:t>
            </w:r>
          </w:p>
        </w:tc>
        <w:tc>
          <w:tcPr>
            <w:tcW w:w="2550" w:type="dxa"/>
            <w:tcBorders>
              <w:top w:val="single" w:sz="4" w:space="0" w:color="808080"/>
              <w:left w:val="single" w:sz="4" w:space="0" w:color="808080"/>
              <w:bottom w:val="single" w:sz="4" w:space="0" w:color="808080"/>
              <w:right w:val="single" w:sz="4" w:space="0" w:color="808080"/>
            </w:tcBorders>
            <w:vAlign w:val="center"/>
          </w:tcPr>
          <w:p w14:paraId="7429BC7D" w14:textId="77777777" w:rsidR="00AC30F5" w:rsidRDefault="00000000">
            <w:pPr>
              <w:jc w:val="center"/>
            </w:pPr>
            <w:r>
              <w:rPr>
                <w:sz w:val="17"/>
              </w:rPr>
              <w:t>AMD trades at premium to NVIDIA on EV/Sales</w:t>
            </w:r>
          </w:p>
        </w:tc>
        <w:tc>
          <w:tcPr>
            <w:tcW w:w="2550" w:type="dxa"/>
            <w:tcBorders>
              <w:top w:val="single" w:sz="4" w:space="0" w:color="808080"/>
              <w:left w:val="single" w:sz="4" w:space="0" w:color="808080"/>
              <w:bottom w:val="single" w:sz="4" w:space="0" w:color="808080"/>
              <w:right w:val="single" w:sz="4" w:space="0" w:color="808080"/>
            </w:tcBorders>
            <w:vAlign w:val="center"/>
          </w:tcPr>
          <w:p w14:paraId="0030F928" w14:textId="77777777" w:rsidR="00AC30F5" w:rsidRDefault="00000000">
            <w:pPr>
              <w:jc w:val="center"/>
            </w:pPr>
            <w:r>
              <w:rPr>
                <w:b/>
                <w:sz w:val="17"/>
              </w:rPr>
              <w:t>TRIGGERED (18.1x vs 16.4x)</w:t>
            </w:r>
          </w:p>
        </w:tc>
        <w:tc>
          <w:tcPr>
            <w:tcW w:w="2550" w:type="dxa"/>
            <w:tcBorders>
              <w:top w:val="single" w:sz="4" w:space="0" w:color="808080"/>
              <w:left w:val="single" w:sz="4" w:space="0" w:color="808080"/>
              <w:bottom w:val="single" w:sz="4" w:space="0" w:color="808080"/>
              <w:right w:val="single" w:sz="4" w:space="0" w:color="808080"/>
            </w:tcBorders>
            <w:vAlign w:val="center"/>
          </w:tcPr>
          <w:p w14:paraId="71D31CD0" w14:textId="77777777" w:rsidR="00AC30F5" w:rsidRDefault="00000000">
            <w:pPr>
              <w:jc w:val="center"/>
            </w:pPr>
            <w:r>
              <w:rPr>
                <w:b/>
                <w:color w:val="C00000"/>
                <w:sz w:val="17"/>
              </w:rPr>
              <w:t>Confirm SELL</w:t>
            </w:r>
          </w:p>
        </w:tc>
      </w:tr>
      <w:tr w:rsidR="00AC30F5" w14:paraId="4AC8E948"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8074B4" w14:textId="77777777" w:rsidR="00AC30F5" w:rsidRDefault="00000000">
            <w:r>
              <w:rPr>
                <w:sz w:val="17"/>
              </w:rPr>
              <w:t>AMD AI accelerator share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09DA3C" w14:textId="77777777" w:rsidR="00AC30F5" w:rsidRDefault="00000000">
            <w:pPr>
              <w:jc w:val="center"/>
            </w:pPr>
            <w:r>
              <w:rPr>
                <w:sz w:val="17"/>
              </w:rPr>
              <w:t>&gt; 15% by end 2027 (vs ~11% in 2023)</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05F628" w14:textId="77777777" w:rsidR="00AC30F5" w:rsidRDefault="00000000">
            <w:pPr>
              <w:jc w:val="center"/>
            </w:pPr>
            <w:r>
              <w:rPr>
                <w:sz w:val="17"/>
              </w:rPr>
              <w:t>Not yet measurable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6C12583" w14:textId="77777777" w:rsidR="00AC30F5" w:rsidRDefault="00000000">
            <w:pPr>
              <w:jc w:val="center"/>
            </w:pPr>
            <w:r>
              <w:rPr>
                <w:b/>
                <w:color w:val="008000"/>
                <w:sz w:val="17"/>
              </w:rPr>
              <w:t>Upgrade toward HOLD/BUY</w:t>
            </w:r>
          </w:p>
        </w:tc>
      </w:tr>
      <w:tr w:rsidR="00AC30F5" w14:paraId="66FCA4C5"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18AA4F11" w14:textId="77777777" w:rsidR="00AC30F5" w:rsidRDefault="00000000">
            <w:r>
              <w:rPr>
                <w:sz w:val="17"/>
              </w:rPr>
              <w:t>AMD AI accelerator share</w:t>
            </w:r>
          </w:p>
        </w:tc>
        <w:tc>
          <w:tcPr>
            <w:tcW w:w="2550" w:type="dxa"/>
            <w:tcBorders>
              <w:top w:val="single" w:sz="4" w:space="0" w:color="808080"/>
              <w:left w:val="single" w:sz="4" w:space="0" w:color="808080"/>
              <w:bottom w:val="single" w:sz="4" w:space="0" w:color="808080"/>
              <w:right w:val="single" w:sz="4" w:space="0" w:color="808080"/>
            </w:tcBorders>
            <w:vAlign w:val="center"/>
          </w:tcPr>
          <w:p w14:paraId="58A805D5" w14:textId="77777777" w:rsidR="00AC30F5" w:rsidRDefault="00000000">
            <w:pPr>
              <w:jc w:val="center"/>
            </w:pPr>
            <w:r>
              <w:rPr>
                <w:sz w:val="17"/>
              </w:rPr>
              <w:t>&lt; 8% by end 2027</w:t>
            </w:r>
          </w:p>
        </w:tc>
        <w:tc>
          <w:tcPr>
            <w:tcW w:w="2550" w:type="dxa"/>
            <w:tcBorders>
              <w:top w:val="single" w:sz="4" w:space="0" w:color="808080"/>
              <w:left w:val="single" w:sz="4" w:space="0" w:color="808080"/>
              <w:bottom w:val="single" w:sz="4" w:space="0" w:color="808080"/>
              <w:right w:val="single" w:sz="4" w:space="0" w:color="808080"/>
            </w:tcBorders>
            <w:vAlign w:val="center"/>
          </w:tcPr>
          <w:p w14:paraId="40F4A13C" w14:textId="77777777" w:rsidR="00AC30F5" w:rsidRDefault="00000000">
            <w:pPr>
              <w:jc w:val="center"/>
            </w:pPr>
            <w:r>
              <w:rPr>
                <w:sz w:val="17"/>
              </w:rPr>
              <w:t>Not yet measurable</w:t>
            </w:r>
          </w:p>
        </w:tc>
        <w:tc>
          <w:tcPr>
            <w:tcW w:w="2550" w:type="dxa"/>
            <w:tcBorders>
              <w:top w:val="single" w:sz="4" w:space="0" w:color="808080"/>
              <w:left w:val="single" w:sz="4" w:space="0" w:color="808080"/>
              <w:bottom w:val="single" w:sz="4" w:space="0" w:color="808080"/>
              <w:right w:val="single" w:sz="4" w:space="0" w:color="808080"/>
            </w:tcBorders>
            <w:vAlign w:val="center"/>
          </w:tcPr>
          <w:p w14:paraId="03DA4102" w14:textId="77777777" w:rsidR="00AC30F5" w:rsidRDefault="00000000">
            <w:pPr>
              <w:jc w:val="center"/>
            </w:pPr>
            <w:r>
              <w:rPr>
                <w:b/>
                <w:color w:val="C00000"/>
                <w:sz w:val="17"/>
              </w:rPr>
              <w:t>Confirm SELL</w:t>
            </w:r>
          </w:p>
        </w:tc>
      </w:tr>
      <w:tr w:rsidR="00AC30F5" w14:paraId="565C2AB1"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49F881" w14:textId="77777777" w:rsidR="00AC30F5" w:rsidRDefault="00000000">
            <w:r>
              <w:rPr>
                <w:sz w:val="17"/>
              </w:rPr>
              <w:t>OpenAI/Meta deployment slippage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1CF25AA" w14:textId="77777777" w:rsidR="00AC30F5" w:rsidRDefault="00000000">
            <w:pPr>
              <w:jc w:val="center"/>
            </w:pPr>
            <w:r>
              <w:rPr>
                <w:sz w:val="17"/>
              </w:rPr>
              <w:t>&gt; 12 months behind schedule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E49219" w14:textId="77777777" w:rsidR="00AC30F5" w:rsidRDefault="00000000">
            <w:pPr>
              <w:jc w:val="center"/>
            </w:pPr>
            <w:r>
              <w:rPr>
                <w:sz w:val="17"/>
              </w:rPr>
              <w:t>On schedule (MI450 H2 2026)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5C58A6D" w14:textId="77777777" w:rsidR="00AC30F5" w:rsidRDefault="00000000">
            <w:pPr>
              <w:jc w:val="center"/>
            </w:pPr>
            <w:r>
              <w:rPr>
                <w:b/>
                <w:color w:val="C00000"/>
                <w:sz w:val="17"/>
              </w:rPr>
              <w:t>Confirm SELL if triggered</w:t>
            </w:r>
          </w:p>
        </w:tc>
      </w:tr>
      <w:tr w:rsidR="00AC30F5" w14:paraId="6B4D105D"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28DEBC3C" w14:textId="77777777" w:rsidR="00AC30F5" w:rsidRDefault="00000000">
            <w:r>
              <w:rPr>
                <w:sz w:val="17"/>
              </w:rPr>
              <w:t>MI400 vs NVIDIA Rubin gap</w:t>
            </w:r>
          </w:p>
        </w:tc>
        <w:tc>
          <w:tcPr>
            <w:tcW w:w="2550" w:type="dxa"/>
            <w:tcBorders>
              <w:top w:val="single" w:sz="4" w:space="0" w:color="808080"/>
              <w:left w:val="single" w:sz="4" w:space="0" w:color="808080"/>
              <w:bottom w:val="single" w:sz="4" w:space="0" w:color="808080"/>
              <w:right w:val="single" w:sz="4" w:space="0" w:color="808080"/>
            </w:tcBorders>
            <w:vAlign w:val="center"/>
          </w:tcPr>
          <w:p w14:paraId="03E81BB3" w14:textId="77777777" w:rsidR="00AC30F5" w:rsidRDefault="00000000">
            <w:pPr>
              <w:jc w:val="center"/>
            </w:pPr>
            <w:r>
              <w:rPr>
                <w:sz w:val="17"/>
              </w:rPr>
              <w:t>Widens materially (performance or software)</w:t>
            </w:r>
          </w:p>
        </w:tc>
        <w:tc>
          <w:tcPr>
            <w:tcW w:w="2550" w:type="dxa"/>
            <w:tcBorders>
              <w:top w:val="single" w:sz="4" w:space="0" w:color="808080"/>
              <w:left w:val="single" w:sz="4" w:space="0" w:color="808080"/>
              <w:bottom w:val="single" w:sz="4" w:space="0" w:color="808080"/>
              <w:right w:val="single" w:sz="4" w:space="0" w:color="808080"/>
            </w:tcBorders>
            <w:vAlign w:val="center"/>
          </w:tcPr>
          <w:p w14:paraId="7A7B4398" w14:textId="77777777" w:rsidR="00AC30F5" w:rsidRDefault="00000000">
            <w:pPr>
              <w:jc w:val="center"/>
            </w:pPr>
            <w:r>
              <w:rPr>
                <w:sz w:val="17"/>
              </w:rPr>
              <w:t>Pending MI400 launch</w:t>
            </w:r>
          </w:p>
        </w:tc>
        <w:tc>
          <w:tcPr>
            <w:tcW w:w="2550" w:type="dxa"/>
            <w:tcBorders>
              <w:top w:val="single" w:sz="4" w:space="0" w:color="808080"/>
              <w:left w:val="single" w:sz="4" w:space="0" w:color="808080"/>
              <w:bottom w:val="single" w:sz="4" w:space="0" w:color="808080"/>
              <w:right w:val="single" w:sz="4" w:space="0" w:color="808080"/>
            </w:tcBorders>
            <w:vAlign w:val="center"/>
          </w:tcPr>
          <w:p w14:paraId="65DD0671" w14:textId="77777777" w:rsidR="00AC30F5" w:rsidRDefault="00000000">
            <w:pPr>
              <w:jc w:val="center"/>
            </w:pPr>
            <w:r>
              <w:rPr>
                <w:b/>
                <w:color w:val="C00000"/>
                <w:sz w:val="17"/>
              </w:rPr>
              <w:t>Confirm SELL if triggered</w:t>
            </w:r>
          </w:p>
        </w:tc>
      </w:tr>
      <w:tr w:rsidR="00AC30F5" w14:paraId="1A4D72AE"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79AE88" w14:textId="77777777" w:rsidR="00AC30F5" w:rsidRDefault="00000000">
            <w:r>
              <w:rPr>
                <w:sz w:val="17"/>
              </w:rPr>
              <w:t>FY2027 Data Center revenue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295CDE" w14:textId="77777777" w:rsidR="00AC30F5" w:rsidRDefault="00000000">
            <w:pPr>
              <w:jc w:val="center"/>
            </w:pPr>
            <w:r>
              <w:rPr>
                <w:sz w:val="17"/>
              </w:rPr>
              <w:t>Doubles YoY as guided (~$52B+)</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DC72BD" w14:textId="77777777" w:rsidR="00AC30F5" w:rsidRDefault="00000000">
            <w:pPr>
              <w:jc w:val="center"/>
            </w:pPr>
            <w:r>
              <w:rPr>
                <w:sz w:val="17"/>
              </w:rPr>
              <w:t>Tracking ahead (Q2 +107%)</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2A7815" w14:textId="77777777" w:rsidR="00AC30F5" w:rsidRDefault="00000000">
            <w:pPr>
              <w:jc w:val="center"/>
            </w:pPr>
            <w:r>
              <w:rPr>
                <w:sz w:val="17"/>
              </w:rPr>
              <w:t>Revisit assumptions; potential upgrade</w:t>
            </w:r>
          </w:p>
        </w:tc>
      </w:tr>
      <w:tr w:rsidR="00AC30F5" w14:paraId="41DAFC09"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283547C4" w14:textId="77777777" w:rsidR="00AC30F5" w:rsidRDefault="00000000">
            <w:r>
              <w:rPr>
                <w:sz w:val="17"/>
              </w:rPr>
              <w:t>Terminal ROIC realized (sustained)</w:t>
            </w:r>
          </w:p>
        </w:tc>
        <w:tc>
          <w:tcPr>
            <w:tcW w:w="2550" w:type="dxa"/>
            <w:tcBorders>
              <w:top w:val="single" w:sz="4" w:space="0" w:color="808080"/>
              <w:left w:val="single" w:sz="4" w:space="0" w:color="808080"/>
              <w:bottom w:val="single" w:sz="4" w:space="0" w:color="808080"/>
              <w:right w:val="single" w:sz="4" w:space="0" w:color="808080"/>
            </w:tcBorders>
            <w:vAlign w:val="center"/>
          </w:tcPr>
          <w:p w14:paraId="1F0EF9C8" w14:textId="77777777" w:rsidR="00AC30F5" w:rsidRDefault="00000000">
            <w:pPr>
              <w:jc w:val="center"/>
            </w:pPr>
            <w:r>
              <w:rPr>
                <w:sz w:val="17"/>
              </w:rPr>
              <w:t>&gt; 15% (vs model 20%, adjusted 6.6%)</w:t>
            </w:r>
          </w:p>
        </w:tc>
        <w:tc>
          <w:tcPr>
            <w:tcW w:w="2550" w:type="dxa"/>
            <w:tcBorders>
              <w:top w:val="single" w:sz="4" w:space="0" w:color="808080"/>
              <w:left w:val="single" w:sz="4" w:space="0" w:color="808080"/>
              <w:bottom w:val="single" w:sz="4" w:space="0" w:color="808080"/>
              <w:right w:val="single" w:sz="4" w:space="0" w:color="808080"/>
            </w:tcBorders>
            <w:vAlign w:val="center"/>
          </w:tcPr>
          <w:p w14:paraId="1C911D63" w14:textId="77777777" w:rsidR="00AC30F5" w:rsidRDefault="00000000">
            <w:pPr>
              <w:jc w:val="center"/>
            </w:pPr>
            <w:r>
              <w:rPr>
                <w:sz w:val="17"/>
              </w:rPr>
              <w:t>Not measurable (2027+)</w:t>
            </w:r>
          </w:p>
        </w:tc>
        <w:tc>
          <w:tcPr>
            <w:tcW w:w="2550" w:type="dxa"/>
            <w:tcBorders>
              <w:top w:val="single" w:sz="4" w:space="0" w:color="808080"/>
              <w:left w:val="single" w:sz="4" w:space="0" w:color="808080"/>
              <w:bottom w:val="single" w:sz="4" w:space="0" w:color="808080"/>
              <w:right w:val="single" w:sz="4" w:space="0" w:color="808080"/>
            </w:tcBorders>
            <w:vAlign w:val="center"/>
          </w:tcPr>
          <w:p w14:paraId="06212D7E" w14:textId="77777777" w:rsidR="00AC30F5" w:rsidRDefault="00000000">
            <w:pPr>
              <w:jc w:val="center"/>
            </w:pPr>
            <w:r>
              <w:rPr>
                <w:sz w:val="17"/>
              </w:rPr>
              <w:t>Revisit terminal value reliability</w:t>
            </w:r>
          </w:p>
        </w:tc>
      </w:tr>
      <w:tr w:rsidR="00AC30F5" w14:paraId="55019D0A"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03C721" w14:textId="77777777" w:rsidR="00AC30F5" w:rsidRDefault="00000000">
            <w:r>
              <w:rPr>
                <w:sz w:val="17"/>
              </w:rPr>
              <w:t>WACC inputs (Rf, ERP, beta)</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0FAF901" w14:textId="77777777" w:rsidR="00AC30F5" w:rsidRDefault="00000000">
            <w:pPr>
              <w:jc w:val="center"/>
            </w:pPr>
            <w:r>
              <w:rPr>
                <w:sz w:val="17"/>
              </w:rPr>
              <w:t>Material change (&gt; 200bp cumulative)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72F8828" w14:textId="77777777" w:rsidR="00AC30F5" w:rsidRDefault="00000000">
            <w:pPr>
              <w:jc w:val="center"/>
            </w:pPr>
            <w:r>
              <w:rPr>
                <w:sz w:val="17"/>
              </w:rPr>
              <w:t>Stable</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875CD8" w14:textId="77777777" w:rsidR="00AC30F5" w:rsidRDefault="00000000">
            <w:pPr>
              <w:jc w:val="center"/>
            </w:pPr>
            <w:r>
              <w:rPr>
                <w:sz w:val="17"/>
              </w:rPr>
              <w:t>Recompute WACC and re-rate</w:t>
            </w:r>
          </w:p>
        </w:tc>
      </w:tr>
    </w:tbl>
    <w:p w14:paraId="39F268EB" w14:textId="77777777" w:rsidR="00AC30F5" w:rsidRDefault="00AC30F5">
      <w:pPr>
        <w:spacing w:after="80"/>
      </w:pPr>
    </w:p>
    <w:p w14:paraId="23AFC282" w14:textId="77777777" w:rsidR="00AC30F5" w:rsidRDefault="00000000">
      <w:pPr>
        <w:spacing w:after="80"/>
        <w:jc w:val="both"/>
      </w:pPr>
      <w:r>
        <w:t>The most important trigger to watch going forward is the FY2027 Data Center revenue trajectory. If Lisa Su's doubling guidance is achieved, the model's operating assumptions were too conservative and a full rebuild would produce a higher intrinsic value, potentially supporting a move back toward HOLD. However, even a doubling of data center revenue would leave the implied 2030 free cash flow well below the $163B the market is pricing in at $480. The SELL rating is therefore robust to the most likely positive catalyst, unless accompanied by a dramatic downward revision to the WACC (which would require a structural change in AMD's risk profile) or a dramatic upward revision to the TAM forecast (which would require the actual 2030 compute market to exceed $1T by a substantial margin).</w:t>
      </w:r>
    </w:p>
    <w:p w14:paraId="28C5C57A" w14:textId="77777777" w:rsidR="00AC30F5" w:rsidRDefault="00000000">
      <w:pPr>
        <w:pStyle w:val="Heading1"/>
      </w:pPr>
      <w:r>
        <w:t>Conclusion &amp; Implications</w:t>
      </w:r>
    </w:p>
    <w:p w14:paraId="4635A167" w14:textId="77777777" w:rsidR="00AC30F5" w:rsidRDefault="00000000">
      <w:pPr>
        <w:spacing w:after="80"/>
        <w:jc w:val="both"/>
      </w:pPr>
      <w:r>
        <w:t xml:space="preserve">AMD at $480 presents a paradox that this note has attempted to frame honestly. The company's underlying business has never been stronger: revenue is growing 34% annually, the Data Center segment more than doubled year-over-year in Q2 2026, three major hyperscaler customers have signed multi-year commitments backed by equity warrants, and management has guided to a further doubling of data center sales in 2027. By every operational measure, AMD is executing at the top of its historical range. And yet, the stock trades at a valuation that no defensible analytical framework — DCF or relative — can support. The discounted cash flow model, even after generous revisions to incorporate the H1 2026 beats and the 2027 doubling guidance, implies an intrinsic value of $58 to $90 per share, 81% </w:t>
      </w:r>
      <w:r>
        <w:lastRenderedPageBreak/>
        <w:t>to 88% below the current market price. The relative valuation cross-check, which uses NVIDIA, Intel, and industry-average multiples, implies a median price of $179 and an average of $236 — both far below $480, and only the single most aggressive peer multiple (NVIDIA's EV/Sales) implies a price near the market.</w:t>
      </w:r>
    </w:p>
    <w:p w14:paraId="127DBC38" w14:textId="77777777" w:rsidR="00AC30F5" w:rsidRDefault="00000000">
      <w:pPr>
        <w:spacing w:after="80"/>
        <w:jc w:val="both"/>
      </w:pPr>
      <w:r>
        <w:t>The reverse DCF reveals the specific outcome the market is pricing in: a 2030 free cash flow of approximately $163B, which would require AMD to capture a dominant share of the forecast $1T compute market at free cash flow margins at or above NVIDIA's current profile. Whether this outcome is literally impossible depends on assumptions about the TAM that are genuinely uncertain — the $1T forecast is management-sourced and could prove conservative. But across a wide range of plausible TAMs and margins, the required outcome lies well outside the range of any defensible discounted cash flow scenario. The market is making an explicit bet on AI scenario outcomes that, while conceivable in their components, are arithmetically extreme in combination.</w:t>
      </w:r>
    </w:p>
    <w:p w14:paraId="7CAA74FA" w14:textId="77777777" w:rsidR="00AC30F5" w:rsidRDefault="00000000">
      <w:pPr>
        <w:spacing w:after="80"/>
        <w:jc w:val="both"/>
      </w:pPr>
      <w:r>
        <w:t>The SELL rating reflects this gap between any defensible valuation framework and the prevailing market price. It is not a directional call on AMD's business, which is genuinely improving and may well continue to outperform the model's assumptions. It is a statement that the price has moved beyond what any framework supports, and that the gap is too wide to be explained by reasonable parameter adjustments. We acknowledge that the market may nonetheless be right — AI scenario outcomes are inherently difficult to value, and the option value of AMD's platform is not fully captured in a five-year DCF. But the analytical task is not to declare the market right or wrong; it is to make the market's implicit assumptions explicit, auditable, and comparable to a defensible baseline. On that basis, $480 is not defensible.</w:t>
      </w:r>
    </w:p>
    <w:p w14:paraId="32568359" w14:textId="77777777" w:rsidR="00AC30F5" w:rsidRDefault="00000000">
      <w:pPr>
        <w:spacing w:after="80"/>
        <w:jc w:val="both"/>
      </w:pPr>
      <w:r>
        <w:t>Looking forward, the rating is falsifiable. The triggers in Section 9 specify what evidence would move it: a material price decline (below $120 without estimate cuts), AMD achieving over 15% AI accelerator share by 2027, or FY2027 Data Center revenue doubling as guided accompanied by margin expansion confirming the model's assumptions were too conservative. Until one of these triggers fires, the SELL stands. For portfolio purposes, this note demonstrates the analytical discipline of distinguishing between a company's fundamental trajectory (genuinely improving) and its stock's valuation (indefensible at $480) — a distinction that is central to professional equity research and that hiring managers specifically probe for in interview settings.</w:t>
      </w:r>
    </w:p>
    <w:p w14:paraId="3BF9AFCB" w14:textId="77777777" w:rsidR="00AC30F5" w:rsidRDefault="00000000">
      <w:pPr>
        <w:pStyle w:val="Heading1"/>
      </w:pPr>
      <w:r>
        <w:t>Appendix A: DCF Scenario Detail</w:t>
      </w:r>
    </w:p>
    <w:p w14:paraId="74D9DD01" w14:textId="77777777" w:rsidR="00AC30F5" w:rsidRDefault="00000000">
      <w:pPr>
        <w:spacing w:before="120" w:after="40"/>
      </w:pPr>
      <w:r>
        <w:rPr>
          <w:b/>
          <w:color w:val="1F4E78"/>
          <w:sz w:val="19"/>
        </w:rPr>
        <w:t>Table A1: Scenario A (Lower Bound) — Projected FCF Build ($M)</w:t>
      </w:r>
    </w:p>
    <w:tbl>
      <w:tblPr>
        <w:tblW w:w="0" w:type="auto"/>
        <w:jc w:val="center"/>
        <w:tblLook w:val="04A0" w:firstRow="1" w:lastRow="0" w:firstColumn="1" w:lastColumn="0" w:noHBand="0" w:noVBand="1"/>
      </w:tblPr>
      <w:tblGrid>
        <w:gridCol w:w="1700"/>
        <w:gridCol w:w="1700"/>
        <w:gridCol w:w="1700"/>
        <w:gridCol w:w="1700"/>
        <w:gridCol w:w="1700"/>
        <w:gridCol w:w="1700"/>
      </w:tblGrid>
      <w:tr w:rsidR="00AC30F5" w14:paraId="0FA85915"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5005C88" w14:textId="77777777" w:rsidR="00AC30F5" w:rsidRDefault="00000000">
            <w:pPr>
              <w:jc w:val="center"/>
            </w:pPr>
            <w:r>
              <w:rPr>
                <w:b/>
                <w:color w:val="FFFFFF"/>
                <w:sz w:val="17"/>
              </w:rPr>
              <w:t>Line Item</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9EAC045" w14:textId="77777777" w:rsidR="00AC30F5" w:rsidRDefault="00000000">
            <w:pPr>
              <w:jc w:val="center"/>
            </w:pPr>
            <w:r>
              <w:rPr>
                <w:b/>
                <w:color w:val="FFFFFF"/>
                <w:sz w:val="17"/>
              </w:rPr>
              <w:t>FY2026</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DDF025E" w14:textId="77777777" w:rsidR="00AC30F5" w:rsidRDefault="00000000">
            <w:pPr>
              <w:jc w:val="center"/>
            </w:pPr>
            <w:r>
              <w:rPr>
                <w:b/>
                <w:color w:val="FFFFFF"/>
                <w:sz w:val="17"/>
              </w:rPr>
              <w:t>FY2027</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F6A87D3" w14:textId="77777777" w:rsidR="00AC30F5" w:rsidRDefault="00000000">
            <w:pPr>
              <w:jc w:val="center"/>
            </w:pPr>
            <w:r>
              <w:rPr>
                <w:b/>
                <w:color w:val="FFFFFF"/>
                <w:sz w:val="17"/>
              </w:rPr>
              <w:t>FY2028</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4E95B8F" w14:textId="77777777" w:rsidR="00AC30F5" w:rsidRDefault="00000000">
            <w:pPr>
              <w:jc w:val="center"/>
            </w:pPr>
            <w:r>
              <w:rPr>
                <w:b/>
                <w:color w:val="FFFFFF"/>
                <w:sz w:val="17"/>
              </w:rPr>
              <w:t>FY2029</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76A2F61" w14:textId="77777777" w:rsidR="00AC30F5" w:rsidRDefault="00000000">
            <w:pPr>
              <w:jc w:val="center"/>
            </w:pPr>
            <w:r>
              <w:rPr>
                <w:b/>
                <w:color w:val="FFFFFF"/>
                <w:sz w:val="17"/>
              </w:rPr>
              <w:t>FY2030</w:t>
            </w:r>
          </w:p>
        </w:tc>
      </w:tr>
      <w:tr w:rsidR="00AC30F5" w14:paraId="647F9FF4"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486E40FD" w14:textId="77777777" w:rsidR="00AC30F5" w:rsidRDefault="00000000">
            <w:r>
              <w:rPr>
                <w:sz w:val="17"/>
              </w:rPr>
              <w:t>Net Revenue</w:t>
            </w:r>
          </w:p>
        </w:tc>
        <w:tc>
          <w:tcPr>
            <w:tcW w:w="1700" w:type="dxa"/>
            <w:tcBorders>
              <w:top w:val="single" w:sz="4" w:space="0" w:color="808080"/>
              <w:left w:val="single" w:sz="4" w:space="0" w:color="808080"/>
              <w:bottom w:val="single" w:sz="4" w:space="0" w:color="808080"/>
              <w:right w:val="single" w:sz="4" w:space="0" w:color="808080"/>
            </w:tcBorders>
            <w:vAlign w:val="center"/>
          </w:tcPr>
          <w:p w14:paraId="48BFF2E4" w14:textId="77777777" w:rsidR="00AC30F5" w:rsidRDefault="00000000">
            <w:pPr>
              <w:jc w:val="center"/>
            </w:pPr>
            <w:r>
              <w:rPr>
                <w:sz w:val="17"/>
              </w:rPr>
              <w:t>47,109</w:t>
            </w:r>
          </w:p>
        </w:tc>
        <w:tc>
          <w:tcPr>
            <w:tcW w:w="1700" w:type="dxa"/>
            <w:tcBorders>
              <w:top w:val="single" w:sz="4" w:space="0" w:color="808080"/>
              <w:left w:val="single" w:sz="4" w:space="0" w:color="808080"/>
              <w:bottom w:val="single" w:sz="4" w:space="0" w:color="808080"/>
              <w:right w:val="single" w:sz="4" w:space="0" w:color="808080"/>
            </w:tcBorders>
            <w:vAlign w:val="center"/>
          </w:tcPr>
          <w:p w14:paraId="06D5EB86" w14:textId="77777777" w:rsidR="00AC30F5" w:rsidRDefault="00000000">
            <w:pPr>
              <w:jc w:val="center"/>
            </w:pPr>
            <w:r>
              <w:rPr>
                <w:sz w:val="17"/>
              </w:rPr>
              <w:t>58,415</w:t>
            </w:r>
          </w:p>
        </w:tc>
        <w:tc>
          <w:tcPr>
            <w:tcW w:w="1700" w:type="dxa"/>
            <w:tcBorders>
              <w:top w:val="single" w:sz="4" w:space="0" w:color="808080"/>
              <w:left w:val="single" w:sz="4" w:space="0" w:color="808080"/>
              <w:bottom w:val="single" w:sz="4" w:space="0" w:color="808080"/>
              <w:right w:val="single" w:sz="4" w:space="0" w:color="808080"/>
            </w:tcBorders>
            <w:vAlign w:val="center"/>
          </w:tcPr>
          <w:p w14:paraId="57B92D39" w14:textId="77777777" w:rsidR="00AC30F5" w:rsidRDefault="00000000">
            <w:pPr>
              <w:jc w:val="center"/>
            </w:pPr>
            <w:r>
              <w:rPr>
                <w:sz w:val="17"/>
              </w:rPr>
              <w:t>68,930</w:t>
            </w:r>
          </w:p>
        </w:tc>
        <w:tc>
          <w:tcPr>
            <w:tcW w:w="1700" w:type="dxa"/>
            <w:tcBorders>
              <w:top w:val="single" w:sz="4" w:space="0" w:color="808080"/>
              <w:left w:val="single" w:sz="4" w:space="0" w:color="808080"/>
              <w:bottom w:val="single" w:sz="4" w:space="0" w:color="808080"/>
              <w:right w:val="single" w:sz="4" w:space="0" w:color="808080"/>
            </w:tcBorders>
            <w:vAlign w:val="center"/>
          </w:tcPr>
          <w:p w14:paraId="7608D0BA" w14:textId="77777777" w:rsidR="00AC30F5" w:rsidRDefault="00000000">
            <w:pPr>
              <w:jc w:val="center"/>
            </w:pPr>
            <w:r>
              <w:rPr>
                <w:sz w:val="17"/>
              </w:rPr>
              <w:t>78,580</w:t>
            </w:r>
          </w:p>
        </w:tc>
        <w:tc>
          <w:tcPr>
            <w:tcW w:w="1700" w:type="dxa"/>
            <w:tcBorders>
              <w:top w:val="single" w:sz="4" w:space="0" w:color="808080"/>
              <w:left w:val="single" w:sz="4" w:space="0" w:color="808080"/>
              <w:bottom w:val="single" w:sz="4" w:space="0" w:color="808080"/>
              <w:right w:val="single" w:sz="4" w:space="0" w:color="808080"/>
            </w:tcBorders>
            <w:vAlign w:val="center"/>
          </w:tcPr>
          <w:p w14:paraId="4B3C546C" w14:textId="77777777" w:rsidR="00AC30F5" w:rsidRDefault="00000000">
            <w:pPr>
              <w:jc w:val="center"/>
            </w:pPr>
            <w:r>
              <w:rPr>
                <w:sz w:val="17"/>
              </w:rPr>
              <w:t>87,224</w:t>
            </w:r>
          </w:p>
        </w:tc>
      </w:tr>
      <w:tr w:rsidR="00AC30F5" w14:paraId="6CE39553"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2842FD" w14:textId="77777777" w:rsidR="00AC30F5" w:rsidRDefault="00000000">
            <w:r>
              <w:rPr>
                <w:sz w:val="17"/>
              </w:rPr>
              <w:t>Gross Profit (51.5-54%)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69E943E" w14:textId="77777777" w:rsidR="00AC30F5" w:rsidRDefault="00000000">
            <w:pPr>
              <w:jc w:val="center"/>
            </w:pPr>
            <w:r>
              <w:rPr>
                <w:sz w:val="17"/>
              </w:rPr>
              <w:t>24,261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A9C811" w14:textId="77777777" w:rsidR="00AC30F5" w:rsidRDefault="00000000">
            <w:pPr>
              <w:jc w:val="center"/>
            </w:pPr>
            <w:r>
              <w:rPr>
                <w:sz w:val="17"/>
              </w:rPr>
              <w:t>30,376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6D2131" w14:textId="77777777" w:rsidR="00AC30F5" w:rsidRDefault="00000000">
            <w:pPr>
              <w:jc w:val="center"/>
            </w:pPr>
            <w:r>
              <w:rPr>
                <w:sz w:val="17"/>
              </w:rPr>
              <w:t>36,188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D9F6005" w14:textId="77777777" w:rsidR="00AC30F5" w:rsidRDefault="00000000">
            <w:pPr>
              <w:jc w:val="center"/>
            </w:pPr>
            <w:r>
              <w:rPr>
                <w:sz w:val="17"/>
              </w:rPr>
              <w:t>41,647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633662D" w14:textId="77777777" w:rsidR="00AC30F5" w:rsidRDefault="00000000">
            <w:pPr>
              <w:jc w:val="center"/>
            </w:pPr>
            <w:r>
              <w:rPr>
                <w:sz w:val="17"/>
              </w:rPr>
              <w:t>47,101</w:t>
            </w:r>
          </w:p>
        </w:tc>
      </w:tr>
      <w:tr w:rsidR="00AC30F5" w14:paraId="2725BDEC"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71E48E34" w14:textId="77777777" w:rsidR="00AC30F5" w:rsidRDefault="00000000">
            <w:r>
              <w:rPr>
                <w:sz w:val="17"/>
              </w:rPr>
              <w:t>R&amp;D (23-20%)</w:t>
            </w:r>
          </w:p>
        </w:tc>
        <w:tc>
          <w:tcPr>
            <w:tcW w:w="1700" w:type="dxa"/>
            <w:tcBorders>
              <w:top w:val="single" w:sz="4" w:space="0" w:color="808080"/>
              <w:left w:val="single" w:sz="4" w:space="0" w:color="808080"/>
              <w:bottom w:val="single" w:sz="4" w:space="0" w:color="808080"/>
              <w:right w:val="single" w:sz="4" w:space="0" w:color="808080"/>
            </w:tcBorders>
            <w:vAlign w:val="center"/>
          </w:tcPr>
          <w:p w14:paraId="6830673C" w14:textId="77777777" w:rsidR="00AC30F5" w:rsidRDefault="00000000">
            <w:pPr>
              <w:jc w:val="center"/>
            </w:pPr>
            <w:r>
              <w:rPr>
                <w:sz w:val="17"/>
              </w:rPr>
              <w:t>10,835</w:t>
            </w:r>
          </w:p>
        </w:tc>
        <w:tc>
          <w:tcPr>
            <w:tcW w:w="1700" w:type="dxa"/>
            <w:tcBorders>
              <w:top w:val="single" w:sz="4" w:space="0" w:color="808080"/>
              <w:left w:val="single" w:sz="4" w:space="0" w:color="808080"/>
              <w:bottom w:val="single" w:sz="4" w:space="0" w:color="808080"/>
              <w:right w:val="single" w:sz="4" w:space="0" w:color="808080"/>
            </w:tcBorders>
            <w:vAlign w:val="center"/>
          </w:tcPr>
          <w:p w14:paraId="23F55CDD" w14:textId="77777777" w:rsidR="00AC30F5" w:rsidRDefault="00000000">
            <w:pPr>
              <w:jc w:val="center"/>
            </w:pPr>
            <w:r>
              <w:rPr>
                <w:sz w:val="17"/>
              </w:rPr>
              <w:t>12,851</w:t>
            </w:r>
          </w:p>
        </w:tc>
        <w:tc>
          <w:tcPr>
            <w:tcW w:w="1700" w:type="dxa"/>
            <w:tcBorders>
              <w:top w:val="single" w:sz="4" w:space="0" w:color="808080"/>
              <w:left w:val="single" w:sz="4" w:space="0" w:color="808080"/>
              <w:bottom w:val="single" w:sz="4" w:space="0" w:color="808080"/>
              <w:right w:val="single" w:sz="4" w:space="0" w:color="808080"/>
            </w:tcBorders>
            <w:vAlign w:val="center"/>
          </w:tcPr>
          <w:p w14:paraId="16F84BA0" w14:textId="77777777" w:rsidR="00AC30F5" w:rsidRDefault="00000000">
            <w:pPr>
              <w:jc w:val="center"/>
            </w:pPr>
            <w:r>
              <w:rPr>
                <w:sz w:val="17"/>
              </w:rPr>
              <w:t>14,475</w:t>
            </w:r>
          </w:p>
        </w:tc>
        <w:tc>
          <w:tcPr>
            <w:tcW w:w="1700" w:type="dxa"/>
            <w:tcBorders>
              <w:top w:val="single" w:sz="4" w:space="0" w:color="808080"/>
              <w:left w:val="single" w:sz="4" w:space="0" w:color="808080"/>
              <w:bottom w:val="single" w:sz="4" w:space="0" w:color="808080"/>
              <w:right w:val="single" w:sz="4" w:space="0" w:color="808080"/>
            </w:tcBorders>
            <w:vAlign w:val="center"/>
          </w:tcPr>
          <w:p w14:paraId="4E79FB96" w14:textId="77777777" w:rsidR="00AC30F5" w:rsidRDefault="00000000">
            <w:pPr>
              <w:jc w:val="center"/>
            </w:pPr>
            <w:r>
              <w:rPr>
                <w:sz w:val="17"/>
              </w:rPr>
              <w:t>15,716</w:t>
            </w:r>
          </w:p>
        </w:tc>
        <w:tc>
          <w:tcPr>
            <w:tcW w:w="1700" w:type="dxa"/>
            <w:tcBorders>
              <w:top w:val="single" w:sz="4" w:space="0" w:color="808080"/>
              <w:left w:val="single" w:sz="4" w:space="0" w:color="808080"/>
              <w:bottom w:val="single" w:sz="4" w:space="0" w:color="808080"/>
              <w:right w:val="single" w:sz="4" w:space="0" w:color="808080"/>
            </w:tcBorders>
            <w:vAlign w:val="center"/>
          </w:tcPr>
          <w:p w14:paraId="38B587C1" w14:textId="77777777" w:rsidR="00AC30F5" w:rsidRDefault="00000000">
            <w:pPr>
              <w:jc w:val="center"/>
            </w:pPr>
            <w:r>
              <w:rPr>
                <w:sz w:val="17"/>
              </w:rPr>
              <w:t>17,445</w:t>
            </w:r>
          </w:p>
        </w:tc>
      </w:tr>
      <w:tr w:rsidR="00AC30F5" w14:paraId="5698E252"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DF3D329" w14:textId="77777777" w:rsidR="00AC30F5" w:rsidRDefault="00000000">
            <w:r>
              <w:rPr>
                <w:sz w:val="17"/>
              </w:rPr>
              <w:t>MG&amp;A (11-9%)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DF8B039" w14:textId="77777777" w:rsidR="00AC30F5" w:rsidRDefault="00000000">
            <w:pPr>
              <w:jc w:val="center"/>
            </w:pPr>
            <w:r>
              <w:rPr>
                <w:sz w:val="17"/>
              </w:rPr>
              <w:t>5,182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8D5CF1" w14:textId="77777777" w:rsidR="00AC30F5" w:rsidRDefault="00000000">
            <w:pPr>
              <w:jc w:val="center"/>
            </w:pPr>
            <w:r>
              <w:rPr>
                <w:sz w:val="17"/>
              </w:rPr>
              <w:t>6,134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233420C" w14:textId="77777777" w:rsidR="00AC30F5" w:rsidRDefault="00000000">
            <w:pPr>
              <w:jc w:val="center"/>
            </w:pPr>
            <w:r>
              <w:rPr>
                <w:sz w:val="17"/>
              </w:rPr>
              <w:t>6,893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3799E8C" w14:textId="77777777" w:rsidR="00AC30F5" w:rsidRDefault="00000000">
            <w:pPr>
              <w:jc w:val="center"/>
            </w:pPr>
            <w:r>
              <w:rPr>
                <w:sz w:val="17"/>
              </w:rPr>
              <w:t>7,465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BC4590C" w14:textId="77777777" w:rsidR="00AC30F5" w:rsidRDefault="00000000">
            <w:pPr>
              <w:jc w:val="center"/>
            </w:pPr>
            <w:r>
              <w:rPr>
                <w:sz w:val="17"/>
              </w:rPr>
              <w:t>7,850</w:t>
            </w:r>
          </w:p>
        </w:tc>
      </w:tr>
      <w:tr w:rsidR="00AC30F5" w14:paraId="162D431F"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422F5023" w14:textId="77777777" w:rsidR="00AC30F5" w:rsidRDefault="00000000">
            <w:r>
              <w:rPr>
                <w:sz w:val="17"/>
              </w:rPr>
              <w:t>Amort. of Acq. Intangibles</w:t>
            </w:r>
          </w:p>
        </w:tc>
        <w:tc>
          <w:tcPr>
            <w:tcW w:w="1700" w:type="dxa"/>
            <w:tcBorders>
              <w:top w:val="single" w:sz="4" w:space="0" w:color="808080"/>
              <w:left w:val="single" w:sz="4" w:space="0" w:color="808080"/>
              <w:bottom w:val="single" w:sz="4" w:space="0" w:color="808080"/>
              <w:right w:val="single" w:sz="4" w:space="0" w:color="808080"/>
            </w:tcBorders>
            <w:vAlign w:val="center"/>
          </w:tcPr>
          <w:p w14:paraId="2C221B38" w14:textId="77777777" w:rsidR="00AC30F5" w:rsidRDefault="00000000">
            <w:pPr>
              <w:jc w:val="center"/>
            </w:pPr>
            <w:r>
              <w:rPr>
                <w:sz w:val="17"/>
              </w:rPr>
              <w:t>2,153</w:t>
            </w:r>
          </w:p>
        </w:tc>
        <w:tc>
          <w:tcPr>
            <w:tcW w:w="1700" w:type="dxa"/>
            <w:tcBorders>
              <w:top w:val="single" w:sz="4" w:space="0" w:color="808080"/>
              <w:left w:val="single" w:sz="4" w:space="0" w:color="808080"/>
              <w:bottom w:val="single" w:sz="4" w:space="0" w:color="808080"/>
              <w:right w:val="single" w:sz="4" w:space="0" w:color="808080"/>
            </w:tcBorders>
            <w:vAlign w:val="center"/>
          </w:tcPr>
          <w:p w14:paraId="337AF847" w14:textId="77777777" w:rsidR="00AC30F5" w:rsidRDefault="00000000">
            <w:pPr>
              <w:jc w:val="center"/>
            </w:pPr>
            <w:r>
              <w:rPr>
                <w:sz w:val="17"/>
              </w:rPr>
              <w:t>2,036</w:t>
            </w:r>
          </w:p>
        </w:tc>
        <w:tc>
          <w:tcPr>
            <w:tcW w:w="1700" w:type="dxa"/>
            <w:tcBorders>
              <w:top w:val="single" w:sz="4" w:space="0" w:color="808080"/>
              <w:left w:val="single" w:sz="4" w:space="0" w:color="808080"/>
              <w:bottom w:val="single" w:sz="4" w:space="0" w:color="808080"/>
              <w:right w:val="single" w:sz="4" w:space="0" w:color="808080"/>
            </w:tcBorders>
            <w:vAlign w:val="center"/>
          </w:tcPr>
          <w:p w14:paraId="0F9399D5" w14:textId="77777777" w:rsidR="00AC30F5" w:rsidRDefault="00000000">
            <w:pPr>
              <w:jc w:val="center"/>
            </w:pPr>
            <w:r>
              <w:rPr>
                <w:sz w:val="17"/>
              </w:rPr>
              <w:t>1,923</w:t>
            </w:r>
          </w:p>
        </w:tc>
        <w:tc>
          <w:tcPr>
            <w:tcW w:w="1700" w:type="dxa"/>
            <w:tcBorders>
              <w:top w:val="single" w:sz="4" w:space="0" w:color="808080"/>
              <w:left w:val="single" w:sz="4" w:space="0" w:color="808080"/>
              <w:bottom w:val="single" w:sz="4" w:space="0" w:color="808080"/>
              <w:right w:val="single" w:sz="4" w:space="0" w:color="808080"/>
            </w:tcBorders>
            <w:vAlign w:val="center"/>
          </w:tcPr>
          <w:p w14:paraId="2C813248" w14:textId="77777777" w:rsidR="00AC30F5" w:rsidRDefault="00000000">
            <w:pPr>
              <w:jc w:val="center"/>
            </w:pPr>
            <w:r>
              <w:rPr>
                <w:sz w:val="17"/>
              </w:rPr>
              <w:t>1,691</w:t>
            </w:r>
          </w:p>
        </w:tc>
        <w:tc>
          <w:tcPr>
            <w:tcW w:w="1700" w:type="dxa"/>
            <w:tcBorders>
              <w:top w:val="single" w:sz="4" w:space="0" w:color="808080"/>
              <w:left w:val="single" w:sz="4" w:space="0" w:color="808080"/>
              <w:bottom w:val="single" w:sz="4" w:space="0" w:color="808080"/>
              <w:right w:val="single" w:sz="4" w:space="0" w:color="808080"/>
            </w:tcBorders>
            <w:vAlign w:val="center"/>
          </w:tcPr>
          <w:p w14:paraId="7372CCF2" w14:textId="77777777" w:rsidR="00AC30F5" w:rsidRDefault="00000000">
            <w:pPr>
              <w:jc w:val="center"/>
            </w:pPr>
            <w:r>
              <w:rPr>
                <w:sz w:val="17"/>
              </w:rPr>
              <w:t>1,454</w:t>
            </w:r>
          </w:p>
        </w:tc>
      </w:tr>
      <w:tr w:rsidR="00AC30F5" w14:paraId="109FE8A1"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74C29E" w14:textId="77777777" w:rsidR="00AC30F5" w:rsidRDefault="00000000">
            <w:r>
              <w:rPr>
                <w:sz w:val="17"/>
              </w:rPr>
              <w:t>EBIT</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75B16BE" w14:textId="77777777" w:rsidR="00AC30F5" w:rsidRDefault="00000000">
            <w:pPr>
              <w:jc w:val="center"/>
            </w:pPr>
            <w:r>
              <w:rPr>
                <w:sz w:val="17"/>
              </w:rPr>
              <w:t>6,091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844DB7" w14:textId="77777777" w:rsidR="00AC30F5" w:rsidRDefault="00000000">
            <w:pPr>
              <w:jc w:val="center"/>
            </w:pPr>
            <w:r>
              <w:rPr>
                <w:sz w:val="17"/>
              </w:rPr>
              <w:t>9,355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A64563" w14:textId="77777777" w:rsidR="00AC30F5" w:rsidRDefault="00000000">
            <w:pPr>
              <w:jc w:val="center"/>
            </w:pPr>
            <w:r>
              <w:rPr>
                <w:sz w:val="17"/>
              </w:rPr>
              <w:t>12,897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C0D3FD" w14:textId="77777777" w:rsidR="00AC30F5" w:rsidRDefault="00000000">
            <w:pPr>
              <w:jc w:val="center"/>
            </w:pPr>
            <w:r>
              <w:rPr>
                <w:sz w:val="17"/>
              </w:rPr>
              <w:t>16,775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914F66" w14:textId="77777777" w:rsidR="00AC30F5" w:rsidRDefault="00000000">
            <w:pPr>
              <w:jc w:val="center"/>
            </w:pPr>
            <w:r>
              <w:rPr>
                <w:sz w:val="17"/>
              </w:rPr>
              <w:t>20,352</w:t>
            </w:r>
          </w:p>
        </w:tc>
      </w:tr>
      <w:tr w:rsidR="00AC30F5" w14:paraId="71F2031E"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61AC239B" w14:textId="77777777" w:rsidR="00AC30F5" w:rsidRDefault="00000000">
            <w:r>
              <w:rPr>
                <w:sz w:val="17"/>
              </w:rPr>
              <w:t>NOPAT (19% tax)</w:t>
            </w:r>
          </w:p>
        </w:tc>
        <w:tc>
          <w:tcPr>
            <w:tcW w:w="1700" w:type="dxa"/>
            <w:tcBorders>
              <w:top w:val="single" w:sz="4" w:space="0" w:color="808080"/>
              <w:left w:val="single" w:sz="4" w:space="0" w:color="808080"/>
              <w:bottom w:val="single" w:sz="4" w:space="0" w:color="808080"/>
              <w:right w:val="single" w:sz="4" w:space="0" w:color="808080"/>
            </w:tcBorders>
            <w:vAlign w:val="center"/>
          </w:tcPr>
          <w:p w14:paraId="23DED737" w14:textId="77777777" w:rsidR="00AC30F5" w:rsidRDefault="00000000">
            <w:pPr>
              <w:jc w:val="center"/>
            </w:pPr>
            <w:r>
              <w:rPr>
                <w:sz w:val="17"/>
              </w:rPr>
              <w:t>4,934</w:t>
            </w:r>
          </w:p>
        </w:tc>
        <w:tc>
          <w:tcPr>
            <w:tcW w:w="1700" w:type="dxa"/>
            <w:tcBorders>
              <w:top w:val="single" w:sz="4" w:space="0" w:color="808080"/>
              <w:left w:val="single" w:sz="4" w:space="0" w:color="808080"/>
              <w:bottom w:val="single" w:sz="4" w:space="0" w:color="808080"/>
              <w:right w:val="single" w:sz="4" w:space="0" w:color="808080"/>
            </w:tcBorders>
            <w:vAlign w:val="center"/>
          </w:tcPr>
          <w:p w14:paraId="36F30DA8" w14:textId="77777777" w:rsidR="00AC30F5" w:rsidRDefault="00000000">
            <w:pPr>
              <w:jc w:val="center"/>
            </w:pPr>
            <w:r>
              <w:rPr>
                <w:sz w:val="17"/>
              </w:rPr>
              <w:t>7,578</w:t>
            </w:r>
          </w:p>
        </w:tc>
        <w:tc>
          <w:tcPr>
            <w:tcW w:w="1700" w:type="dxa"/>
            <w:tcBorders>
              <w:top w:val="single" w:sz="4" w:space="0" w:color="808080"/>
              <w:left w:val="single" w:sz="4" w:space="0" w:color="808080"/>
              <w:bottom w:val="single" w:sz="4" w:space="0" w:color="808080"/>
              <w:right w:val="single" w:sz="4" w:space="0" w:color="808080"/>
            </w:tcBorders>
            <w:vAlign w:val="center"/>
          </w:tcPr>
          <w:p w14:paraId="255FB41C" w14:textId="77777777" w:rsidR="00AC30F5" w:rsidRDefault="00000000">
            <w:pPr>
              <w:jc w:val="center"/>
            </w:pPr>
            <w:r>
              <w:rPr>
                <w:sz w:val="17"/>
              </w:rPr>
              <w:t>10,447</w:t>
            </w:r>
          </w:p>
        </w:tc>
        <w:tc>
          <w:tcPr>
            <w:tcW w:w="1700" w:type="dxa"/>
            <w:tcBorders>
              <w:top w:val="single" w:sz="4" w:space="0" w:color="808080"/>
              <w:left w:val="single" w:sz="4" w:space="0" w:color="808080"/>
              <w:bottom w:val="single" w:sz="4" w:space="0" w:color="808080"/>
              <w:right w:val="single" w:sz="4" w:space="0" w:color="808080"/>
            </w:tcBorders>
            <w:vAlign w:val="center"/>
          </w:tcPr>
          <w:p w14:paraId="638D53FC" w14:textId="77777777" w:rsidR="00AC30F5" w:rsidRDefault="00000000">
            <w:pPr>
              <w:jc w:val="center"/>
            </w:pPr>
            <w:r>
              <w:rPr>
                <w:sz w:val="17"/>
              </w:rPr>
              <w:t>13,588</w:t>
            </w:r>
          </w:p>
        </w:tc>
        <w:tc>
          <w:tcPr>
            <w:tcW w:w="1700" w:type="dxa"/>
            <w:tcBorders>
              <w:top w:val="single" w:sz="4" w:space="0" w:color="808080"/>
              <w:left w:val="single" w:sz="4" w:space="0" w:color="808080"/>
              <w:bottom w:val="single" w:sz="4" w:space="0" w:color="808080"/>
              <w:right w:val="single" w:sz="4" w:space="0" w:color="808080"/>
            </w:tcBorders>
            <w:vAlign w:val="center"/>
          </w:tcPr>
          <w:p w14:paraId="3FDBE521" w14:textId="77777777" w:rsidR="00AC30F5" w:rsidRDefault="00000000">
            <w:pPr>
              <w:jc w:val="center"/>
            </w:pPr>
            <w:r>
              <w:rPr>
                <w:sz w:val="17"/>
              </w:rPr>
              <w:t>16,485</w:t>
            </w:r>
          </w:p>
        </w:tc>
      </w:tr>
      <w:tr w:rsidR="00AC30F5" w14:paraId="76645176"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C6E97D2" w14:textId="77777777" w:rsidR="00AC30F5" w:rsidRDefault="00000000">
            <w:r>
              <w:rPr>
                <w:sz w:val="17"/>
              </w:rPr>
              <w:t>(+) Amort. + D&amp;A</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9C3524A" w14:textId="77777777" w:rsidR="00AC30F5" w:rsidRDefault="00000000">
            <w:pPr>
              <w:jc w:val="center"/>
            </w:pPr>
            <w:r>
              <w:rPr>
                <w:sz w:val="17"/>
              </w:rPr>
              <w:t>3,331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38DC98" w14:textId="77777777" w:rsidR="00AC30F5" w:rsidRDefault="00000000">
            <w:pPr>
              <w:jc w:val="center"/>
            </w:pPr>
            <w:r>
              <w:rPr>
                <w:sz w:val="17"/>
              </w:rPr>
              <w:t>3,496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173626C" w14:textId="77777777" w:rsidR="00AC30F5" w:rsidRDefault="00000000">
            <w:pPr>
              <w:jc w:val="center"/>
            </w:pPr>
            <w:r>
              <w:rPr>
                <w:sz w:val="17"/>
              </w:rPr>
              <w:t>3,646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293B3B4" w14:textId="77777777" w:rsidR="00AC30F5" w:rsidRDefault="00000000">
            <w:pPr>
              <w:jc w:val="center"/>
            </w:pPr>
            <w:r>
              <w:rPr>
                <w:sz w:val="17"/>
              </w:rPr>
              <w:t>3,656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6204F1" w14:textId="77777777" w:rsidR="00AC30F5" w:rsidRDefault="00000000">
            <w:pPr>
              <w:jc w:val="center"/>
            </w:pPr>
            <w:r>
              <w:rPr>
                <w:sz w:val="17"/>
              </w:rPr>
              <w:t>3,635</w:t>
            </w:r>
          </w:p>
        </w:tc>
      </w:tr>
      <w:tr w:rsidR="00AC30F5" w14:paraId="4C096071"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19619C0" w14:textId="77777777" w:rsidR="00AC30F5" w:rsidRDefault="00000000">
            <w:r>
              <w:rPr>
                <w:sz w:val="17"/>
              </w:rPr>
              <w:t>(−) SBC + CapEx + ΔNWC</w:t>
            </w:r>
          </w:p>
        </w:tc>
        <w:tc>
          <w:tcPr>
            <w:tcW w:w="1700" w:type="dxa"/>
            <w:tcBorders>
              <w:top w:val="single" w:sz="4" w:space="0" w:color="808080"/>
              <w:left w:val="single" w:sz="4" w:space="0" w:color="808080"/>
              <w:bottom w:val="single" w:sz="4" w:space="0" w:color="808080"/>
              <w:right w:val="single" w:sz="4" w:space="0" w:color="808080"/>
            </w:tcBorders>
            <w:vAlign w:val="center"/>
          </w:tcPr>
          <w:p w14:paraId="76669438" w14:textId="77777777" w:rsidR="00AC30F5" w:rsidRDefault="00000000">
            <w:pPr>
              <w:jc w:val="center"/>
            </w:pPr>
            <w:r>
              <w:rPr>
                <w:sz w:val="17"/>
              </w:rPr>
              <w:t>(5,639)</w:t>
            </w:r>
          </w:p>
        </w:tc>
        <w:tc>
          <w:tcPr>
            <w:tcW w:w="1700" w:type="dxa"/>
            <w:tcBorders>
              <w:top w:val="single" w:sz="4" w:space="0" w:color="808080"/>
              <w:left w:val="single" w:sz="4" w:space="0" w:color="808080"/>
              <w:bottom w:val="single" w:sz="4" w:space="0" w:color="808080"/>
              <w:right w:val="single" w:sz="4" w:space="0" w:color="808080"/>
            </w:tcBorders>
            <w:vAlign w:val="center"/>
          </w:tcPr>
          <w:p w14:paraId="58510E65" w14:textId="77777777" w:rsidR="00AC30F5" w:rsidRDefault="00000000">
            <w:pPr>
              <w:jc w:val="center"/>
            </w:pPr>
            <w:r>
              <w:rPr>
                <w:sz w:val="17"/>
              </w:rPr>
              <w:t>(5,913)</w:t>
            </w:r>
          </w:p>
        </w:tc>
        <w:tc>
          <w:tcPr>
            <w:tcW w:w="1700" w:type="dxa"/>
            <w:tcBorders>
              <w:top w:val="single" w:sz="4" w:space="0" w:color="808080"/>
              <w:left w:val="single" w:sz="4" w:space="0" w:color="808080"/>
              <w:bottom w:val="single" w:sz="4" w:space="0" w:color="808080"/>
              <w:right w:val="single" w:sz="4" w:space="0" w:color="808080"/>
            </w:tcBorders>
            <w:vAlign w:val="center"/>
          </w:tcPr>
          <w:p w14:paraId="38A22D35" w14:textId="77777777" w:rsidR="00AC30F5" w:rsidRDefault="00000000">
            <w:pPr>
              <w:jc w:val="center"/>
            </w:pPr>
            <w:r>
              <w:rPr>
                <w:sz w:val="17"/>
              </w:rPr>
              <w:t>(6,083)</w:t>
            </w:r>
          </w:p>
        </w:tc>
        <w:tc>
          <w:tcPr>
            <w:tcW w:w="1700" w:type="dxa"/>
            <w:tcBorders>
              <w:top w:val="single" w:sz="4" w:space="0" w:color="808080"/>
              <w:left w:val="single" w:sz="4" w:space="0" w:color="808080"/>
              <w:bottom w:val="single" w:sz="4" w:space="0" w:color="808080"/>
              <w:right w:val="single" w:sz="4" w:space="0" w:color="808080"/>
            </w:tcBorders>
            <w:vAlign w:val="center"/>
          </w:tcPr>
          <w:p w14:paraId="40AD0F0A" w14:textId="77777777" w:rsidR="00AC30F5" w:rsidRDefault="00000000">
            <w:pPr>
              <w:jc w:val="center"/>
            </w:pPr>
            <w:r>
              <w:rPr>
                <w:sz w:val="17"/>
              </w:rPr>
              <w:t>(6,116)</w:t>
            </w:r>
          </w:p>
        </w:tc>
        <w:tc>
          <w:tcPr>
            <w:tcW w:w="1700" w:type="dxa"/>
            <w:tcBorders>
              <w:top w:val="single" w:sz="4" w:space="0" w:color="808080"/>
              <w:left w:val="single" w:sz="4" w:space="0" w:color="808080"/>
              <w:bottom w:val="single" w:sz="4" w:space="0" w:color="808080"/>
              <w:right w:val="single" w:sz="4" w:space="0" w:color="808080"/>
            </w:tcBorders>
            <w:vAlign w:val="center"/>
          </w:tcPr>
          <w:p w14:paraId="4A26C2BB" w14:textId="77777777" w:rsidR="00AC30F5" w:rsidRDefault="00000000">
            <w:pPr>
              <w:jc w:val="center"/>
            </w:pPr>
            <w:r>
              <w:rPr>
                <w:sz w:val="17"/>
              </w:rPr>
              <w:t>(6,362)</w:t>
            </w:r>
          </w:p>
        </w:tc>
      </w:tr>
      <w:tr w:rsidR="00AC30F5" w14:paraId="2ADEA2AD"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C5A718" w14:textId="77777777" w:rsidR="00AC30F5" w:rsidRDefault="00000000">
            <w:r>
              <w:rPr>
                <w:sz w:val="17"/>
              </w:rPr>
              <w:lastRenderedPageBreak/>
              <w:t>Unlevered FCF</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A8079B" w14:textId="77777777" w:rsidR="00AC30F5" w:rsidRDefault="00000000">
            <w:pPr>
              <w:jc w:val="center"/>
            </w:pPr>
            <w:r>
              <w:rPr>
                <w:sz w:val="17"/>
              </w:rPr>
              <w:t>2,625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C388E84" w14:textId="77777777" w:rsidR="00AC30F5" w:rsidRDefault="00000000">
            <w:pPr>
              <w:jc w:val="center"/>
            </w:pPr>
            <w:r>
              <w:rPr>
                <w:sz w:val="17"/>
              </w:rPr>
              <w:t>5,161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0C0232F" w14:textId="77777777" w:rsidR="00AC30F5" w:rsidRDefault="00000000">
            <w:pPr>
              <w:jc w:val="center"/>
            </w:pPr>
            <w:r>
              <w:rPr>
                <w:sz w:val="17"/>
              </w:rPr>
              <w:t>8,009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612BBFC" w14:textId="77777777" w:rsidR="00AC30F5" w:rsidRDefault="00000000">
            <w:pPr>
              <w:jc w:val="center"/>
            </w:pPr>
            <w:r>
              <w:rPr>
                <w:sz w:val="17"/>
              </w:rPr>
              <w:t>11,128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7C27A67" w14:textId="77777777" w:rsidR="00AC30F5" w:rsidRDefault="00000000">
            <w:pPr>
              <w:jc w:val="center"/>
            </w:pPr>
            <w:r>
              <w:rPr>
                <w:sz w:val="17"/>
              </w:rPr>
              <w:t>13,759</w:t>
            </w:r>
          </w:p>
        </w:tc>
      </w:tr>
      <w:tr w:rsidR="00AC30F5" w14:paraId="26BBDADC"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3A1397D9" w14:textId="77777777" w:rsidR="00AC30F5" w:rsidRDefault="00000000">
            <w:r>
              <w:rPr>
                <w:sz w:val="17"/>
              </w:rPr>
              <w:t>Discount Factor (13.79%)</w:t>
            </w:r>
          </w:p>
        </w:tc>
        <w:tc>
          <w:tcPr>
            <w:tcW w:w="1700" w:type="dxa"/>
            <w:tcBorders>
              <w:top w:val="single" w:sz="4" w:space="0" w:color="808080"/>
              <w:left w:val="single" w:sz="4" w:space="0" w:color="808080"/>
              <w:bottom w:val="single" w:sz="4" w:space="0" w:color="808080"/>
              <w:right w:val="single" w:sz="4" w:space="0" w:color="808080"/>
            </w:tcBorders>
            <w:vAlign w:val="center"/>
          </w:tcPr>
          <w:p w14:paraId="1CB520DF" w14:textId="77777777" w:rsidR="00AC30F5" w:rsidRDefault="00000000">
            <w:pPr>
              <w:jc w:val="center"/>
            </w:pPr>
            <w:r>
              <w:rPr>
                <w:sz w:val="17"/>
              </w:rPr>
              <w:t>0.9375</w:t>
            </w:r>
          </w:p>
        </w:tc>
        <w:tc>
          <w:tcPr>
            <w:tcW w:w="1700" w:type="dxa"/>
            <w:tcBorders>
              <w:top w:val="single" w:sz="4" w:space="0" w:color="808080"/>
              <w:left w:val="single" w:sz="4" w:space="0" w:color="808080"/>
              <w:bottom w:val="single" w:sz="4" w:space="0" w:color="808080"/>
              <w:right w:val="single" w:sz="4" w:space="0" w:color="808080"/>
            </w:tcBorders>
            <w:vAlign w:val="center"/>
          </w:tcPr>
          <w:p w14:paraId="6BBAD7F6" w14:textId="77777777" w:rsidR="00AC30F5" w:rsidRDefault="00000000">
            <w:pPr>
              <w:jc w:val="center"/>
            </w:pPr>
            <w:r>
              <w:rPr>
                <w:sz w:val="17"/>
              </w:rPr>
              <w:t>0.8239</w:t>
            </w:r>
          </w:p>
        </w:tc>
        <w:tc>
          <w:tcPr>
            <w:tcW w:w="1700" w:type="dxa"/>
            <w:tcBorders>
              <w:top w:val="single" w:sz="4" w:space="0" w:color="808080"/>
              <w:left w:val="single" w:sz="4" w:space="0" w:color="808080"/>
              <w:bottom w:val="single" w:sz="4" w:space="0" w:color="808080"/>
              <w:right w:val="single" w:sz="4" w:space="0" w:color="808080"/>
            </w:tcBorders>
            <w:vAlign w:val="center"/>
          </w:tcPr>
          <w:p w14:paraId="79FBE71C" w14:textId="77777777" w:rsidR="00AC30F5" w:rsidRDefault="00000000">
            <w:pPr>
              <w:jc w:val="center"/>
            </w:pPr>
            <w:r>
              <w:rPr>
                <w:sz w:val="17"/>
              </w:rPr>
              <w:t>0.7240</w:t>
            </w:r>
          </w:p>
        </w:tc>
        <w:tc>
          <w:tcPr>
            <w:tcW w:w="1700" w:type="dxa"/>
            <w:tcBorders>
              <w:top w:val="single" w:sz="4" w:space="0" w:color="808080"/>
              <w:left w:val="single" w:sz="4" w:space="0" w:color="808080"/>
              <w:bottom w:val="single" w:sz="4" w:space="0" w:color="808080"/>
              <w:right w:val="single" w:sz="4" w:space="0" w:color="808080"/>
            </w:tcBorders>
            <w:vAlign w:val="center"/>
          </w:tcPr>
          <w:p w14:paraId="4FDE08FE" w14:textId="77777777" w:rsidR="00AC30F5" w:rsidRDefault="00000000">
            <w:pPr>
              <w:jc w:val="center"/>
            </w:pPr>
            <w:r>
              <w:rPr>
                <w:sz w:val="17"/>
              </w:rPr>
              <w:t>0.6363</w:t>
            </w:r>
          </w:p>
        </w:tc>
        <w:tc>
          <w:tcPr>
            <w:tcW w:w="1700" w:type="dxa"/>
            <w:tcBorders>
              <w:top w:val="single" w:sz="4" w:space="0" w:color="808080"/>
              <w:left w:val="single" w:sz="4" w:space="0" w:color="808080"/>
              <w:bottom w:val="single" w:sz="4" w:space="0" w:color="808080"/>
              <w:right w:val="single" w:sz="4" w:space="0" w:color="808080"/>
            </w:tcBorders>
            <w:vAlign w:val="center"/>
          </w:tcPr>
          <w:p w14:paraId="140BE0CD" w14:textId="77777777" w:rsidR="00AC30F5" w:rsidRDefault="00000000">
            <w:pPr>
              <w:jc w:val="center"/>
            </w:pPr>
            <w:r>
              <w:rPr>
                <w:sz w:val="17"/>
              </w:rPr>
              <w:t>0.5592</w:t>
            </w:r>
          </w:p>
        </w:tc>
      </w:tr>
      <w:tr w:rsidR="00AC30F5" w14:paraId="38F7510A"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C80137" w14:textId="77777777" w:rsidR="00AC30F5" w:rsidRDefault="00000000">
            <w:r>
              <w:rPr>
                <w:sz w:val="17"/>
              </w:rPr>
              <w:t>PV of FCF</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E365EA" w14:textId="77777777" w:rsidR="00AC30F5" w:rsidRDefault="00000000">
            <w:pPr>
              <w:jc w:val="center"/>
            </w:pPr>
            <w:r>
              <w:rPr>
                <w:sz w:val="17"/>
              </w:rPr>
              <w:t>2,461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C967B2" w14:textId="77777777" w:rsidR="00AC30F5" w:rsidRDefault="00000000">
            <w:pPr>
              <w:jc w:val="center"/>
            </w:pPr>
            <w:r>
              <w:rPr>
                <w:sz w:val="17"/>
              </w:rPr>
              <w:t>4,252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59BFF84" w14:textId="77777777" w:rsidR="00AC30F5" w:rsidRDefault="00000000">
            <w:pPr>
              <w:jc w:val="center"/>
            </w:pPr>
            <w:r>
              <w:rPr>
                <w:sz w:val="17"/>
              </w:rPr>
              <w:t>5,799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CA63B5A" w14:textId="77777777" w:rsidR="00AC30F5" w:rsidRDefault="00000000">
            <w:pPr>
              <w:jc w:val="center"/>
            </w:pPr>
            <w:r>
              <w:rPr>
                <w:sz w:val="17"/>
              </w:rPr>
              <w:t>7,081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03FC1B6" w14:textId="77777777" w:rsidR="00AC30F5" w:rsidRDefault="00000000">
            <w:pPr>
              <w:jc w:val="center"/>
            </w:pPr>
            <w:r>
              <w:rPr>
                <w:sz w:val="17"/>
              </w:rPr>
              <w:t>7,694</w:t>
            </w:r>
          </w:p>
        </w:tc>
      </w:tr>
      <w:tr w:rsidR="00AC30F5" w14:paraId="1274FE26"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2ECB205" w14:textId="77777777" w:rsidR="00AC30F5" w:rsidRDefault="00000000">
            <w:r>
              <w:rPr>
                <w:b/>
                <w:sz w:val="17"/>
              </w:rPr>
              <w:t>Sum PV FCF: $27,286M | PV TV: $69,862M | EV: $97,148M | Price: $58.16</w:t>
            </w:r>
          </w:p>
        </w:tc>
        <w:tc>
          <w:tcPr>
            <w:tcW w:w="1700" w:type="dxa"/>
            <w:tcBorders>
              <w:top w:val="single" w:sz="4" w:space="0" w:color="808080"/>
              <w:left w:val="single" w:sz="4" w:space="0" w:color="808080"/>
              <w:bottom w:val="single" w:sz="4" w:space="0" w:color="808080"/>
              <w:right w:val="single" w:sz="4" w:space="0" w:color="808080"/>
            </w:tcBorders>
            <w:vAlign w:val="center"/>
          </w:tcPr>
          <w:p w14:paraId="4D7624EF"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4873CABB"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1D35339D"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1D09D30C"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1CF23200" w14:textId="77777777" w:rsidR="00AC30F5" w:rsidRDefault="00AC30F5">
            <w:pPr>
              <w:jc w:val="center"/>
            </w:pPr>
          </w:p>
        </w:tc>
      </w:tr>
    </w:tbl>
    <w:p w14:paraId="2D46AA9C" w14:textId="77777777" w:rsidR="00AC30F5" w:rsidRDefault="00AC30F5">
      <w:pPr>
        <w:spacing w:after="80"/>
      </w:pPr>
    </w:p>
    <w:p w14:paraId="0B0BDBFF" w14:textId="77777777" w:rsidR="00AC30F5" w:rsidRDefault="00000000">
      <w:pPr>
        <w:spacing w:before="120" w:after="40"/>
      </w:pPr>
      <w:r>
        <w:rPr>
          <w:b/>
          <w:color w:val="1F4E78"/>
          <w:sz w:val="19"/>
        </w:rPr>
        <w:t>Table A2: Scenario C (Upper Bound) — Projected FCF Build ($M)</w:t>
      </w:r>
    </w:p>
    <w:tbl>
      <w:tblPr>
        <w:tblW w:w="0" w:type="auto"/>
        <w:jc w:val="center"/>
        <w:tblLook w:val="04A0" w:firstRow="1" w:lastRow="0" w:firstColumn="1" w:lastColumn="0" w:noHBand="0" w:noVBand="1"/>
      </w:tblPr>
      <w:tblGrid>
        <w:gridCol w:w="1700"/>
        <w:gridCol w:w="1700"/>
        <w:gridCol w:w="1700"/>
        <w:gridCol w:w="1700"/>
        <w:gridCol w:w="1700"/>
        <w:gridCol w:w="1700"/>
      </w:tblGrid>
      <w:tr w:rsidR="00AC30F5" w14:paraId="70C52886"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1037763" w14:textId="77777777" w:rsidR="00AC30F5" w:rsidRDefault="00000000">
            <w:pPr>
              <w:jc w:val="center"/>
            </w:pPr>
            <w:r>
              <w:rPr>
                <w:b/>
                <w:color w:val="FFFFFF"/>
                <w:sz w:val="17"/>
              </w:rPr>
              <w:t>Line Item</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D08022E" w14:textId="77777777" w:rsidR="00AC30F5" w:rsidRDefault="00000000">
            <w:pPr>
              <w:jc w:val="center"/>
            </w:pPr>
            <w:r>
              <w:rPr>
                <w:b/>
                <w:color w:val="FFFFFF"/>
                <w:sz w:val="17"/>
              </w:rPr>
              <w:t>FY2026</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7488A29" w14:textId="77777777" w:rsidR="00AC30F5" w:rsidRDefault="00000000">
            <w:pPr>
              <w:jc w:val="center"/>
            </w:pPr>
            <w:r>
              <w:rPr>
                <w:b/>
                <w:color w:val="FFFFFF"/>
                <w:sz w:val="17"/>
              </w:rPr>
              <w:t>FY2027</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4E90C81" w14:textId="77777777" w:rsidR="00AC30F5" w:rsidRDefault="00000000">
            <w:pPr>
              <w:jc w:val="center"/>
            </w:pPr>
            <w:r>
              <w:rPr>
                <w:b/>
                <w:color w:val="FFFFFF"/>
                <w:sz w:val="17"/>
              </w:rPr>
              <w:t>FY2028</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B9180E4" w14:textId="77777777" w:rsidR="00AC30F5" w:rsidRDefault="00000000">
            <w:pPr>
              <w:jc w:val="center"/>
            </w:pPr>
            <w:r>
              <w:rPr>
                <w:b/>
                <w:color w:val="FFFFFF"/>
                <w:sz w:val="17"/>
              </w:rPr>
              <w:t>FY2029</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80A5E01" w14:textId="77777777" w:rsidR="00AC30F5" w:rsidRDefault="00000000">
            <w:pPr>
              <w:jc w:val="center"/>
            </w:pPr>
            <w:r>
              <w:rPr>
                <w:b/>
                <w:color w:val="FFFFFF"/>
                <w:sz w:val="17"/>
              </w:rPr>
              <w:t>FY2030</w:t>
            </w:r>
          </w:p>
        </w:tc>
      </w:tr>
      <w:tr w:rsidR="00AC30F5" w14:paraId="3E384F03"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56B0868D" w14:textId="77777777" w:rsidR="00AC30F5" w:rsidRDefault="00000000">
            <w:r>
              <w:rPr>
                <w:sz w:val="17"/>
              </w:rPr>
              <w:t>Net Revenue</w:t>
            </w:r>
          </w:p>
        </w:tc>
        <w:tc>
          <w:tcPr>
            <w:tcW w:w="1700" w:type="dxa"/>
            <w:tcBorders>
              <w:top w:val="single" w:sz="4" w:space="0" w:color="808080"/>
              <w:left w:val="single" w:sz="4" w:space="0" w:color="808080"/>
              <w:bottom w:val="single" w:sz="4" w:space="0" w:color="808080"/>
              <w:right w:val="single" w:sz="4" w:space="0" w:color="808080"/>
            </w:tcBorders>
            <w:vAlign w:val="center"/>
          </w:tcPr>
          <w:p w14:paraId="4D26C263" w14:textId="77777777" w:rsidR="00AC30F5" w:rsidRDefault="00000000">
            <w:pPr>
              <w:jc w:val="center"/>
            </w:pPr>
            <w:r>
              <w:rPr>
                <w:sz w:val="17"/>
              </w:rPr>
              <w:t>47,109</w:t>
            </w:r>
          </w:p>
        </w:tc>
        <w:tc>
          <w:tcPr>
            <w:tcW w:w="1700" w:type="dxa"/>
            <w:tcBorders>
              <w:top w:val="single" w:sz="4" w:space="0" w:color="808080"/>
              <w:left w:val="single" w:sz="4" w:space="0" w:color="808080"/>
              <w:bottom w:val="single" w:sz="4" w:space="0" w:color="808080"/>
              <w:right w:val="single" w:sz="4" w:space="0" w:color="808080"/>
            </w:tcBorders>
            <w:vAlign w:val="center"/>
          </w:tcPr>
          <w:p w14:paraId="62FC30C5" w14:textId="77777777" w:rsidR="00AC30F5" w:rsidRDefault="00000000">
            <w:pPr>
              <w:jc w:val="center"/>
            </w:pPr>
            <w:r>
              <w:rPr>
                <w:sz w:val="17"/>
              </w:rPr>
              <w:t>70,663</w:t>
            </w:r>
          </w:p>
        </w:tc>
        <w:tc>
          <w:tcPr>
            <w:tcW w:w="1700" w:type="dxa"/>
            <w:tcBorders>
              <w:top w:val="single" w:sz="4" w:space="0" w:color="808080"/>
              <w:left w:val="single" w:sz="4" w:space="0" w:color="808080"/>
              <w:bottom w:val="single" w:sz="4" w:space="0" w:color="808080"/>
              <w:right w:val="single" w:sz="4" w:space="0" w:color="808080"/>
            </w:tcBorders>
            <w:vAlign w:val="center"/>
          </w:tcPr>
          <w:p w14:paraId="7FE7E97A" w14:textId="77777777" w:rsidR="00AC30F5" w:rsidRDefault="00000000">
            <w:pPr>
              <w:jc w:val="center"/>
            </w:pPr>
            <w:r>
              <w:rPr>
                <w:sz w:val="17"/>
              </w:rPr>
              <w:t>86,208</w:t>
            </w:r>
          </w:p>
        </w:tc>
        <w:tc>
          <w:tcPr>
            <w:tcW w:w="1700" w:type="dxa"/>
            <w:tcBorders>
              <w:top w:val="single" w:sz="4" w:space="0" w:color="808080"/>
              <w:left w:val="single" w:sz="4" w:space="0" w:color="808080"/>
              <w:bottom w:val="single" w:sz="4" w:space="0" w:color="808080"/>
              <w:right w:val="single" w:sz="4" w:space="0" w:color="808080"/>
            </w:tcBorders>
            <w:vAlign w:val="center"/>
          </w:tcPr>
          <w:p w14:paraId="7EF4ED72" w14:textId="77777777" w:rsidR="00AC30F5" w:rsidRDefault="00000000">
            <w:pPr>
              <w:jc w:val="center"/>
            </w:pPr>
            <w:r>
              <w:rPr>
                <w:sz w:val="17"/>
              </w:rPr>
              <w:t>100,002</w:t>
            </w:r>
          </w:p>
        </w:tc>
        <w:tc>
          <w:tcPr>
            <w:tcW w:w="1700" w:type="dxa"/>
            <w:tcBorders>
              <w:top w:val="single" w:sz="4" w:space="0" w:color="808080"/>
              <w:left w:val="single" w:sz="4" w:space="0" w:color="808080"/>
              <w:bottom w:val="single" w:sz="4" w:space="0" w:color="808080"/>
              <w:right w:val="single" w:sz="4" w:space="0" w:color="808080"/>
            </w:tcBorders>
            <w:vAlign w:val="center"/>
          </w:tcPr>
          <w:p w14:paraId="15461FA2" w14:textId="77777777" w:rsidR="00AC30F5" w:rsidRDefault="00000000">
            <w:pPr>
              <w:jc w:val="center"/>
            </w:pPr>
            <w:r>
              <w:rPr>
                <w:sz w:val="17"/>
              </w:rPr>
              <w:t>112,003</w:t>
            </w:r>
          </w:p>
        </w:tc>
      </w:tr>
      <w:tr w:rsidR="00AC30F5" w14:paraId="1FED8B27"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3BF2AB" w14:textId="77777777" w:rsidR="00AC30F5" w:rsidRDefault="00000000">
            <w:r>
              <w:rPr>
                <w:sz w:val="17"/>
              </w:rPr>
              <w:t>Gross Profit (52-56%)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D95606" w14:textId="77777777" w:rsidR="00AC30F5" w:rsidRDefault="00000000">
            <w:pPr>
              <w:jc w:val="center"/>
            </w:pPr>
            <w:r>
              <w:rPr>
                <w:sz w:val="17"/>
              </w:rPr>
              <w:t>24,497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C5FE19" w14:textId="77777777" w:rsidR="00AC30F5" w:rsidRDefault="00000000">
            <w:pPr>
              <w:jc w:val="center"/>
            </w:pPr>
            <w:r>
              <w:rPr>
                <w:sz w:val="17"/>
              </w:rPr>
              <w:t>37,452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DB1B75C" w14:textId="77777777" w:rsidR="00AC30F5" w:rsidRDefault="00000000">
            <w:pPr>
              <w:jc w:val="center"/>
            </w:pPr>
            <w:r>
              <w:rPr>
                <w:sz w:val="17"/>
              </w:rPr>
              <w:t>46,552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D419B2" w14:textId="77777777" w:rsidR="00AC30F5" w:rsidRDefault="00000000">
            <w:pPr>
              <w:jc w:val="center"/>
            </w:pPr>
            <w:r>
              <w:rPr>
                <w:sz w:val="17"/>
              </w:rPr>
              <w:t>55,001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4EA69E7" w14:textId="77777777" w:rsidR="00AC30F5" w:rsidRDefault="00000000">
            <w:pPr>
              <w:jc w:val="center"/>
            </w:pPr>
            <w:r>
              <w:rPr>
                <w:sz w:val="17"/>
              </w:rPr>
              <w:t>62,722</w:t>
            </w:r>
          </w:p>
        </w:tc>
      </w:tr>
      <w:tr w:rsidR="00AC30F5" w14:paraId="64ABD920"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77000E89" w14:textId="77777777" w:rsidR="00AC30F5" w:rsidRDefault="00000000">
            <w:r>
              <w:rPr>
                <w:sz w:val="17"/>
              </w:rPr>
              <w:t>R&amp;D (23-20%)</w:t>
            </w:r>
          </w:p>
        </w:tc>
        <w:tc>
          <w:tcPr>
            <w:tcW w:w="1700" w:type="dxa"/>
            <w:tcBorders>
              <w:top w:val="single" w:sz="4" w:space="0" w:color="808080"/>
              <w:left w:val="single" w:sz="4" w:space="0" w:color="808080"/>
              <w:bottom w:val="single" w:sz="4" w:space="0" w:color="808080"/>
              <w:right w:val="single" w:sz="4" w:space="0" w:color="808080"/>
            </w:tcBorders>
            <w:vAlign w:val="center"/>
          </w:tcPr>
          <w:p w14:paraId="583AA6E3" w14:textId="77777777" w:rsidR="00AC30F5" w:rsidRDefault="00000000">
            <w:pPr>
              <w:jc w:val="center"/>
            </w:pPr>
            <w:r>
              <w:rPr>
                <w:sz w:val="17"/>
              </w:rPr>
              <w:t>10,835</w:t>
            </w:r>
          </w:p>
        </w:tc>
        <w:tc>
          <w:tcPr>
            <w:tcW w:w="1700" w:type="dxa"/>
            <w:tcBorders>
              <w:top w:val="single" w:sz="4" w:space="0" w:color="808080"/>
              <w:left w:val="single" w:sz="4" w:space="0" w:color="808080"/>
              <w:bottom w:val="single" w:sz="4" w:space="0" w:color="808080"/>
              <w:right w:val="single" w:sz="4" w:space="0" w:color="808080"/>
            </w:tcBorders>
            <w:vAlign w:val="center"/>
          </w:tcPr>
          <w:p w14:paraId="5D213BE3" w14:textId="77777777" w:rsidR="00AC30F5" w:rsidRDefault="00000000">
            <w:pPr>
              <w:jc w:val="center"/>
            </w:pPr>
            <w:r>
              <w:rPr>
                <w:sz w:val="17"/>
              </w:rPr>
              <w:t>15,546</w:t>
            </w:r>
          </w:p>
        </w:tc>
        <w:tc>
          <w:tcPr>
            <w:tcW w:w="1700" w:type="dxa"/>
            <w:tcBorders>
              <w:top w:val="single" w:sz="4" w:space="0" w:color="808080"/>
              <w:left w:val="single" w:sz="4" w:space="0" w:color="808080"/>
              <w:bottom w:val="single" w:sz="4" w:space="0" w:color="808080"/>
              <w:right w:val="single" w:sz="4" w:space="0" w:color="808080"/>
            </w:tcBorders>
            <w:vAlign w:val="center"/>
          </w:tcPr>
          <w:p w14:paraId="5F03631B" w14:textId="77777777" w:rsidR="00AC30F5" w:rsidRDefault="00000000">
            <w:pPr>
              <w:jc w:val="center"/>
            </w:pPr>
            <w:r>
              <w:rPr>
                <w:sz w:val="17"/>
              </w:rPr>
              <w:t>18,104</w:t>
            </w:r>
          </w:p>
        </w:tc>
        <w:tc>
          <w:tcPr>
            <w:tcW w:w="1700" w:type="dxa"/>
            <w:tcBorders>
              <w:top w:val="single" w:sz="4" w:space="0" w:color="808080"/>
              <w:left w:val="single" w:sz="4" w:space="0" w:color="808080"/>
              <w:bottom w:val="single" w:sz="4" w:space="0" w:color="808080"/>
              <w:right w:val="single" w:sz="4" w:space="0" w:color="808080"/>
            </w:tcBorders>
            <w:vAlign w:val="center"/>
          </w:tcPr>
          <w:p w14:paraId="1FFDF560" w14:textId="77777777" w:rsidR="00AC30F5" w:rsidRDefault="00000000">
            <w:pPr>
              <w:jc w:val="center"/>
            </w:pPr>
            <w:r>
              <w:rPr>
                <w:sz w:val="17"/>
              </w:rPr>
              <w:t>20,000</w:t>
            </w:r>
          </w:p>
        </w:tc>
        <w:tc>
          <w:tcPr>
            <w:tcW w:w="1700" w:type="dxa"/>
            <w:tcBorders>
              <w:top w:val="single" w:sz="4" w:space="0" w:color="808080"/>
              <w:left w:val="single" w:sz="4" w:space="0" w:color="808080"/>
              <w:bottom w:val="single" w:sz="4" w:space="0" w:color="808080"/>
              <w:right w:val="single" w:sz="4" w:space="0" w:color="808080"/>
            </w:tcBorders>
            <w:vAlign w:val="center"/>
          </w:tcPr>
          <w:p w14:paraId="6CBB334C" w14:textId="77777777" w:rsidR="00AC30F5" w:rsidRDefault="00000000">
            <w:pPr>
              <w:jc w:val="center"/>
            </w:pPr>
            <w:r>
              <w:rPr>
                <w:sz w:val="17"/>
              </w:rPr>
              <w:t>22,401</w:t>
            </w:r>
          </w:p>
        </w:tc>
      </w:tr>
      <w:tr w:rsidR="00AC30F5" w14:paraId="2A21F6C6"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FB59DD5" w14:textId="77777777" w:rsidR="00AC30F5" w:rsidRDefault="00000000">
            <w:r>
              <w:rPr>
                <w:sz w:val="17"/>
              </w:rPr>
              <w:t>MG&amp;A (11-9%)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574BBDC" w14:textId="77777777" w:rsidR="00AC30F5" w:rsidRDefault="00000000">
            <w:pPr>
              <w:jc w:val="center"/>
            </w:pPr>
            <w:r>
              <w:rPr>
                <w:sz w:val="17"/>
              </w:rPr>
              <w:t>5,182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A57CBB3" w14:textId="77777777" w:rsidR="00AC30F5" w:rsidRDefault="00000000">
            <w:pPr>
              <w:jc w:val="center"/>
            </w:pPr>
            <w:r>
              <w:rPr>
                <w:sz w:val="17"/>
              </w:rPr>
              <w:t>7,420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2E77A2" w14:textId="77777777" w:rsidR="00AC30F5" w:rsidRDefault="00000000">
            <w:pPr>
              <w:jc w:val="center"/>
            </w:pPr>
            <w:r>
              <w:rPr>
                <w:sz w:val="17"/>
              </w:rPr>
              <w:t>8,621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B04105" w14:textId="77777777" w:rsidR="00AC30F5" w:rsidRDefault="00000000">
            <w:pPr>
              <w:jc w:val="center"/>
            </w:pPr>
            <w:r>
              <w:rPr>
                <w:sz w:val="17"/>
              </w:rPr>
              <w:t>9,500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EBB1503" w14:textId="77777777" w:rsidR="00AC30F5" w:rsidRDefault="00000000">
            <w:pPr>
              <w:jc w:val="center"/>
            </w:pPr>
            <w:r>
              <w:rPr>
                <w:sz w:val="17"/>
              </w:rPr>
              <w:t>10,080</w:t>
            </w:r>
          </w:p>
        </w:tc>
      </w:tr>
      <w:tr w:rsidR="00AC30F5" w14:paraId="1FCF4738"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7404DCDF" w14:textId="77777777" w:rsidR="00AC30F5" w:rsidRDefault="00000000">
            <w:r>
              <w:rPr>
                <w:sz w:val="17"/>
              </w:rPr>
              <w:t>Amort. of Acq. Intangibles</w:t>
            </w:r>
          </w:p>
        </w:tc>
        <w:tc>
          <w:tcPr>
            <w:tcW w:w="1700" w:type="dxa"/>
            <w:tcBorders>
              <w:top w:val="single" w:sz="4" w:space="0" w:color="808080"/>
              <w:left w:val="single" w:sz="4" w:space="0" w:color="808080"/>
              <w:bottom w:val="single" w:sz="4" w:space="0" w:color="808080"/>
              <w:right w:val="single" w:sz="4" w:space="0" w:color="808080"/>
            </w:tcBorders>
            <w:vAlign w:val="center"/>
          </w:tcPr>
          <w:p w14:paraId="799A5A22" w14:textId="77777777" w:rsidR="00AC30F5" w:rsidRDefault="00000000">
            <w:pPr>
              <w:jc w:val="center"/>
            </w:pPr>
            <w:r>
              <w:rPr>
                <w:sz w:val="17"/>
              </w:rPr>
              <w:t>2,153</w:t>
            </w:r>
          </w:p>
        </w:tc>
        <w:tc>
          <w:tcPr>
            <w:tcW w:w="1700" w:type="dxa"/>
            <w:tcBorders>
              <w:top w:val="single" w:sz="4" w:space="0" w:color="808080"/>
              <w:left w:val="single" w:sz="4" w:space="0" w:color="808080"/>
              <w:bottom w:val="single" w:sz="4" w:space="0" w:color="808080"/>
              <w:right w:val="single" w:sz="4" w:space="0" w:color="808080"/>
            </w:tcBorders>
            <w:vAlign w:val="center"/>
          </w:tcPr>
          <w:p w14:paraId="3180C5C2" w14:textId="77777777" w:rsidR="00AC30F5" w:rsidRDefault="00000000">
            <w:pPr>
              <w:jc w:val="center"/>
            </w:pPr>
            <w:r>
              <w:rPr>
                <w:sz w:val="17"/>
              </w:rPr>
              <w:t>2,036</w:t>
            </w:r>
          </w:p>
        </w:tc>
        <w:tc>
          <w:tcPr>
            <w:tcW w:w="1700" w:type="dxa"/>
            <w:tcBorders>
              <w:top w:val="single" w:sz="4" w:space="0" w:color="808080"/>
              <w:left w:val="single" w:sz="4" w:space="0" w:color="808080"/>
              <w:bottom w:val="single" w:sz="4" w:space="0" w:color="808080"/>
              <w:right w:val="single" w:sz="4" w:space="0" w:color="808080"/>
            </w:tcBorders>
            <w:vAlign w:val="center"/>
          </w:tcPr>
          <w:p w14:paraId="342F839C" w14:textId="77777777" w:rsidR="00AC30F5" w:rsidRDefault="00000000">
            <w:pPr>
              <w:jc w:val="center"/>
            </w:pPr>
            <w:r>
              <w:rPr>
                <w:sz w:val="17"/>
              </w:rPr>
              <w:t>1,923</w:t>
            </w:r>
          </w:p>
        </w:tc>
        <w:tc>
          <w:tcPr>
            <w:tcW w:w="1700" w:type="dxa"/>
            <w:tcBorders>
              <w:top w:val="single" w:sz="4" w:space="0" w:color="808080"/>
              <w:left w:val="single" w:sz="4" w:space="0" w:color="808080"/>
              <w:bottom w:val="single" w:sz="4" w:space="0" w:color="808080"/>
              <w:right w:val="single" w:sz="4" w:space="0" w:color="808080"/>
            </w:tcBorders>
            <w:vAlign w:val="center"/>
          </w:tcPr>
          <w:p w14:paraId="1DD8D33D" w14:textId="77777777" w:rsidR="00AC30F5" w:rsidRDefault="00000000">
            <w:pPr>
              <w:jc w:val="center"/>
            </w:pPr>
            <w:r>
              <w:rPr>
                <w:sz w:val="17"/>
              </w:rPr>
              <w:t>1,691</w:t>
            </w:r>
          </w:p>
        </w:tc>
        <w:tc>
          <w:tcPr>
            <w:tcW w:w="1700" w:type="dxa"/>
            <w:tcBorders>
              <w:top w:val="single" w:sz="4" w:space="0" w:color="808080"/>
              <w:left w:val="single" w:sz="4" w:space="0" w:color="808080"/>
              <w:bottom w:val="single" w:sz="4" w:space="0" w:color="808080"/>
              <w:right w:val="single" w:sz="4" w:space="0" w:color="808080"/>
            </w:tcBorders>
            <w:vAlign w:val="center"/>
          </w:tcPr>
          <w:p w14:paraId="222C7D4A" w14:textId="77777777" w:rsidR="00AC30F5" w:rsidRDefault="00000000">
            <w:pPr>
              <w:jc w:val="center"/>
            </w:pPr>
            <w:r>
              <w:rPr>
                <w:sz w:val="17"/>
              </w:rPr>
              <w:t>1,454</w:t>
            </w:r>
          </w:p>
        </w:tc>
      </w:tr>
      <w:tr w:rsidR="00AC30F5" w14:paraId="11447751"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DEBDFD2" w14:textId="77777777" w:rsidR="00AC30F5" w:rsidRDefault="00000000">
            <w:r>
              <w:rPr>
                <w:sz w:val="17"/>
              </w:rPr>
              <w:t>EBIT</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CF66923" w14:textId="77777777" w:rsidR="00AC30F5" w:rsidRDefault="00000000">
            <w:pPr>
              <w:jc w:val="center"/>
            </w:pPr>
            <w:r>
              <w:rPr>
                <w:sz w:val="17"/>
              </w:rPr>
              <w:t>6,327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42C2247" w14:textId="77777777" w:rsidR="00AC30F5" w:rsidRDefault="00000000">
            <w:pPr>
              <w:jc w:val="center"/>
            </w:pPr>
            <w:r>
              <w:rPr>
                <w:sz w:val="17"/>
              </w:rPr>
              <w:t>12,450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C2BF156" w14:textId="77777777" w:rsidR="00AC30F5" w:rsidRDefault="00000000">
            <w:pPr>
              <w:jc w:val="center"/>
            </w:pPr>
            <w:r>
              <w:rPr>
                <w:sz w:val="17"/>
              </w:rPr>
              <w:t>17,904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CD6272B" w14:textId="77777777" w:rsidR="00AC30F5" w:rsidRDefault="00000000">
            <w:pPr>
              <w:jc w:val="center"/>
            </w:pPr>
            <w:r>
              <w:rPr>
                <w:sz w:val="17"/>
              </w:rPr>
              <w:t>23,810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EA95592" w14:textId="77777777" w:rsidR="00AC30F5" w:rsidRDefault="00000000">
            <w:pPr>
              <w:jc w:val="center"/>
            </w:pPr>
            <w:r>
              <w:rPr>
                <w:sz w:val="17"/>
              </w:rPr>
              <w:t>28,787</w:t>
            </w:r>
          </w:p>
        </w:tc>
      </w:tr>
      <w:tr w:rsidR="00AC30F5" w14:paraId="57BC3BAF"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AA21786" w14:textId="77777777" w:rsidR="00AC30F5" w:rsidRDefault="00000000">
            <w:r>
              <w:rPr>
                <w:sz w:val="17"/>
              </w:rPr>
              <w:t>NOPAT (19% tax)</w:t>
            </w:r>
          </w:p>
        </w:tc>
        <w:tc>
          <w:tcPr>
            <w:tcW w:w="1700" w:type="dxa"/>
            <w:tcBorders>
              <w:top w:val="single" w:sz="4" w:space="0" w:color="808080"/>
              <w:left w:val="single" w:sz="4" w:space="0" w:color="808080"/>
              <w:bottom w:val="single" w:sz="4" w:space="0" w:color="808080"/>
              <w:right w:val="single" w:sz="4" w:space="0" w:color="808080"/>
            </w:tcBorders>
            <w:vAlign w:val="center"/>
          </w:tcPr>
          <w:p w14:paraId="076D32E5" w14:textId="77777777" w:rsidR="00AC30F5" w:rsidRDefault="00000000">
            <w:pPr>
              <w:jc w:val="center"/>
            </w:pPr>
            <w:r>
              <w:rPr>
                <w:sz w:val="17"/>
              </w:rPr>
              <w:t>5,125</w:t>
            </w:r>
          </w:p>
        </w:tc>
        <w:tc>
          <w:tcPr>
            <w:tcW w:w="1700" w:type="dxa"/>
            <w:tcBorders>
              <w:top w:val="single" w:sz="4" w:space="0" w:color="808080"/>
              <w:left w:val="single" w:sz="4" w:space="0" w:color="808080"/>
              <w:bottom w:val="single" w:sz="4" w:space="0" w:color="808080"/>
              <w:right w:val="single" w:sz="4" w:space="0" w:color="808080"/>
            </w:tcBorders>
            <w:vAlign w:val="center"/>
          </w:tcPr>
          <w:p w14:paraId="03462C0C" w14:textId="77777777" w:rsidR="00AC30F5" w:rsidRDefault="00000000">
            <w:pPr>
              <w:jc w:val="center"/>
            </w:pPr>
            <w:r>
              <w:rPr>
                <w:sz w:val="17"/>
              </w:rPr>
              <w:t>10,085</w:t>
            </w:r>
          </w:p>
        </w:tc>
        <w:tc>
          <w:tcPr>
            <w:tcW w:w="1700" w:type="dxa"/>
            <w:tcBorders>
              <w:top w:val="single" w:sz="4" w:space="0" w:color="808080"/>
              <w:left w:val="single" w:sz="4" w:space="0" w:color="808080"/>
              <w:bottom w:val="single" w:sz="4" w:space="0" w:color="808080"/>
              <w:right w:val="single" w:sz="4" w:space="0" w:color="808080"/>
            </w:tcBorders>
            <w:vAlign w:val="center"/>
          </w:tcPr>
          <w:p w14:paraId="36148C52" w14:textId="77777777" w:rsidR="00AC30F5" w:rsidRDefault="00000000">
            <w:pPr>
              <w:jc w:val="center"/>
            </w:pPr>
            <w:r>
              <w:rPr>
                <w:sz w:val="17"/>
              </w:rPr>
              <w:t>14,503</w:t>
            </w:r>
          </w:p>
        </w:tc>
        <w:tc>
          <w:tcPr>
            <w:tcW w:w="1700" w:type="dxa"/>
            <w:tcBorders>
              <w:top w:val="single" w:sz="4" w:space="0" w:color="808080"/>
              <w:left w:val="single" w:sz="4" w:space="0" w:color="808080"/>
              <w:bottom w:val="single" w:sz="4" w:space="0" w:color="808080"/>
              <w:right w:val="single" w:sz="4" w:space="0" w:color="808080"/>
            </w:tcBorders>
            <w:vAlign w:val="center"/>
          </w:tcPr>
          <w:p w14:paraId="4D57F5F7" w14:textId="77777777" w:rsidR="00AC30F5" w:rsidRDefault="00000000">
            <w:pPr>
              <w:jc w:val="center"/>
            </w:pPr>
            <w:r>
              <w:rPr>
                <w:sz w:val="17"/>
              </w:rPr>
              <w:t>19,286</w:t>
            </w:r>
          </w:p>
        </w:tc>
        <w:tc>
          <w:tcPr>
            <w:tcW w:w="1700" w:type="dxa"/>
            <w:tcBorders>
              <w:top w:val="single" w:sz="4" w:space="0" w:color="808080"/>
              <w:left w:val="single" w:sz="4" w:space="0" w:color="808080"/>
              <w:bottom w:val="single" w:sz="4" w:space="0" w:color="808080"/>
              <w:right w:val="single" w:sz="4" w:space="0" w:color="808080"/>
            </w:tcBorders>
            <w:vAlign w:val="center"/>
          </w:tcPr>
          <w:p w14:paraId="4283DCD9" w14:textId="77777777" w:rsidR="00AC30F5" w:rsidRDefault="00000000">
            <w:pPr>
              <w:jc w:val="center"/>
            </w:pPr>
            <w:r>
              <w:rPr>
                <w:sz w:val="17"/>
              </w:rPr>
              <w:t>23,317</w:t>
            </w:r>
          </w:p>
        </w:tc>
      </w:tr>
      <w:tr w:rsidR="00AC30F5" w14:paraId="6BCF2043"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B4A9405" w14:textId="77777777" w:rsidR="00AC30F5" w:rsidRDefault="00000000">
            <w:r>
              <w:rPr>
                <w:sz w:val="17"/>
              </w:rPr>
              <w:t>(+) Amort. + D&amp;A</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1D6FCA" w14:textId="77777777" w:rsidR="00AC30F5" w:rsidRDefault="00000000">
            <w:pPr>
              <w:jc w:val="center"/>
            </w:pPr>
            <w:r>
              <w:rPr>
                <w:sz w:val="17"/>
              </w:rPr>
              <w:t>3,331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F56687C" w14:textId="77777777" w:rsidR="00AC30F5" w:rsidRDefault="00000000">
            <w:pPr>
              <w:jc w:val="center"/>
            </w:pPr>
            <w:r>
              <w:rPr>
                <w:sz w:val="17"/>
              </w:rPr>
              <w:t>3,803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0F31732" w14:textId="77777777" w:rsidR="00AC30F5" w:rsidRDefault="00000000">
            <w:pPr>
              <w:jc w:val="center"/>
            </w:pPr>
            <w:r>
              <w:rPr>
                <w:sz w:val="17"/>
              </w:rPr>
              <w:t>4,078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8CD8AD8" w14:textId="77777777" w:rsidR="00AC30F5" w:rsidRDefault="00000000">
            <w:pPr>
              <w:jc w:val="center"/>
            </w:pPr>
            <w:r>
              <w:rPr>
                <w:sz w:val="17"/>
              </w:rPr>
              <w:t>4,191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054445A" w14:textId="77777777" w:rsidR="00AC30F5" w:rsidRDefault="00000000">
            <w:pPr>
              <w:jc w:val="center"/>
            </w:pPr>
            <w:r>
              <w:rPr>
                <w:sz w:val="17"/>
              </w:rPr>
              <w:t>4,254</w:t>
            </w:r>
          </w:p>
        </w:tc>
      </w:tr>
      <w:tr w:rsidR="00AC30F5" w14:paraId="052FA24D"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4159604" w14:textId="77777777" w:rsidR="00AC30F5" w:rsidRDefault="00000000">
            <w:r>
              <w:rPr>
                <w:sz w:val="17"/>
              </w:rPr>
              <w:t>(−) SBC + CapEx + ΔNWC</w:t>
            </w:r>
          </w:p>
        </w:tc>
        <w:tc>
          <w:tcPr>
            <w:tcW w:w="1700" w:type="dxa"/>
            <w:tcBorders>
              <w:top w:val="single" w:sz="4" w:space="0" w:color="808080"/>
              <w:left w:val="single" w:sz="4" w:space="0" w:color="808080"/>
              <w:bottom w:val="single" w:sz="4" w:space="0" w:color="808080"/>
              <w:right w:val="single" w:sz="4" w:space="0" w:color="808080"/>
            </w:tcBorders>
            <w:vAlign w:val="center"/>
          </w:tcPr>
          <w:p w14:paraId="4B28CBAE" w14:textId="77777777" w:rsidR="00AC30F5" w:rsidRDefault="00000000">
            <w:pPr>
              <w:jc w:val="center"/>
            </w:pPr>
            <w:r>
              <w:rPr>
                <w:sz w:val="17"/>
              </w:rPr>
              <w:t>(7,002)</w:t>
            </w:r>
          </w:p>
        </w:tc>
        <w:tc>
          <w:tcPr>
            <w:tcW w:w="1700" w:type="dxa"/>
            <w:tcBorders>
              <w:top w:val="single" w:sz="4" w:space="0" w:color="808080"/>
              <w:left w:val="single" w:sz="4" w:space="0" w:color="808080"/>
              <w:bottom w:val="single" w:sz="4" w:space="0" w:color="808080"/>
              <w:right w:val="single" w:sz="4" w:space="0" w:color="808080"/>
            </w:tcBorders>
            <w:vAlign w:val="center"/>
          </w:tcPr>
          <w:p w14:paraId="771A9CD6" w14:textId="77777777" w:rsidR="00AC30F5" w:rsidRDefault="00000000">
            <w:pPr>
              <w:jc w:val="center"/>
            </w:pPr>
            <w:r>
              <w:rPr>
                <w:sz w:val="17"/>
              </w:rPr>
              <w:t>(9,337)</w:t>
            </w:r>
          </w:p>
        </w:tc>
        <w:tc>
          <w:tcPr>
            <w:tcW w:w="1700" w:type="dxa"/>
            <w:tcBorders>
              <w:top w:val="single" w:sz="4" w:space="0" w:color="808080"/>
              <w:left w:val="single" w:sz="4" w:space="0" w:color="808080"/>
              <w:bottom w:val="single" w:sz="4" w:space="0" w:color="808080"/>
              <w:right w:val="single" w:sz="4" w:space="0" w:color="808080"/>
            </w:tcBorders>
            <w:vAlign w:val="center"/>
          </w:tcPr>
          <w:p w14:paraId="52FFBAA6" w14:textId="77777777" w:rsidR="00AC30F5" w:rsidRDefault="00000000">
            <w:pPr>
              <w:jc w:val="center"/>
            </w:pPr>
            <w:r>
              <w:rPr>
                <w:sz w:val="17"/>
              </w:rPr>
              <w:t>(9,250)</w:t>
            </w:r>
          </w:p>
        </w:tc>
        <w:tc>
          <w:tcPr>
            <w:tcW w:w="1700" w:type="dxa"/>
            <w:tcBorders>
              <w:top w:val="single" w:sz="4" w:space="0" w:color="808080"/>
              <w:left w:val="single" w:sz="4" w:space="0" w:color="808080"/>
              <w:bottom w:val="single" w:sz="4" w:space="0" w:color="808080"/>
              <w:right w:val="single" w:sz="4" w:space="0" w:color="808080"/>
            </w:tcBorders>
            <w:vAlign w:val="center"/>
          </w:tcPr>
          <w:p w14:paraId="37A8445A" w14:textId="77777777" w:rsidR="00AC30F5" w:rsidRDefault="00000000">
            <w:pPr>
              <w:jc w:val="center"/>
            </w:pPr>
            <w:r>
              <w:rPr>
                <w:sz w:val="17"/>
              </w:rPr>
              <w:t>(8,346)</w:t>
            </w:r>
          </w:p>
        </w:tc>
        <w:tc>
          <w:tcPr>
            <w:tcW w:w="1700" w:type="dxa"/>
            <w:tcBorders>
              <w:top w:val="single" w:sz="4" w:space="0" w:color="808080"/>
              <w:left w:val="single" w:sz="4" w:space="0" w:color="808080"/>
              <w:bottom w:val="single" w:sz="4" w:space="0" w:color="808080"/>
              <w:right w:val="single" w:sz="4" w:space="0" w:color="808080"/>
            </w:tcBorders>
            <w:vAlign w:val="center"/>
          </w:tcPr>
          <w:p w14:paraId="4D530690" w14:textId="77777777" w:rsidR="00AC30F5" w:rsidRDefault="00000000">
            <w:pPr>
              <w:jc w:val="center"/>
            </w:pPr>
            <w:r>
              <w:rPr>
                <w:sz w:val="17"/>
              </w:rPr>
              <w:t>(8,240)</w:t>
            </w:r>
          </w:p>
        </w:tc>
      </w:tr>
      <w:tr w:rsidR="00AC30F5" w14:paraId="558D694C"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720B3D" w14:textId="77777777" w:rsidR="00AC30F5" w:rsidRDefault="00000000">
            <w:r>
              <w:rPr>
                <w:sz w:val="17"/>
              </w:rPr>
              <w:t>Unlevered FCF</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25DD88" w14:textId="77777777" w:rsidR="00AC30F5" w:rsidRDefault="00000000">
            <w:pPr>
              <w:jc w:val="center"/>
            </w:pPr>
            <w:r>
              <w:rPr>
                <w:sz w:val="17"/>
              </w:rPr>
              <w:t>1,454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8B070FD" w14:textId="77777777" w:rsidR="00AC30F5" w:rsidRDefault="00000000">
            <w:pPr>
              <w:jc w:val="center"/>
            </w:pPr>
            <w:r>
              <w:rPr>
                <w:sz w:val="17"/>
              </w:rPr>
              <w:t>4,551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3EB77CB" w14:textId="77777777" w:rsidR="00AC30F5" w:rsidRDefault="00000000">
            <w:pPr>
              <w:jc w:val="center"/>
            </w:pPr>
            <w:r>
              <w:rPr>
                <w:sz w:val="17"/>
              </w:rPr>
              <w:t>9,331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5F9770" w14:textId="77777777" w:rsidR="00AC30F5" w:rsidRDefault="00000000">
            <w:pPr>
              <w:jc w:val="center"/>
            </w:pPr>
            <w:r>
              <w:rPr>
                <w:sz w:val="17"/>
              </w:rPr>
              <w:t>15,131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D4184B7" w14:textId="77777777" w:rsidR="00AC30F5" w:rsidRDefault="00000000">
            <w:pPr>
              <w:jc w:val="center"/>
            </w:pPr>
            <w:r>
              <w:rPr>
                <w:sz w:val="17"/>
              </w:rPr>
              <w:t>19,331</w:t>
            </w:r>
          </w:p>
        </w:tc>
      </w:tr>
      <w:tr w:rsidR="00AC30F5" w14:paraId="0F5F9B6F"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2D0D7C86" w14:textId="77777777" w:rsidR="00AC30F5" w:rsidRDefault="00000000">
            <w:r>
              <w:rPr>
                <w:sz w:val="17"/>
              </w:rPr>
              <w:t>Discount Factor (12.50%)</w:t>
            </w:r>
          </w:p>
        </w:tc>
        <w:tc>
          <w:tcPr>
            <w:tcW w:w="1700" w:type="dxa"/>
            <w:tcBorders>
              <w:top w:val="single" w:sz="4" w:space="0" w:color="808080"/>
              <w:left w:val="single" w:sz="4" w:space="0" w:color="808080"/>
              <w:bottom w:val="single" w:sz="4" w:space="0" w:color="808080"/>
              <w:right w:val="single" w:sz="4" w:space="0" w:color="808080"/>
            </w:tcBorders>
            <w:vAlign w:val="center"/>
          </w:tcPr>
          <w:p w14:paraId="796EFA71" w14:textId="77777777" w:rsidR="00AC30F5" w:rsidRDefault="00000000">
            <w:pPr>
              <w:jc w:val="center"/>
            </w:pPr>
            <w:r>
              <w:rPr>
                <w:sz w:val="17"/>
              </w:rPr>
              <w:t>0.9437</w:t>
            </w:r>
          </w:p>
        </w:tc>
        <w:tc>
          <w:tcPr>
            <w:tcW w:w="1700" w:type="dxa"/>
            <w:tcBorders>
              <w:top w:val="single" w:sz="4" w:space="0" w:color="808080"/>
              <w:left w:val="single" w:sz="4" w:space="0" w:color="808080"/>
              <w:bottom w:val="single" w:sz="4" w:space="0" w:color="808080"/>
              <w:right w:val="single" w:sz="4" w:space="0" w:color="808080"/>
            </w:tcBorders>
            <w:vAlign w:val="center"/>
          </w:tcPr>
          <w:p w14:paraId="318AB21E" w14:textId="77777777" w:rsidR="00AC30F5" w:rsidRDefault="00000000">
            <w:pPr>
              <w:jc w:val="center"/>
            </w:pPr>
            <w:r>
              <w:rPr>
                <w:sz w:val="17"/>
              </w:rPr>
              <w:t>0.8388</w:t>
            </w:r>
          </w:p>
        </w:tc>
        <w:tc>
          <w:tcPr>
            <w:tcW w:w="1700" w:type="dxa"/>
            <w:tcBorders>
              <w:top w:val="single" w:sz="4" w:space="0" w:color="808080"/>
              <w:left w:val="single" w:sz="4" w:space="0" w:color="808080"/>
              <w:bottom w:val="single" w:sz="4" w:space="0" w:color="808080"/>
              <w:right w:val="single" w:sz="4" w:space="0" w:color="808080"/>
            </w:tcBorders>
            <w:vAlign w:val="center"/>
          </w:tcPr>
          <w:p w14:paraId="30E0067C" w14:textId="77777777" w:rsidR="00AC30F5" w:rsidRDefault="00000000">
            <w:pPr>
              <w:jc w:val="center"/>
            </w:pPr>
            <w:r>
              <w:rPr>
                <w:sz w:val="17"/>
              </w:rPr>
              <w:t>0.7457</w:t>
            </w:r>
          </w:p>
        </w:tc>
        <w:tc>
          <w:tcPr>
            <w:tcW w:w="1700" w:type="dxa"/>
            <w:tcBorders>
              <w:top w:val="single" w:sz="4" w:space="0" w:color="808080"/>
              <w:left w:val="single" w:sz="4" w:space="0" w:color="808080"/>
              <w:bottom w:val="single" w:sz="4" w:space="0" w:color="808080"/>
              <w:right w:val="single" w:sz="4" w:space="0" w:color="808080"/>
            </w:tcBorders>
            <w:vAlign w:val="center"/>
          </w:tcPr>
          <w:p w14:paraId="1D6597DE" w14:textId="77777777" w:rsidR="00AC30F5" w:rsidRDefault="00000000">
            <w:pPr>
              <w:jc w:val="center"/>
            </w:pPr>
            <w:r>
              <w:rPr>
                <w:sz w:val="17"/>
              </w:rPr>
              <w:t>0.6629</w:t>
            </w:r>
          </w:p>
        </w:tc>
        <w:tc>
          <w:tcPr>
            <w:tcW w:w="1700" w:type="dxa"/>
            <w:tcBorders>
              <w:top w:val="single" w:sz="4" w:space="0" w:color="808080"/>
              <w:left w:val="single" w:sz="4" w:space="0" w:color="808080"/>
              <w:bottom w:val="single" w:sz="4" w:space="0" w:color="808080"/>
              <w:right w:val="single" w:sz="4" w:space="0" w:color="808080"/>
            </w:tcBorders>
            <w:vAlign w:val="center"/>
          </w:tcPr>
          <w:p w14:paraId="5D7FEACD" w14:textId="77777777" w:rsidR="00AC30F5" w:rsidRDefault="00000000">
            <w:pPr>
              <w:jc w:val="center"/>
            </w:pPr>
            <w:r>
              <w:rPr>
                <w:sz w:val="17"/>
              </w:rPr>
              <w:t>0.5892</w:t>
            </w:r>
          </w:p>
        </w:tc>
      </w:tr>
      <w:tr w:rsidR="00AC30F5" w14:paraId="6E5D33A9"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DAA672" w14:textId="77777777" w:rsidR="00AC30F5" w:rsidRDefault="00000000">
            <w:r>
              <w:rPr>
                <w:sz w:val="17"/>
              </w:rPr>
              <w:t>PV of FCF</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C305B4D" w14:textId="77777777" w:rsidR="00AC30F5" w:rsidRDefault="00000000">
            <w:pPr>
              <w:jc w:val="center"/>
            </w:pPr>
            <w:r>
              <w:rPr>
                <w:sz w:val="17"/>
              </w:rPr>
              <w:t>1,372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2B646E" w14:textId="77777777" w:rsidR="00AC30F5" w:rsidRDefault="00000000">
            <w:pPr>
              <w:jc w:val="center"/>
            </w:pPr>
            <w:r>
              <w:rPr>
                <w:sz w:val="17"/>
              </w:rPr>
              <w:t>3,817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B88011" w14:textId="77777777" w:rsidR="00AC30F5" w:rsidRDefault="00000000">
            <w:pPr>
              <w:jc w:val="center"/>
            </w:pPr>
            <w:r>
              <w:rPr>
                <w:sz w:val="17"/>
              </w:rPr>
              <w:t>6,957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615D72E" w14:textId="77777777" w:rsidR="00AC30F5" w:rsidRDefault="00000000">
            <w:pPr>
              <w:jc w:val="center"/>
            </w:pPr>
            <w:r>
              <w:rPr>
                <w:sz w:val="17"/>
              </w:rPr>
              <w:t>10,031</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EECD2BB" w14:textId="77777777" w:rsidR="00AC30F5" w:rsidRDefault="00000000">
            <w:pPr>
              <w:jc w:val="center"/>
            </w:pPr>
            <w:r>
              <w:rPr>
                <w:sz w:val="17"/>
              </w:rPr>
              <w:t>11,389</w:t>
            </w:r>
          </w:p>
        </w:tc>
      </w:tr>
      <w:tr w:rsidR="00AC30F5" w14:paraId="055A6464"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0893D189" w14:textId="77777777" w:rsidR="00AC30F5" w:rsidRDefault="00000000">
            <w:r>
              <w:rPr>
                <w:b/>
                <w:sz w:val="17"/>
              </w:rPr>
              <w:t>Sum PV FCF: $36,991M | PV TV: $116,627M | EV: $153,618M | Price: $89.60</w:t>
            </w:r>
          </w:p>
        </w:tc>
        <w:tc>
          <w:tcPr>
            <w:tcW w:w="1700" w:type="dxa"/>
            <w:tcBorders>
              <w:top w:val="single" w:sz="4" w:space="0" w:color="808080"/>
              <w:left w:val="single" w:sz="4" w:space="0" w:color="808080"/>
              <w:bottom w:val="single" w:sz="4" w:space="0" w:color="808080"/>
              <w:right w:val="single" w:sz="4" w:space="0" w:color="808080"/>
            </w:tcBorders>
            <w:vAlign w:val="center"/>
          </w:tcPr>
          <w:p w14:paraId="29DA210E"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3032D6FA"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296DF3D6"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7A30295D" w14:textId="77777777" w:rsidR="00AC30F5" w:rsidRDefault="00AC30F5">
            <w:pPr>
              <w:jc w:val="center"/>
            </w:pPr>
          </w:p>
        </w:tc>
        <w:tc>
          <w:tcPr>
            <w:tcW w:w="1700" w:type="dxa"/>
            <w:tcBorders>
              <w:top w:val="single" w:sz="4" w:space="0" w:color="808080"/>
              <w:left w:val="single" w:sz="4" w:space="0" w:color="808080"/>
              <w:bottom w:val="single" w:sz="4" w:space="0" w:color="808080"/>
              <w:right w:val="single" w:sz="4" w:space="0" w:color="808080"/>
            </w:tcBorders>
            <w:vAlign w:val="center"/>
          </w:tcPr>
          <w:p w14:paraId="24AFBFB6" w14:textId="77777777" w:rsidR="00AC30F5" w:rsidRDefault="00AC30F5">
            <w:pPr>
              <w:jc w:val="center"/>
            </w:pPr>
          </w:p>
        </w:tc>
      </w:tr>
    </w:tbl>
    <w:p w14:paraId="77C9F770" w14:textId="77777777" w:rsidR="00AC30F5" w:rsidRDefault="00AC30F5">
      <w:pPr>
        <w:spacing w:after="80"/>
      </w:pPr>
    </w:p>
    <w:p w14:paraId="1A267CD9" w14:textId="77777777" w:rsidR="00AC30F5" w:rsidRDefault="00000000">
      <w:pPr>
        <w:pStyle w:val="Heading1"/>
      </w:pPr>
      <w:r>
        <w:t>Appendix B: Reverse DCF Detail at $480</w:t>
      </w:r>
    </w:p>
    <w:p w14:paraId="51905FBB" w14:textId="77777777" w:rsidR="00AC30F5" w:rsidRDefault="00000000">
      <w:pPr>
        <w:spacing w:before="120" w:after="40"/>
      </w:pPr>
      <w:r>
        <w:rPr>
          <w:b/>
          <w:color w:val="1F4E78"/>
          <w:sz w:val="19"/>
        </w:rPr>
        <w:t>Table B1: Reverse DCF Computation</w:t>
      </w:r>
    </w:p>
    <w:tbl>
      <w:tblPr>
        <w:tblW w:w="0" w:type="auto"/>
        <w:jc w:val="center"/>
        <w:tblLook w:val="04A0" w:firstRow="1" w:lastRow="0" w:firstColumn="1" w:lastColumn="0" w:noHBand="0" w:noVBand="1"/>
      </w:tblPr>
      <w:tblGrid>
        <w:gridCol w:w="3400"/>
        <w:gridCol w:w="3400"/>
        <w:gridCol w:w="3400"/>
      </w:tblGrid>
      <w:tr w:rsidR="00AC30F5" w14:paraId="55EBC53F"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AB56D0A" w14:textId="77777777" w:rsidR="00AC30F5" w:rsidRDefault="00000000">
            <w:pPr>
              <w:jc w:val="center"/>
            </w:pPr>
            <w:r>
              <w:rPr>
                <w:b/>
                <w:color w:val="FFFFFF"/>
                <w:sz w:val="17"/>
              </w:rPr>
              <w:t>Step</w:t>
            </w:r>
          </w:p>
        </w:tc>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0D24E5E3" w14:textId="77777777" w:rsidR="00AC30F5" w:rsidRDefault="00000000">
            <w:pPr>
              <w:jc w:val="center"/>
            </w:pPr>
            <w:r>
              <w:rPr>
                <w:b/>
                <w:color w:val="FFFFFF"/>
                <w:sz w:val="17"/>
              </w:rPr>
              <w:t>Calculation</w:t>
            </w:r>
          </w:p>
        </w:tc>
        <w:tc>
          <w:tcPr>
            <w:tcW w:w="34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B93F35B" w14:textId="77777777" w:rsidR="00AC30F5" w:rsidRDefault="00000000">
            <w:pPr>
              <w:jc w:val="center"/>
            </w:pPr>
            <w:r>
              <w:rPr>
                <w:b/>
                <w:color w:val="FFFFFF"/>
                <w:sz w:val="17"/>
              </w:rPr>
              <w:t>Result</w:t>
            </w:r>
          </w:p>
        </w:tc>
      </w:tr>
      <w:tr w:rsidR="00AC30F5" w14:paraId="18AFEC1E"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50FADDE6" w14:textId="77777777" w:rsidR="00AC30F5" w:rsidRDefault="00000000">
            <w:r>
              <w:rPr>
                <w:sz w:val="17"/>
              </w:rPr>
              <w:t>Market Price</w:t>
            </w:r>
          </w:p>
        </w:tc>
        <w:tc>
          <w:tcPr>
            <w:tcW w:w="3400" w:type="dxa"/>
            <w:tcBorders>
              <w:top w:val="single" w:sz="4" w:space="0" w:color="808080"/>
              <w:left w:val="single" w:sz="4" w:space="0" w:color="808080"/>
              <w:bottom w:val="single" w:sz="4" w:space="0" w:color="808080"/>
              <w:right w:val="single" w:sz="4" w:space="0" w:color="808080"/>
            </w:tcBorders>
            <w:vAlign w:val="center"/>
          </w:tcPr>
          <w:p w14:paraId="431F9C7E" w14:textId="77777777" w:rsidR="00AC30F5" w:rsidRDefault="00000000">
            <w:pPr>
              <w:jc w:val="center"/>
            </w:pPr>
            <w:r>
              <w:rPr>
                <w:sz w:val="17"/>
              </w:rPr>
              <w:t>AMD closing price, 5 August 2026</w:t>
            </w:r>
          </w:p>
        </w:tc>
        <w:tc>
          <w:tcPr>
            <w:tcW w:w="3400" w:type="dxa"/>
            <w:tcBorders>
              <w:top w:val="single" w:sz="4" w:space="0" w:color="808080"/>
              <w:left w:val="single" w:sz="4" w:space="0" w:color="808080"/>
              <w:bottom w:val="single" w:sz="4" w:space="0" w:color="808080"/>
              <w:right w:val="single" w:sz="4" w:space="0" w:color="808080"/>
            </w:tcBorders>
            <w:vAlign w:val="center"/>
          </w:tcPr>
          <w:p w14:paraId="2EC362BE" w14:textId="77777777" w:rsidR="00AC30F5" w:rsidRDefault="00000000">
            <w:pPr>
              <w:jc w:val="center"/>
            </w:pPr>
            <w:r>
              <w:rPr>
                <w:sz w:val="17"/>
              </w:rPr>
              <w:t>$480.00</w:t>
            </w:r>
          </w:p>
        </w:tc>
      </w:tr>
      <w:tr w:rsidR="00AC30F5" w14:paraId="10193070"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001ED40" w14:textId="77777777" w:rsidR="00AC30F5" w:rsidRDefault="00000000">
            <w:r>
              <w:rPr>
                <w:sz w:val="17"/>
              </w:rPr>
              <w:lastRenderedPageBreak/>
              <w:t>Diluted Shares</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4F78C7C" w14:textId="77777777" w:rsidR="00AC30F5" w:rsidRDefault="00000000">
            <w:pPr>
              <w:jc w:val="center"/>
            </w:pPr>
            <w:r>
              <w:rPr>
                <w:sz w:val="17"/>
              </w:rPr>
              <w:t>1,636M base + 160M OpenAI warrant</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D561E4" w14:textId="77777777" w:rsidR="00AC30F5" w:rsidRDefault="00000000">
            <w:pPr>
              <w:jc w:val="center"/>
            </w:pPr>
            <w:r>
              <w:rPr>
                <w:sz w:val="17"/>
              </w:rPr>
              <w:t>1,796M</w:t>
            </w:r>
          </w:p>
        </w:tc>
      </w:tr>
      <w:tr w:rsidR="00AC30F5" w14:paraId="0CBD3970"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3163EC8A" w14:textId="77777777" w:rsidR="00AC30F5" w:rsidRDefault="00000000">
            <w:r>
              <w:rPr>
                <w:b/>
                <w:sz w:val="17"/>
              </w:rPr>
              <w:t>Implied Market Equity Value</w:t>
            </w:r>
          </w:p>
        </w:tc>
        <w:tc>
          <w:tcPr>
            <w:tcW w:w="3400" w:type="dxa"/>
            <w:tcBorders>
              <w:top w:val="single" w:sz="4" w:space="0" w:color="808080"/>
              <w:left w:val="single" w:sz="4" w:space="0" w:color="808080"/>
              <w:bottom w:val="single" w:sz="4" w:space="0" w:color="808080"/>
              <w:right w:val="single" w:sz="4" w:space="0" w:color="808080"/>
            </w:tcBorders>
            <w:vAlign w:val="center"/>
          </w:tcPr>
          <w:p w14:paraId="61763848" w14:textId="77777777" w:rsidR="00AC30F5" w:rsidRDefault="00000000">
            <w:pPr>
              <w:jc w:val="center"/>
            </w:pPr>
            <w:r>
              <w:rPr>
                <w:sz w:val="17"/>
              </w:rPr>
              <w:t>1,796M × $480</w:t>
            </w:r>
          </w:p>
        </w:tc>
        <w:tc>
          <w:tcPr>
            <w:tcW w:w="3400" w:type="dxa"/>
            <w:tcBorders>
              <w:top w:val="single" w:sz="4" w:space="0" w:color="808080"/>
              <w:left w:val="single" w:sz="4" w:space="0" w:color="808080"/>
              <w:bottom w:val="single" w:sz="4" w:space="0" w:color="808080"/>
              <w:right w:val="single" w:sz="4" w:space="0" w:color="808080"/>
            </w:tcBorders>
            <w:vAlign w:val="center"/>
          </w:tcPr>
          <w:p w14:paraId="0F5A0D4F" w14:textId="77777777" w:rsidR="00AC30F5" w:rsidRDefault="00000000">
            <w:pPr>
              <w:jc w:val="center"/>
            </w:pPr>
            <w:r>
              <w:rPr>
                <w:sz w:val="17"/>
              </w:rPr>
              <w:t>$862,080M</w:t>
            </w:r>
          </w:p>
        </w:tc>
      </w:tr>
      <w:tr w:rsidR="00AC30F5" w14:paraId="0351E378"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25137D5" w14:textId="77777777" w:rsidR="00AC30F5" w:rsidRDefault="00000000">
            <w:r>
              <w:rPr>
                <w:sz w:val="17"/>
              </w:rPr>
              <w:t>Net Debt</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D7BE6C" w14:textId="77777777" w:rsidR="00AC30F5" w:rsidRDefault="00000000">
            <w:pPr>
              <w:jc w:val="center"/>
            </w:pPr>
            <w:r>
              <w:rPr>
                <w:sz w:val="17"/>
              </w:rPr>
              <w:t>$3,250M debt − $10,552M cash</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FB0F91F" w14:textId="77777777" w:rsidR="00AC30F5" w:rsidRDefault="00000000">
            <w:pPr>
              <w:jc w:val="center"/>
            </w:pPr>
            <w:r>
              <w:rPr>
                <w:sz w:val="17"/>
              </w:rPr>
              <w:t>($7,302M)</w:t>
            </w:r>
          </w:p>
        </w:tc>
      </w:tr>
      <w:tr w:rsidR="00AC30F5" w14:paraId="13AAC262"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779037D3" w14:textId="77777777" w:rsidR="00AC30F5" w:rsidRDefault="00000000">
            <w:r>
              <w:rPr>
                <w:b/>
                <w:sz w:val="17"/>
              </w:rPr>
              <w:t>Implied Market Enterprise Value</w:t>
            </w:r>
          </w:p>
        </w:tc>
        <w:tc>
          <w:tcPr>
            <w:tcW w:w="3400" w:type="dxa"/>
            <w:tcBorders>
              <w:top w:val="single" w:sz="4" w:space="0" w:color="808080"/>
              <w:left w:val="single" w:sz="4" w:space="0" w:color="808080"/>
              <w:bottom w:val="single" w:sz="4" w:space="0" w:color="808080"/>
              <w:right w:val="single" w:sz="4" w:space="0" w:color="808080"/>
            </w:tcBorders>
            <w:vAlign w:val="center"/>
          </w:tcPr>
          <w:p w14:paraId="72BA938F" w14:textId="77777777" w:rsidR="00AC30F5" w:rsidRDefault="00000000">
            <w:pPr>
              <w:jc w:val="center"/>
            </w:pPr>
            <w:r>
              <w:rPr>
                <w:sz w:val="17"/>
              </w:rPr>
              <w:t>$862,080M + ($7,302M)</w:t>
            </w:r>
          </w:p>
        </w:tc>
        <w:tc>
          <w:tcPr>
            <w:tcW w:w="3400" w:type="dxa"/>
            <w:tcBorders>
              <w:top w:val="single" w:sz="4" w:space="0" w:color="808080"/>
              <w:left w:val="single" w:sz="4" w:space="0" w:color="808080"/>
              <w:bottom w:val="single" w:sz="4" w:space="0" w:color="808080"/>
              <w:right w:val="single" w:sz="4" w:space="0" w:color="808080"/>
            </w:tcBorders>
            <w:vAlign w:val="center"/>
          </w:tcPr>
          <w:p w14:paraId="7ABBDA18" w14:textId="77777777" w:rsidR="00AC30F5" w:rsidRDefault="00000000">
            <w:pPr>
              <w:jc w:val="center"/>
            </w:pPr>
            <w:r>
              <w:rPr>
                <w:sz w:val="17"/>
              </w:rPr>
              <w:t>$854,778M</w:t>
            </w:r>
          </w:p>
        </w:tc>
      </w:tr>
      <w:tr w:rsidR="00AC30F5" w14:paraId="69955581"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8EFE03A" w14:textId="77777777" w:rsidR="00AC30F5" w:rsidRDefault="00000000">
            <w:r>
              <w:rPr>
                <w:sz w:val="17"/>
              </w:rPr>
              <w:t>PV of Explicit FCFs (Scenario A)</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579D481" w14:textId="77777777" w:rsidR="00AC30F5" w:rsidRDefault="00000000">
            <w:pPr>
              <w:jc w:val="center"/>
            </w:pPr>
            <w:r>
              <w:rPr>
                <w:sz w:val="17"/>
              </w:rPr>
              <w:t>From DCF model</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DDA44FB" w14:textId="77777777" w:rsidR="00AC30F5" w:rsidRDefault="00000000">
            <w:pPr>
              <w:jc w:val="center"/>
            </w:pPr>
            <w:r>
              <w:rPr>
                <w:sz w:val="17"/>
              </w:rPr>
              <w:t>$27,286M</w:t>
            </w:r>
          </w:p>
        </w:tc>
      </w:tr>
      <w:tr w:rsidR="00AC30F5" w14:paraId="00017B3A"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20FE2DAD" w14:textId="77777777" w:rsidR="00AC30F5" w:rsidRDefault="00000000">
            <w:r>
              <w:rPr>
                <w:sz w:val="17"/>
              </w:rPr>
              <w:t>Implied PV of Terminal Value</w:t>
            </w:r>
          </w:p>
        </w:tc>
        <w:tc>
          <w:tcPr>
            <w:tcW w:w="3400" w:type="dxa"/>
            <w:tcBorders>
              <w:top w:val="single" w:sz="4" w:space="0" w:color="808080"/>
              <w:left w:val="single" w:sz="4" w:space="0" w:color="808080"/>
              <w:bottom w:val="single" w:sz="4" w:space="0" w:color="808080"/>
              <w:right w:val="single" w:sz="4" w:space="0" w:color="808080"/>
            </w:tcBorders>
            <w:vAlign w:val="center"/>
          </w:tcPr>
          <w:p w14:paraId="522B0A55" w14:textId="77777777" w:rsidR="00AC30F5" w:rsidRDefault="00000000">
            <w:pPr>
              <w:jc w:val="center"/>
            </w:pPr>
            <w:r>
              <w:rPr>
                <w:sz w:val="17"/>
              </w:rPr>
              <w:t>$854,778M − $27,286M</w:t>
            </w:r>
          </w:p>
        </w:tc>
        <w:tc>
          <w:tcPr>
            <w:tcW w:w="3400" w:type="dxa"/>
            <w:tcBorders>
              <w:top w:val="single" w:sz="4" w:space="0" w:color="808080"/>
              <w:left w:val="single" w:sz="4" w:space="0" w:color="808080"/>
              <w:bottom w:val="single" w:sz="4" w:space="0" w:color="808080"/>
              <w:right w:val="single" w:sz="4" w:space="0" w:color="808080"/>
            </w:tcBorders>
            <w:vAlign w:val="center"/>
          </w:tcPr>
          <w:p w14:paraId="58383977" w14:textId="77777777" w:rsidR="00AC30F5" w:rsidRDefault="00000000">
            <w:pPr>
              <w:jc w:val="center"/>
            </w:pPr>
            <w:r>
              <w:rPr>
                <w:sz w:val="17"/>
              </w:rPr>
              <w:t>$827,492M</w:t>
            </w:r>
          </w:p>
        </w:tc>
      </w:tr>
      <w:tr w:rsidR="00AC30F5" w14:paraId="6E31FCA3"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3E11040" w14:textId="77777777" w:rsidR="00AC30F5" w:rsidRDefault="00000000">
            <w:r>
              <w:rPr>
                <w:sz w:val="17"/>
              </w:rPr>
              <w:t>WACC (held constant)</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C393938" w14:textId="77777777" w:rsidR="00AC30F5" w:rsidRDefault="00000000">
            <w:pPr>
              <w:jc w:val="center"/>
            </w:pPr>
            <w:r>
              <w:rPr>
                <w:sz w:val="17"/>
              </w:rPr>
              <w:t>13.79%</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A551C78" w14:textId="77777777" w:rsidR="00AC30F5" w:rsidRDefault="00AC30F5">
            <w:pPr>
              <w:jc w:val="center"/>
            </w:pPr>
          </w:p>
        </w:tc>
      </w:tr>
      <w:tr w:rsidR="00AC30F5" w14:paraId="37721FA3"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0EB5D947" w14:textId="77777777" w:rsidR="00AC30F5" w:rsidRDefault="00000000">
            <w:r>
              <w:rPr>
                <w:sz w:val="17"/>
              </w:rPr>
              <w:t>Terminal Growth (held constant)</w:t>
            </w:r>
          </w:p>
        </w:tc>
        <w:tc>
          <w:tcPr>
            <w:tcW w:w="3400" w:type="dxa"/>
            <w:tcBorders>
              <w:top w:val="single" w:sz="4" w:space="0" w:color="808080"/>
              <w:left w:val="single" w:sz="4" w:space="0" w:color="808080"/>
              <w:bottom w:val="single" w:sz="4" w:space="0" w:color="808080"/>
              <w:right w:val="single" w:sz="4" w:space="0" w:color="808080"/>
            </w:tcBorders>
            <w:vAlign w:val="center"/>
          </w:tcPr>
          <w:p w14:paraId="715D272C" w14:textId="77777777" w:rsidR="00AC30F5" w:rsidRDefault="00000000">
            <w:pPr>
              <w:jc w:val="center"/>
            </w:pPr>
            <w:r>
              <w:rPr>
                <w:sz w:val="17"/>
              </w:rPr>
              <w:t>2.50%</w:t>
            </w:r>
          </w:p>
        </w:tc>
        <w:tc>
          <w:tcPr>
            <w:tcW w:w="3400" w:type="dxa"/>
            <w:tcBorders>
              <w:top w:val="single" w:sz="4" w:space="0" w:color="808080"/>
              <w:left w:val="single" w:sz="4" w:space="0" w:color="808080"/>
              <w:bottom w:val="single" w:sz="4" w:space="0" w:color="808080"/>
              <w:right w:val="single" w:sz="4" w:space="0" w:color="808080"/>
            </w:tcBorders>
            <w:vAlign w:val="center"/>
          </w:tcPr>
          <w:p w14:paraId="1DB4AD89" w14:textId="77777777" w:rsidR="00AC30F5" w:rsidRDefault="00AC30F5">
            <w:pPr>
              <w:jc w:val="center"/>
            </w:pPr>
          </w:p>
        </w:tc>
      </w:tr>
      <w:tr w:rsidR="00AC30F5" w14:paraId="497C0F38"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03472E7" w14:textId="77777777" w:rsidR="00AC30F5" w:rsidRDefault="00000000">
            <w:r>
              <w:rPr>
                <w:sz w:val="17"/>
              </w:rPr>
              <w:t>Year-5 Discount Factor</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728D4B8" w14:textId="77777777" w:rsidR="00AC30F5" w:rsidRDefault="00000000">
            <w:pPr>
              <w:jc w:val="center"/>
            </w:pPr>
            <w:r>
              <w:rPr>
                <w:sz w:val="17"/>
              </w:rPr>
              <w:t>1 / (1.1379)^4.5</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47577A7" w14:textId="77777777" w:rsidR="00AC30F5" w:rsidRDefault="00000000">
            <w:pPr>
              <w:jc w:val="center"/>
            </w:pPr>
            <w:r>
              <w:rPr>
                <w:sz w:val="17"/>
              </w:rPr>
              <w:t>0.5592</w:t>
            </w:r>
          </w:p>
        </w:tc>
      </w:tr>
      <w:tr w:rsidR="00AC30F5" w14:paraId="2FEE1951"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3760B11C" w14:textId="77777777" w:rsidR="00AC30F5" w:rsidRDefault="00000000">
            <w:r>
              <w:rPr>
                <w:sz w:val="17"/>
              </w:rPr>
              <w:t>Implied Terminal FCF (2030)</w:t>
            </w:r>
          </w:p>
        </w:tc>
        <w:tc>
          <w:tcPr>
            <w:tcW w:w="3400" w:type="dxa"/>
            <w:tcBorders>
              <w:top w:val="single" w:sz="4" w:space="0" w:color="808080"/>
              <w:left w:val="single" w:sz="4" w:space="0" w:color="808080"/>
              <w:bottom w:val="single" w:sz="4" w:space="0" w:color="808080"/>
              <w:right w:val="single" w:sz="4" w:space="0" w:color="808080"/>
            </w:tcBorders>
            <w:vAlign w:val="center"/>
          </w:tcPr>
          <w:p w14:paraId="137749E1" w14:textId="77777777" w:rsidR="00AC30F5" w:rsidRDefault="00000000">
            <w:pPr>
              <w:jc w:val="center"/>
            </w:pPr>
            <w:r>
              <w:rPr>
                <w:sz w:val="17"/>
              </w:rPr>
              <w:t>$827,492M × (0.1379-0.025) / (1.025 × 0.5592)</w:t>
            </w:r>
          </w:p>
        </w:tc>
        <w:tc>
          <w:tcPr>
            <w:tcW w:w="3400" w:type="dxa"/>
            <w:tcBorders>
              <w:top w:val="single" w:sz="4" w:space="0" w:color="808080"/>
              <w:left w:val="single" w:sz="4" w:space="0" w:color="808080"/>
              <w:bottom w:val="single" w:sz="4" w:space="0" w:color="808080"/>
              <w:right w:val="single" w:sz="4" w:space="0" w:color="808080"/>
            </w:tcBorders>
            <w:vAlign w:val="center"/>
          </w:tcPr>
          <w:p w14:paraId="6259F3E2" w14:textId="77777777" w:rsidR="00AC30F5" w:rsidRDefault="00000000">
            <w:pPr>
              <w:jc w:val="center"/>
            </w:pPr>
            <w:r>
              <w:rPr>
                <w:sz w:val="17"/>
              </w:rPr>
              <w:t>$162,968M</w:t>
            </w:r>
          </w:p>
        </w:tc>
      </w:tr>
      <w:tr w:rsidR="00AC30F5" w14:paraId="0EFC8A57"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4E07B3" w14:textId="77777777" w:rsidR="00AC30F5" w:rsidRDefault="00000000">
            <w:r>
              <w:rPr>
                <w:sz w:val="17"/>
              </w:rPr>
              <w:t>Model Scenario A 2030 FCF</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88A3E9C" w14:textId="77777777" w:rsidR="00AC30F5" w:rsidRDefault="00000000">
            <w:pPr>
              <w:jc w:val="center"/>
            </w:pPr>
            <w:r>
              <w:rPr>
                <w:sz w:val="17"/>
              </w:rPr>
              <w:t>From base DCF</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A90C5AF" w14:textId="77777777" w:rsidR="00AC30F5" w:rsidRDefault="00000000">
            <w:pPr>
              <w:jc w:val="center"/>
            </w:pPr>
            <w:r>
              <w:rPr>
                <w:sz w:val="17"/>
              </w:rPr>
              <w:t>$13,759M</w:t>
            </w:r>
          </w:p>
        </w:tc>
      </w:tr>
      <w:tr w:rsidR="00AC30F5" w14:paraId="32586AD4"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0953F530" w14:textId="77777777" w:rsidR="00AC30F5" w:rsidRDefault="00000000">
            <w:r>
              <w:rPr>
                <w:sz w:val="17"/>
              </w:rPr>
              <w:t>Model Scenario C 2030 FCF</w:t>
            </w:r>
          </w:p>
        </w:tc>
        <w:tc>
          <w:tcPr>
            <w:tcW w:w="3400" w:type="dxa"/>
            <w:tcBorders>
              <w:top w:val="single" w:sz="4" w:space="0" w:color="808080"/>
              <w:left w:val="single" w:sz="4" w:space="0" w:color="808080"/>
              <w:bottom w:val="single" w:sz="4" w:space="0" w:color="808080"/>
              <w:right w:val="single" w:sz="4" w:space="0" w:color="808080"/>
            </w:tcBorders>
            <w:vAlign w:val="center"/>
          </w:tcPr>
          <w:p w14:paraId="74F1F426" w14:textId="77777777" w:rsidR="00AC30F5" w:rsidRDefault="00000000">
            <w:pPr>
              <w:jc w:val="center"/>
            </w:pPr>
            <w:r>
              <w:rPr>
                <w:sz w:val="17"/>
              </w:rPr>
              <w:t>From revised DCF</w:t>
            </w:r>
          </w:p>
        </w:tc>
        <w:tc>
          <w:tcPr>
            <w:tcW w:w="3400" w:type="dxa"/>
            <w:tcBorders>
              <w:top w:val="single" w:sz="4" w:space="0" w:color="808080"/>
              <w:left w:val="single" w:sz="4" w:space="0" w:color="808080"/>
              <w:bottom w:val="single" w:sz="4" w:space="0" w:color="808080"/>
              <w:right w:val="single" w:sz="4" w:space="0" w:color="808080"/>
            </w:tcBorders>
            <w:vAlign w:val="center"/>
          </w:tcPr>
          <w:p w14:paraId="01303B1D" w14:textId="77777777" w:rsidR="00AC30F5" w:rsidRDefault="00000000">
            <w:pPr>
              <w:jc w:val="center"/>
            </w:pPr>
            <w:r>
              <w:rPr>
                <w:sz w:val="17"/>
              </w:rPr>
              <w:t>$19,331M</w:t>
            </w:r>
          </w:p>
        </w:tc>
      </w:tr>
      <w:tr w:rsidR="00AC30F5" w14:paraId="0571B7B4" w14:textId="77777777">
        <w:trP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070FB3" w14:textId="77777777" w:rsidR="00AC30F5" w:rsidRDefault="00000000">
            <w:r>
              <w:rPr>
                <w:sz w:val="17"/>
              </w:rPr>
              <w:t>Market Premium vs Scenario A</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AF20C58" w14:textId="77777777" w:rsidR="00AC30F5" w:rsidRDefault="00000000">
            <w:pPr>
              <w:jc w:val="center"/>
            </w:pPr>
            <w:r>
              <w:rPr>
                <w:sz w:val="17"/>
              </w:rPr>
              <w:t>($162,968 − $13,759) / $13,759</w:t>
            </w:r>
          </w:p>
        </w:tc>
        <w:tc>
          <w:tcPr>
            <w:tcW w:w="3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2D08B03" w14:textId="77777777" w:rsidR="00AC30F5" w:rsidRDefault="00000000">
            <w:pPr>
              <w:jc w:val="center"/>
            </w:pPr>
            <w:r>
              <w:rPr>
                <w:sz w:val="17"/>
              </w:rPr>
              <w:t>+1,084%</w:t>
            </w:r>
          </w:p>
        </w:tc>
      </w:tr>
      <w:tr w:rsidR="00AC30F5" w14:paraId="2268483F" w14:textId="77777777">
        <w:trPr>
          <w:jc w:val="center"/>
        </w:trPr>
        <w:tc>
          <w:tcPr>
            <w:tcW w:w="3400" w:type="dxa"/>
            <w:tcBorders>
              <w:top w:val="single" w:sz="4" w:space="0" w:color="808080"/>
              <w:left w:val="single" w:sz="4" w:space="0" w:color="808080"/>
              <w:bottom w:val="single" w:sz="4" w:space="0" w:color="808080"/>
              <w:right w:val="single" w:sz="4" w:space="0" w:color="808080"/>
            </w:tcBorders>
            <w:vAlign w:val="center"/>
          </w:tcPr>
          <w:p w14:paraId="76A11E0C" w14:textId="77777777" w:rsidR="00AC30F5" w:rsidRDefault="00000000">
            <w:r>
              <w:rPr>
                <w:sz w:val="17"/>
              </w:rPr>
              <w:t>Market Premium vs Scenario C</w:t>
            </w:r>
          </w:p>
        </w:tc>
        <w:tc>
          <w:tcPr>
            <w:tcW w:w="3400" w:type="dxa"/>
            <w:tcBorders>
              <w:top w:val="single" w:sz="4" w:space="0" w:color="808080"/>
              <w:left w:val="single" w:sz="4" w:space="0" w:color="808080"/>
              <w:bottom w:val="single" w:sz="4" w:space="0" w:color="808080"/>
              <w:right w:val="single" w:sz="4" w:space="0" w:color="808080"/>
            </w:tcBorders>
            <w:vAlign w:val="center"/>
          </w:tcPr>
          <w:p w14:paraId="1E0AB244" w14:textId="77777777" w:rsidR="00AC30F5" w:rsidRDefault="00000000">
            <w:pPr>
              <w:jc w:val="center"/>
            </w:pPr>
            <w:r>
              <w:rPr>
                <w:sz w:val="17"/>
              </w:rPr>
              <w:t>($162,968 − $19,331) / $19,331</w:t>
            </w:r>
          </w:p>
        </w:tc>
        <w:tc>
          <w:tcPr>
            <w:tcW w:w="3400" w:type="dxa"/>
            <w:tcBorders>
              <w:top w:val="single" w:sz="4" w:space="0" w:color="808080"/>
              <w:left w:val="single" w:sz="4" w:space="0" w:color="808080"/>
              <w:bottom w:val="single" w:sz="4" w:space="0" w:color="808080"/>
              <w:right w:val="single" w:sz="4" w:space="0" w:color="808080"/>
            </w:tcBorders>
            <w:vAlign w:val="center"/>
          </w:tcPr>
          <w:p w14:paraId="1B659094" w14:textId="77777777" w:rsidR="00AC30F5" w:rsidRDefault="00000000">
            <w:pPr>
              <w:jc w:val="center"/>
            </w:pPr>
            <w:r>
              <w:rPr>
                <w:sz w:val="17"/>
              </w:rPr>
              <w:t>+743%</w:t>
            </w:r>
          </w:p>
        </w:tc>
      </w:tr>
    </w:tbl>
    <w:p w14:paraId="15A8617F" w14:textId="77777777" w:rsidR="00AC30F5" w:rsidRDefault="00AC30F5">
      <w:pPr>
        <w:spacing w:after="80"/>
      </w:pPr>
    </w:p>
    <w:p w14:paraId="77B0F8FC" w14:textId="77777777" w:rsidR="00AC30F5" w:rsidRDefault="00000000">
      <w:pPr>
        <w:pStyle w:val="Heading1"/>
      </w:pPr>
      <w:r>
        <w:t>Appendix C: Two-Way Sensitivity (Scenario A Base)</w:t>
      </w:r>
    </w:p>
    <w:p w14:paraId="5B4CD00F" w14:textId="77777777" w:rsidR="00AC30F5" w:rsidRDefault="00000000">
      <w:pPr>
        <w:spacing w:after="80"/>
        <w:jc w:val="both"/>
      </w:pPr>
      <w:r>
        <w:t>Table C1 presents the two-way sensitivity of the implied share price to WACC (11-16%) and terminal growth rate (1.5-3.5%), holding all operating assumptions at Scenario A levels. Even at the most optimistic corner (WACC 11%, g 3.5%), the implied price of $86.53 remains 82% below the $480 market price.</w:t>
      </w:r>
    </w:p>
    <w:p w14:paraId="2CD6BAAC" w14:textId="77777777" w:rsidR="00AC30F5" w:rsidRDefault="00000000">
      <w:pPr>
        <w:spacing w:before="120" w:after="40"/>
      </w:pPr>
      <w:r>
        <w:rPr>
          <w:b/>
          <w:color w:val="1F4E78"/>
          <w:sz w:val="19"/>
        </w:rPr>
        <w:t>Table C1: Two-Way Sensitivity — Implied Share Price ($)</w:t>
      </w:r>
    </w:p>
    <w:tbl>
      <w:tblPr>
        <w:tblW w:w="0" w:type="auto"/>
        <w:jc w:val="center"/>
        <w:tblLook w:val="04A0" w:firstRow="1" w:lastRow="0" w:firstColumn="1" w:lastColumn="0" w:noHBand="0" w:noVBand="1"/>
      </w:tblPr>
      <w:tblGrid>
        <w:gridCol w:w="1700"/>
        <w:gridCol w:w="1700"/>
        <w:gridCol w:w="1700"/>
        <w:gridCol w:w="1700"/>
        <w:gridCol w:w="1700"/>
        <w:gridCol w:w="1700"/>
      </w:tblGrid>
      <w:tr w:rsidR="00AC30F5" w14:paraId="4AFE9CB6"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44C42F8D" w14:textId="77777777" w:rsidR="00AC30F5" w:rsidRDefault="00000000">
            <w:pPr>
              <w:jc w:val="center"/>
            </w:pPr>
            <w:r>
              <w:rPr>
                <w:b/>
                <w:color w:val="FFFFFF"/>
                <w:sz w:val="17"/>
              </w:rPr>
              <w:t>WACC \ g</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3561109C" w14:textId="77777777" w:rsidR="00AC30F5" w:rsidRDefault="00000000">
            <w:pPr>
              <w:jc w:val="center"/>
            </w:pPr>
            <w:r>
              <w:rPr>
                <w:b/>
                <w:color w:val="FFFFFF"/>
                <w:sz w:val="17"/>
              </w:rPr>
              <w:t>1.5%</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7C70916" w14:textId="77777777" w:rsidR="00AC30F5" w:rsidRDefault="00000000">
            <w:pPr>
              <w:jc w:val="center"/>
            </w:pPr>
            <w:r>
              <w:rPr>
                <w:b/>
                <w:color w:val="FFFFFF"/>
                <w:sz w:val="17"/>
              </w:rPr>
              <w:t>2.0%</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59B477B8" w14:textId="77777777" w:rsidR="00AC30F5" w:rsidRDefault="00000000">
            <w:pPr>
              <w:jc w:val="center"/>
            </w:pPr>
            <w:r>
              <w:rPr>
                <w:b/>
                <w:color w:val="FFFFFF"/>
                <w:sz w:val="17"/>
              </w:rPr>
              <w:t>2.5% (Base)</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7B61A8CE" w14:textId="77777777" w:rsidR="00AC30F5" w:rsidRDefault="00000000">
            <w:pPr>
              <w:jc w:val="center"/>
            </w:pPr>
            <w:r>
              <w:rPr>
                <w:b/>
                <w:color w:val="FFFFFF"/>
                <w:sz w:val="17"/>
              </w:rPr>
              <w:t>3.0%</w:t>
            </w:r>
          </w:p>
        </w:tc>
        <w:tc>
          <w:tcPr>
            <w:tcW w:w="170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6C95D44E" w14:textId="77777777" w:rsidR="00AC30F5" w:rsidRDefault="00000000">
            <w:pPr>
              <w:jc w:val="center"/>
            </w:pPr>
            <w:r>
              <w:rPr>
                <w:b/>
                <w:color w:val="FFFFFF"/>
                <w:sz w:val="17"/>
              </w:rPr>
              <w:t>3.5%</w:t>
            </w:r>
          </w:p>
        </w:tc>
      </w:tr>
      <w:tr w:rsidR="00AC30F5" w14:paraId="37278556"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24CECD02" w14:textId="77777777" w:rsidR="00AC30F5" w:rsidRDefault="00000000">
            <w:r>
              <w:rPr>
                <w:sz w:val="17"/>
              </w:rPr>
              <w:t>11.00%</w:t>
            </w:r>
          </w:p>
        </w:tc>
        <w:tc>
          <w:tcPr>
            <w:tcW w:w="1700" w:type="dxa"/>
            <w:tcBorders>
              <w:top w:val="single" w:sz="4" w:space="0" w:color="808080"/>
              <w:left w:val="single" w:sz="4" w:space="0" w:color="808080"/>
              <w:bottom w:val="single" w:sz="4" w:space="0" w:color="808080"/>
              <w:right w:val="single" w:sz="4" w:space="0" w:color="808080"/>
            </w:tcBorders>
            <w:vAlign w:val="center"/>
          </w:tcPr>
          <w:p w14:paraId="2C9B85DE" w14:textId="77777777" w:rsidR="00AC30F5" w:rsidRDefault="00000000">
            <w:pPr>
              <w:jc w:val="center"/>
            </w:pPr>
            <w:r>
              <w:rPr>
                <w:sz w:val="17"/>
              </w:rPr>
              <w:t>$71.61</w:t>
            </w:r>
          </w:p>
        </w:tc>
        <w:tc>
          <w:tcPr>
            <w:tcW w:w="1700" w:type="dxa"/>
            <w:tcBorders>
              <w:top w:val="single" w:sz="4" w:space="0" w:color="808080"/>
              <w:left w:val="single" w:sz="4" w:space="0" w:color="808080"/>
              <w:bottom w:val="single" w:sz="4" w:space="0" w:color="808080"/>
              <w:right w:val="single" w:sz="4" w:space="0" w:color="808080"/>
            </w:tcBorders>
            <w:vAlign w:val="center"/>
          </w:tcPr>
          <w:p w14:paraId="656B5BB4" w14:textId="77777777" w:rsidR="00AC30F5" w:rsidRDefault="00000000">
            <w:pPr>
              <w:jc w:val="center"/>
            </w:pPr>
            <w:r>
              <w:rPr>
                <w:sz w:val="17"/>
              </w:rPr>
              <w:t>$74.72</w:t>
            </w:r>
          </w:p>
        </w:tc>
        <w:tc>
          <w:tcPr>
            <w:tcW w:w="1700" w:type="dxa"/>
            <w:tcBorders>
              <w:top w:val="single" w:sz="4" w:space="0" w:color="808080"/>
              <w:left w:val="single" w:sz="4" w:space="0" w:color="808080"/>
              <w:bottom w:val="single" w:sz="4" w:space="0" w:color="808080"/>
              <w:right w:val="single" w:sz="4" w:space="0" w:color="808080"/>
            </w:tcBorders>
            <w:vAlign w:val="center"/>
          </w:tcPr>
          <w:p w14:paraId="62AA0239" w14:textId="77777777" w:rsidR="00AC30F5" w:rsidRDefault="00000000">
            <w:pPr>
              <w:jc w:val="center"/>
            </w:pPr>
            <w:r>
              <w:rPr>
                <w:sz w:val="17"/>
              </w:rPr>
              <w:t>$78.19</w:t>
            </w:r>
          </w:p>
        </w:tc>
        <w:tc>
          <w:tcPr>
            <w:tcW w:w="1700" w:type="dxa"/>
            <w:tcBorders>
              <w:top w:val="single" w:sz="4" w:space="0" w:color="808080"/>
              <w:left w:val="single" w:sz="4" w:space="0" w:color="808080"/>
              <w:bottom w:val="single" w:sz="4" w:space="0" w:color="808080"/>
              <w:right w:val="single" w:sz="4" w:space="0" w:color="808080"/>
            </w:tcBorders>
            <w:vAlign w:val="center"/>
          </w:tcPr>
          <w:p w14:paraId="2F242BE2" w14:textId="77777777" w:rsidR="00AC30F5" w:rsidRDefault="00000000">
            <w:pPr>
              <w:jc w:val="center"/>
            </w:pPr>
            <w:r>
              <w:rPr>
                <w:sz w:val="17"/>
              </w:rPr>
              <w:t>$82.10</w:t>
            </w:r>
          </w:p>
        </w:tc>
        <w:tc>
          <w:tcPr>
            <w:tcW w:w="1700" w:type="dxa"/>
            <w:tcBorders>
              <w:top w:val="single" w:sz="4" w:space="0" w:color="808080"/>
              <w:left w:val="single" w:sz="4" w:space="0" w:color="808080"/>
              <w:bottom w:val="single" w:sz="4" w:space="0" w:color="808080"/>
              <w:right w:val="single" w:sz="4" w:space="0" w:color="808080"/>
            </w:tcBorders>
            <w:vAlign w:val="center"/>
          </w:tcPr>
          <w:p w14:paraId="19B45B84" w14:textId="77777777" w:rsidR="00AC30F5" w:rsidRDefault="00000000">
            <w:pPr>
              <w:jc w:val="center"/>
            </w:pPr>
            <w:r>
              <w:rPr>
                <w:sz w:val="17"/>
              </w:rPr>
              <w:t>$86.53</w:t>
            </w:r>
          </w:p>
        </w:tc>
      </w:tr>
      <w:tr w:rsidR="00AC30F5" w14:paraId="708D0A1C"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32F86E" w14:textId="77777777" w:rsidR="00AC30F5" w:rsidRDefault="00000000">
            <w:r>
              <w:rPr>
                <w:sz w:val="17"/>
              </w:rPr>
              <w:t>12.00%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7152AC" w14:textId="77777777" w:rsidR="00AC30F5" w:rsidRDefault="00000000">
            <w:pPr>
              <w:jc w:val="center"/>
            </w:pPr>
            <w:r>
              <w:rPr>
                <w:sz w:val="17"/>
              </w:rPr>
              <w:t>$64.47</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E7D91F7" w14:textId="77777777" w:rsidR="00AC30F5" w:rsidRDefault="00000000">
            <w:pPr>
              <w:jc w:val="center"/>
            </w:pPr>
            <w:r>
              <w:rPr>
                <w:sz w:val="17"/>
              </w:rPr>
              <w:t>$66.92</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255767E" w14:textId="77777777" w:rsidR="00AC30F5" w:rsidRDefault="00000000">
            <w:pPr>
              <w:jc w:val="center"/>
            </w:pPr>
            <w:r>
              <w:rPr>
                <w:sz w:val="17"/>
              </w:rPr>
              <w:t>$69.63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AF775F" w14:textId="77777777" w:rsidR="00AC30F5" w:rsidRDefault="00000000">
            <w:pPr>
              <w:jc w:val="center"/>
            </w:pPr>
            <w:r>
              <w:rPr>
                <w:sz w:val="17"/>
              </w:rPr>
              <w:t>$72.65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D8348CF" w14:textId="77777777" w:rsidR="00AC30F5" w:rsidRDefault="00000000">
            <w:pPr>
              <w:jc w:val="center"/>
            </w:pPr>
            <w:r>
              <w:rPr>
                <w:sz w:val="17"/>
              </w:rPr>
              <w:t>$76.01</w:t>
            </w:r>
          </w:p>
        </w:tc>
      </w:tr>
      <w:tr w:rsidR="00AC30F5" w14:paraId="14F66BDA"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6DC9B700" w14:textId="77777777" w:rsidR="00AC30F5" w:rsidRDefault="00000000">
            <w:r>
              <w:rPr>
                <w:sz w:val="17"/>
              </w:rPr>
              <w:t>13.00%</w:t>
            </w:r>
          </w:p>
        </w:tc>
        <w:tc>
          <w:tcPr>
            <w:tcW w:w="1700" w:type="dxa"/>
            <w:tcBorders>
              <w:top w:val="single" w:sz="4" w:space="0" w:color="808080"/>
              <w:left w:val="single" w:sz="4" w:space="0" w:color="808080"/>
              <w:bottom w:val="single" w:sz="4" w:space="0" w:color="808080"/>
              <w:right w:val="single" w:sz="4" w:space="0" w:color="808080"/>
            </w:tcBorders>
            <w:vAlign w:val="center"/>
          </w:tcPr>
          <w:p w14:paraId="6E7E6B51" w14:textId="77777777" w:rsidR="00AC30F5" w:rsidRDefault="00000000">
            <w:pPr>
              <w:jc w:val="center"/>
            </w:pPr>
            <w:r>
              <w:rPr>
                <w:sz w:val="17"/>
              </w:rPr>
              <w:t>$58.59</w:t>
            </w:r>
          </w:p>
        </w:tc>
        <w:tc>
          <w:tcPr>
            <w:tcW w:w="1700" w:type="dxa"/>
            <w:tcBorders>
              <w:top w:val="single" w:sz="4" w:space="0" w:color="808080"/>
              <w:left w:val="single" w:sz="4" w:space="0" w:color="808080"/>
              <w:bottom w:val="single" w:sz="4" w:space="0" w:color="808080"/>
              <w:right w:val="single" w:sz="4" w:space="0" w:color="808080"/>
            </w:tcBorders>
            <w:vAlign w:val="center"/>
          </w:tcPr>
          <w:p w14:paraId="02E7E70F" w14:textId="77777777" w:rsidR="00AC30F5" w:rsidRDefault="00000000">
            <w:pPr>
              <w:jc w:val="center"/>
            </w:pPr>
            <w:r>
              <w:rPr>
                <w:sz w:val="17"/>
              </w:rPr>
              <w:t>$60.56</w:t>
            </w:r>
          </w:p>
        </w:tc>
        <w:tc>
          <w:tcPr>
            <w:tcW w:w="1700" w:type="dxa"/>
            <w:tcBorders>
              <w:top w:val="single" w:sz="4" w:space="0" w:color="808080"/>
              <w:left w:val="single" w:sz="4" w:space="0" w:color="808080"/>
              <w:bottom w:val="single" w:sz="4" w:space="0" w:color="808080"/>
              <w:right w:val="single" w:sz="4" w:space="0" w:color="808080"/>
            </w:tcBorders>
            <w:vAlign w:val="center"/>
          </w:tcPr>
          <w:p w14:paraId="1597DBD4" w14:textId="77777777" w:rsidR="00AC30F5" w:rsidRDefault="00000000">
            <w:pPr>
              <w:jc w:val="center"/>
            </w:pPr>
            <w:r>
              <w:rPr>
                <w:sz w:val="17"/>
              </w:rPr>
              <w:t>$62.73</w:t>
            </w:r>
          </w:p>
        </w:tc>
        <w:tc>
          <w:tcPr>
            <w:tcW w:w="1700" w:type="dxa"/>
            <w:tcBorders>
              <w:top w:val="single" w:sz="4" w:space="0" w:color="808080"/>
              <w:left w:val="single" w:sz="4" w:space="0" w:color="808080"/>
              <w:bottom w:val="single" w:sz="4" w:space="0" w:color="808080"/>
              <w:right w:val="single" w:sz="4" w:space="0" w:color="808080"/>
            </w:tcBorders>
            <w:vAlign w:val="center"/>
          </w:tcPr>
          <w:p w14:paraId="7DD92264" w14:textId="77777777" w:rsidR="00AC30F5" w:rsidRDefault="00000000">
            <w:pPr>
              <w:jc w:val="center"/>
            </w:pPr>
            <w:r>
              <w:rPr>
                <w:sz w:val="17"/>
              </w:rPr>
              <w:t>$65.10</w:t>
            </w:r>
          </w:p>
        </w:tc>
        <w:tc>
          <w:tcPr>
            <w:tcW w:w="1700" w:type="dxa"/>
            <w:tcBorders>
              <w:top w:val="single" w:sz="4" w:space="0" w:color="808080"/>
              <w:left w:val="single" w:sz="4" w:space="0" w:color="808080"/>
              <w:bottom w:val="single" w:sz="4" w:space="0" w:color="808080"/>
              <w:right w:val="single" w:sz="4" w:space="0" w:color="808080"/>
            </w:tcBorders>
            <w:vAlign w:val="center"/>
          </w:tcPr>
          <w:p w14:paraId="0E094706" w14:textId="77777777" w:rsidR="00AC30F5" w:rsidRDefault="00000000">
            <w:pPr>
              <w:jc w:val="center"/>
            </w:pPr>
            <w:r>
              <w:rPr>
                <w:sz w:val="17"/>
              </w:rPr>
              <w:t>$67.73</w:t>
            </w:r>
          </w:p>
        </w:tc>
      </w:tr>
      <w:tr w:rsidR="00AC30F5" w14:paraId="7D171FE0"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C94464A" w14:textId="77777777" w:rsidR="00AC30F5" w:rsidRDefault="00000000">
            <w:r>
              <w:rPr>
                <w:sz w:val="17"/>
              </w:rPr>
              <w:t>13.79% (Base)</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F595248" w14:textId="77777777" w:rsidR="00AC30F5" w:rsidRDefault="00000000">
            <w:pPr>
              <w:jc w:val="center"/>
            </w:pPr>
            <w:r>
              <w:rPr>
                <w:sz w:val="17"/>
              </w:rPr>
              <w:t>$55.13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0B68659" w14:textId="77777777" w:rsidR="00AC30F5" w:rsidRDefault="00000000">
            <w:pPr>
              <w:jc w:val="center"/>
            </w:pPr>
            <w:r>
              <w:rPr>
                <w:sz w:val="17"/>
              </w:rPr>
              <w:t>$56.85</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4CD748" w14:textId="77777777" w:rsidR="00AC30F5" w:rsidRDefault="00000000">
            <w:pPr>
              <w:jc w:val="center"/>
            </w:pPr>
            <w:r>
              <w:rPr>
                <w:sz w:val="17"/>
              </w:rPr>
              <w:t>$58.16</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FEB9B8D" w14:textId="77777777" w:rsidR="00AC30F5" w:rsidRDefault="00000000">
            <w:pPr>
              <w:jc w:val="center"/>
            </w:pPr>
            <w:r>
              <w:rPr>
                <w:sz w:val="17"/>
              </w:rPr>
              <w:t>$59.69</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CBB6B7B" w14:textId="77777777" w:rsidR="00AC30F5" w:rsidRDefault="00000000">
            <w:pPr>
              <w:jc w:val="center"/>
            </w:pPr>
            <w:r>
              <w:rPr>
                <w:sz w:val="17"/>
              </w:rPr>
              <w:t>$61.42</w:t>
            </w:r>
          </w:p>
        </w:tc>
      </w:tr>
      <w:tr w:rsidR="00AC30F5" w14:paraId="196AB69D"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7B2EDE8A" w14:textId="77777777" w:rsidR="00AC30F5" w:rsidRDefault="00000000">
            <w:r>
              <w:rPr>
                <w:sz w:val="17"/>
              </w:rPr>
              <w:t>14.00%</w:t>
            </w:r>
          </w:p>
        </w:tc>
        <w:tc>
          <w:tcPr>
            <w:tcW w:w="1700" w:type="dxa"/>
            <w:tcBorders>
              <w:top w:val="single" w:sz="4" w:space="0" w:color="808080"/>
              <w:left w:val="single" w:sz="4" w:space="0" w:color="808080"/>
              <w:bottom w:val="single" w:sz="4" w:space="0" w:color="808080"/>
              <w:right w:val="single" w:sz="4" w:space="0" w:color="808080"/>
            </w:tcBorders>
            <w:vAlign w:val="center"/>
          </w:tcPr>
          <w:p w14:paraId="501C523D" w14:textId="77777777" w:rsidR="00AC30F5" w:rsidRDefault="00000000">
            <w:pPr>
              <w:jc w:val="center"/>
            </w:pPr>
            <w:r>
              <w:rPr>
                <w:sz w:val="17"/>
              </w:rPr>
              <w:t>$53.67</w:t>
            </w:r>
          </w:p>
        </w:tc>
        <w:tc>
          <w:tcPr>
            <w:tcW w:w="1700" w:type="dxa"/>
            <w:tcBorders>
              <w:top w:val="single" w:sz="4" w:space="0" w:color="808080"/>
              <w:left w:val="single" w:sz="4" w:space="0" w:color="808080"/>
              <w:bottom w:val="single" w:sz="4" w:space="0" w:color="808080"/>
              <w:right w:val="single" w:sz="4" w:space="0" w:color="808080"/>
            </w:tcBorders>
            <w:vAlign w:val="center"/>
          </w:tcPr>
          <w:p w14:paraId="698BBC9C" w14:textId="77777777" w:rsidR="00AC30F5" w:rsidRDefault="00000000">
            <w:pPr>
              <w:jc w:val="center"/>
            </w:pPr>
            <w:r>
              <w:rPr>
                <w:sz w:val="17"/>
              </w:rPr>
              <w:t>$55.28</w:t>
            </w:r>
          </w:p>
        </w:tc>
        <w:tc>
          <w:tcPr>
            <w:tcW w:w="1700" w:type="dxa"/>
            <w:tcBorders>
              <w:top w:val="single" w:sz="4" w:space="0" w:color="808080"/>
              <w:left w:val="single" w:sz="4" w:space="0" w:color="808080"/>
              <w:bottom w:val="single" w:sz="4" w:space="0" w:color="808080"/>
              <w:right w:val="single" w:sz="4" w:space="0" w:color="808080"/>
            </w:tcBorders>
            <w:vAlign w:val="center"/>
          </w:tcPr>
          <w:p w14:paraId="30CF8D55" w14:textId="77777777" w:rsidR="00AC30F5" w:rsidRDefault="00000000">
            <w:pPr>
              <w:jc w:val="center"/>
            </w:pPr>
            <w:r>
              <w:rPr>
                <w:sz w:val="17"/>
              </w:rPr>
              <w:t>$57.04</w:t>
            </w:r>
          </w:p>
        </w:tc>
        <w:tc>
          <w:tcPr>
            <w:tcW w:w="1700" w:type="dxa"/>
            <w:tcBorders>
              <w:top w:val="single" w:sz="4" w:space="0" w:color="808080"/>
              <w:left w:val="single" w:sz="4" w:space="0" w:color="808080"/>
              <w:bottom w:val="single" w:sz="4" w:space="0" w:color="808080"/>
              <w:right w:val="single" w:sz="4" w:space="0" w:color="808080"/>
            </w:tcBorders>
            <w:vAlign w:val="center"/>
          </w:tcPr>
          <w:p w14:paraId="256DB57F" w14:textId="77777777" w:rsidR="00AC30F5" w:rsidRDefault="00000000">
            <w:pPr>
              <w:jc w:val="center"/>
            </w:pPr>
            <w:r>
              <w:rPr>
                <w:sz w:val="17"/>
              </w:rPr>
              <w:t>$58.95</w:t>
            </w:r>
          </w:p>
        </w:tc>
        <w:tc>
          <w:tcPr>
            <w:tcW w:w="1700" w:type="dxa"/>
            <w:tcBorders>
              <w:top w:val="single" w:sz="4" w:space="0" w:color="808080"/>
              <w:left w:val="single" w:sz="4" w:space="0" w:color="808080"/>
              <w:bottom w:val="single" w:sz="4" w:space="0" w:color="808080"/>
              <w:right w:val="single" w:sz="4" w:space="0" w:color="808080"/>
            </w:tcBorders>
            <w:vAlign w:val="center"/>
          </w:tcPr>
          <w:p w14:paraId="7CD884C7" w14:textId="77777777" w:rsidR="00AC30F5" w:rsidRDefault="00000000">
            <w:pPr>
              <w:jc w:val="center"/>
            </w:pPr>
            <w:r>
              <w:rPr>
                <w:sz w:val="17"/>
              </w:rPr>
              <w:t>$61.05</w:t>
            </w:r>
          </w:p>
        </w:tc>
      </w:tr>
      <w:tr w:rsidR="00AC30F5" w14:paraId="4EFFAB94" w14:textId="77777777">
        <w:trP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DEC634D" w14:textId="77777777" w:rsidR="00AC30F5" w:rsidRDefault="00000000">
            <w:r>
              <w:rPr>
                <w:sz w:val="17"/>
              </w:rPr>
              <w:t>15.00%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0AA58A3" w14:textId="77777777" w:rsidR="00AC30F5" w:rsidRDefault="00000000">
            <w:pPr>
              <w:jc w:val="center"/>
            </w:pPr>
            <w:r>
              <w:rPr>
                <w:sz w:val="17"/>
              </w:rPr>
              <w:t>$49.50</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1752FD" w14:textId="77777777" w:rsidR="00AC30F5" w:rsidRDefault="00000000">
            <w:pPr>
              <w:jc w:val="center"/>
            </w:pPr>
            <w:r>
              <w:rPr>
                <w:sz w:val="17"/>
              </w:rPr>
              <w:t>$50.83</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3D76B5B" w14:textId="77777777" w:rsidR="00AC30F5" w:rsidRDefault="00000000">
            <w:pPr>
              <w:jc w:val="center"/>
            </w:pPr>
            <w:r>
              <w:rPr>
                <w:sz w:val="17"/>
              </w:rPr>
              <w:t>$52.28</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3E6BCA" w14:textId="77777777" w:rsidR="00AC30F5" w:rsidRDefault="00000000">
            <w:pPr>
              <w:jc w:val="center"/>
            </w:pPr>
            <w:r>
              <w:rPr>
                <w:sz w:val="17"/>
              </w:rPr>
              <w:t>$53.84</w:t>
            </w:r>
          </w:p>
        </w:tc>
        <w:tc>
          <w:tcPr>
            <w:tcW w:w="17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7B9D3D1" w14:textId="77777777" w:rsidR="00AC30F5" w:rsidRDefault="00000000">
            <w:pPr>
              <w:jc w:val="center"/>
            </w:pPr>
            <w:r>
              <w:rPr>
                <w:sz w:val="17"/>
              </w:rPr>
              <w:t>$55.55</w:t>
            </w:r>
          </w:p>
        </w:tc>
      </w:tr>
      <w:tr w:rsidR="00AC30F5" w14:paraId="33F0ACDA" w14:textId="77777777">
        <w:trPr>
          <w:jc w:val="center"/>
        </w:trPr>
        <w:tc>
          <w:tcPr>
            <w:tcW w:w="1700" w:type="dxa"/>
            <w:tcBorders>
              <w:top w:val="single" w:sz="4" w:space="0" w:color="808080"/>
              <w:left w:val="single" w:sz="4" w:space="0" w:color="808080"/>
              <w:bottom w:val="single" w:sz="4" w:space="0" w:color="808080"/>
              <w:right w:val="single" w:sz="4" w:space="0" w:color="808080"/>
            </w:tcBorders>
            <w:vAlign w:val="center"/>
          </w:tcPr>
          <w:p w14:paraId="41661E83" w14:textId="77777777" w:rsidR="00AC30F5" w:rsidRDefault="00000000">
            <w:r>
              <w:rPr>
                <w:sz w:val="17"/>
              </w:rPr>
              <w:t>16.00%</w:t>
            </w:r>
          </w:p>
        </w:tc>
        <w:tc>
          <w:tcPr>
            <w:tcW w:w="1700" w:type="dxa"/>
            <w:tcBorders>
              <w:top w:val="single" w:sz="4" w:space="0" w:color="808080"/>
              <w:left w:val="single" w:sz="4" w:space="0" w:color="808080"/>
              <w:bottom w:val="single" w:sz="4" w:space="0" w:color="808080"/>
              <w:right w:val="single" w:sz="4" w:space="0" w:color="808080"/>
            </w:tcBorders>
            <w:vAlign w:val="center"/>
          </w:tcPr>
          <w:p w14:paraId="05AD67F4" w14:textId="77777777" w:rsidR="00AC30F5" w:rsidRDefault="00000000">
            <w:pPr>
              <w:jc w:val="center"/>
            </w:pPr>
            <w:r>
              <w:rPr>
                <w:sz w:val="17"/>
              </w:rPr>
              <w:t>$45.91</w:t>
            </w:r>
          </w:p>
        </w:tc>
        <w:tc>
          <w:tcPr>
            <w:tcW w:w="1700" w:type="dxa"/>
            <w:tcBorders>
              <w:top w:val="single" w:sz="4" w:space="0" w:color="808080"/>
              <w:left w:val="single" w:sz="4" w:space="0" w:color="808080"/>
              <w:bottom w:val="single" w:sz="4" w:space="0" w:color="808080"/>
              <w:right w:val="single" w:sz="4" w:space="0" w:color="808080"/>
            </w:tcBorders>
            <w:vAlign w:val="center"/>
          </w:tcPr>
          <w:p w14:paraId="68799F61" w14:textId="77777777" w:rsidR="00AC30F5" w:rsidRDefault="00000000">
            <w:pPr>
              <w:jc w:val="center"/>
            </w:pPr>
            <w:r>
              <w:rPr>
                <w:sz w:val="17"/>
              </w:rPr>
              <w:t>$47.03</w:t>
            </w:r>
          </w:p>
        </w:tc>
        <w:tc>
          <w:tcPr>
            <w:tcW w:w="1700" w:type="dxa"/>
            <w:tcBorders>
              <w:top w:val="single" w:sz="4" w:space="0" w:color="808080"/>
              <w:left w:val="single" w:sz="4" w:space="0" w:color="808080"/>
              <w:bottom w:val="single" w:sz="4" w:space="0" w:color="808080"/>
              <w:right w:val="single" w:sz="4" w:space="0" w:color="808080"/>
            </w:tcBorders>
            <w:vAlign w:val="center"/>
          </w:tcPr>
          <w:p w14:paraId="1CE43EBB" w14:textId="77777777" w:rsidR="00AC30F5" w:rsidRDefault="00000000">
            <w:pPr>
              <w:jc w:val="center"/>
            </w:pPr>
            <w:r>
              <w:rPr>
                <w:sz w:val="17"/>
              </w:rPr>
              <w:t>$48.24</w:t>
            </w:r>
          </w:p>
        </w:tc>
        <w:tc>
          <w:tcPr>
            <w:tcW w:w="1700" w:type="dxa"/>
            <w:tcBorders>
              <w:top w:val="single" w:sz="4" w:space="0" w:color="808080"/>
              <w:left w:val="single" w:sz="4" w:space="0" w:color="808080"/>
              <w:bottom w:val="single" w:sz="4" w:space="0" w:color="808080"/>
              <w:right w:val="single" w:sz="4" w:space="0" w:color="808080"/>
            </w:tcBorders>
            <w:vAlign w:val="center"/>
          </w:tcPr>
          <w:p w14:paraId="7B475463" w14:textId="77777777" w:rsidR="00AC30F5" w:rsidRDefault="00000000">
            <w:pPr>
              <w:jc w:val="center"/>
            </w:pPr>
            <w:r>
              <w:rPr>
                <w:sz w:val="17"/>
              </w:rPr>
              <w:t>$49.54</w:t>
            </w:r>
          </w:p>
        </w:tc>
        <w:tc>
          <w:tcPr>
            <w:tcW w:w="1700" w:type="dxa"/>
            <w:tcBorders>
              <w:top w:val="single" w:sz="4" w:space="0" w:color="808080"/>
              <w:left w:val="single" w:sz="4" w:space="0" w:color="808080"/>
              <w:bottom w:val="single" w:sz="4" w:space="0" w:color="808080"/>
              <w:right w:val="single" w:sz="4" w:space="0" w:color="808080"/>
            </w:tcBorders>
            <w:vAlign w:val="center"/>
          </w:tcPr>
          <w:p w14:paraId="7A7D4C9A" w14:textId="77777777" w:rsidR="00AC30F5" w:rsidRDefault="00000000">
            <w:pPr>
              <w:jc w:val="center"/>
            </w:pPr>
            <w:r>
              <w:rPr>
                <w:sz w:val="17"/>
              </w:rPr>
              <w:t>$50.94</w:t>
            </w:r>
          </w:p>
        </w:tc>
      </w:tr>
    </w:tbl>
    <w:p w14:paraId="3323F93E" w14:textId="77777777" w:rsidR="00AC30F5" w:rsidRDefault="00AC30F5">
      <w:pPr>
        <w:spacing w:after="80"/>
      </w:pPr>
    </w:p>
    <w:p w14:paraId="061D9565" w14:textId="77777777" w:rsidR="00AC30F5" w:rsidRDefault="00000000">
      <w:pPr>
        <w:pStyle w:val="Heading1"/>
      </w:pPr>
      <w:r>
        <w:lastRenderedPageBreak/>
        <w:t>Appendix D: Warrant Dilution Sensitivity</w:t>
      </w:r>
    </w:p>
    <w:p w14:paraId="37F8FD50" w14:textId="77777777" w:rsidR="00AC30F5" w:rsidRDefault="00000000">
      <w:pPr>
        <w:spacing w:after="80"/>
        <w:jc w:val="both"/>
      </w:pPr>
      <w:r>
        <w:t>Table D1 presents the sensitivity of the Scenario A implied price ($58.16 at full OpenAI vesting) to different warrant vesting scenarios. Even with zero warrant vesting, the implied price of $63.84 remains 87% below the $480 market price, confirming that warrant dilution is a second-order effect; the primary gap is the operating assumptions versus market expectations.</w:t>
      </w:r>
    </w:p>
    <w:p w14:paraId="661AB3B0" w14:textId="77777777" w:rsidR="00AC30F5" w:rsidRDefault="00000000">
      <w:pPr>
        <w:spacing w:before="120" w:after="40"/>
      </w:pPr>
      <w:r>
        <w:rPr>
          <w:b/>
          <w:color w:val="1F4E78"/>
          <w:sz w:val="19"/>
        </w:rPr>
        <w:t>Table D1: OpenAI Warrant Dilution Sensitivity (Scenario A Equity Value)</w:t>
      </w:r>
    </w:p>
    <w:tbl>
      <w:tblPr>
        <w:tblW w:w="0" w:type="auto"/>
        <w:jc w:val="center"/>
        <w:tblLook w:val="04A0" w:firstRow="1" w:lastRow="0" w:firstColumn="1" w:lastColumn="0" w:noHBand="0" w:noVBand="1"/>
      </w:tblPr>
      <w:tblGrid>
        <w:gridCol w:w="2550"/>
        <w:gridCol w:w="2550"/>
        <w:gridCol w:w="2550"/>
        <w:gridCol w:w="2550"/>
      </w:tblGrid>
      <w:tr w:rsidR="00AC30F5" w14:paraId="05F2A81D"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96C47AC" w14:textId="77777777" w:rsidR="00AC30F5" w:rsidRDefault="00000000">
            <w:pPr>
              <w:jc w:val="center"/>
            </w:pPr>
            <w:r>
              <w:rPr>
                <w:b/>
                <w:color w:val="FFFFFF"/>
                <w:sz w:val="17"/>
              </w:rPr>
              <w:t>Vesting Scenario</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3A065811" w14:textId="77777777" w:rsidR="00AC30F5" w:rsidRDefault="00000000">
            <w:pPr>
              <w:jc w:val="center"/>
            </w:pPr>
            <w:r>
              <w:rPr>
                <w:b/>
                <w:color w:val="FFFFFF"/>
                <w:sz w:val="17"/>
              </w:rPr>
              <w:t>Diluted Shares (M)</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206D6210" w14:textId="77777777" w:rsidR="00AC30F5" w:rsidRDefault="00000000">
            <w:pPr>
              <w:jc w:val="center"/>
            </w:pPr>
            <w:r>
              <w:rPr>
                <w:b/>
                <w:color w:val="FFFFFF"/>
                <w:sz w:val="17"/>
              </w:rPr>
              <w:t>Implied Price</w:t>
            </w:r>
          </w:p>
        </w:tc>
        <w:tc>
          <w:tcPr>
            <w:tcW w:w="2550" w:type="dxa"/>
            <w:tcBorders>
              <w:top w:val="single" w:sz="4" w:space="0" w:color="808080"/>
              <w:left w:val="single" w:sz="4" w:space="0" w:color="808080"/>
              <w:bottom w:val="single" w:sz="4" w:space="0" w:color="808080"/>
              <w:right w:val="single" w:sz="4" w:space="0" w:color="808080"/>
            </w:tcBorders>
            <w:shd w:val="clear" w:color="auto" w:fill="1F4E78"/>
            <w:vAlign w:val="center"/>
          </w:tcPr>
          <w:p w14:paraId="1F57CA25" w14:textId="77777777" w:rsidR="00AC30F5" w:rsidRDefault="00000000">
            <w:pPr>
              <w:jc w:val="center"/>
            </w:pPr>
            <w:r>
              <w:rPr>
                <w:b/>
                <w:color w:val="FFFFFF"/>
                <w:sz w:val="17"/>
              </w:rPr>
              <w:t>vs $480 Market</w:t>
            </w:r>
          </w:p>
        </w:tc>
      </w:tr>
      <w:tr w:rsidR="00AC30F5" w14:paraId="3E3A9995"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49281CA1" w14:textId="77777777" w:rsidR="00AC30F5" w:rsidRDefault="00000000">
            <w:r>
              <w:rPr>
                <w:sz w:val="17"/>
              </w:rPr>
              <w:t>No vesting (deployment fails)</w:t>
            </w:r>
          </w:p>
        </w:tc>
        <w:tc>
          <w:tcPr>
            <w:tcW w:w="2550" w:type="dxa"/>
            <w:tcBorders>
              <w:top w:val="single" w:sz="4" w:space="0" w:color="808080"/>
              <w:left w:val="single" w:sz="4" w:space="0" w:color="808080"/>
              <w:bottom w:val="single" w:sz="4" w:space="0" w:color="808080"/>
              <w:right w:val="single" w:sz="4" w:space="0" w:color="808080"/>
            </w:tcBorders>
            <w:vAlign w:val="center"/>
          </w:tcPr>
          <w:p w14:paraId="22DF19E4" w14:textId="77777777" w:rsidR="00AC30F5" w:rsidRDefault="00000000">
            <w:pPr>
              <w:jc w:val="center"/>
            </w:pPr>
            <w:r>
              <w:rPr>
                <w:sz w:val="17"/>
              </w:rPr>
              <w:t>1,636</w:t>
            </w:r>
          </w:p>
        </w:tc>
        <w:tc>
          <w:tcPr>
            <w:tcW w:w="2550" w:type="dxa"/>
            <w:tcBorders>
              <w:top w:val="single" w:sz="4" w:space="0" w:color="808080"/>
              <w:left w:val="single" w:sz="4" w:space="0" w:color="808080"/>
              <w:bottom w:val="single" w:sz="4" w:space="0" w:color="808080"/>
              <w:right w:val="single" w:sz="4" w:space="0" w:color="808080"/>
            </w:tcBorders>
            <w:vAlign w:val="center"/>
          </w:tcPr>
          <w:p w14:paraId="63F10BA7" w14:textId="77777777" w:rsidR="00AC30F5" w:rsidRDefault="00000000">
            <w:pPr>
              <w:jc w:val="center"/>
            </w:pPr>
            <w:r>
              <w:rPr>
                <w:sz w:val="17"/>
              </w:rPr>
              <w:t>$63.84</w:t>
            </w:r>
          </w:p>
        </w:tc>
        <w:tc>
          <w:tcPr>
            <w:tcW w:w="2550" w:type="dxa"/>
            <w:tcBorders>
              <w:top w:val="single" w:sz="4" w:space="0" w:color="808080"/>
              <w:left w:val="single" w:sz="4" w:space="0" w:color="808080"/>
              <w:bottom w:val="single" w:sz="4" w:space="0" w:color="808080"/>
              <w:right w:val="single" w:sz="4" w:space="0" w:color="808080"/>
            </w:tcBorders>
            <w:vAlign w:val="center"/>
          </w:tcPr>
          <w:p w14:paraId="3158FEFA" w14:textId="77777777" w:rsidR="00AC30F5" w:rsidRDefault="00000000">
            <w:pPr>
              <w:jc w:val="center"/>
            </w:pPr>
            <w:r>
              <w:rPr>
                <w:sz w:val="17"/>
              </w:rPr>
              <w:t>(86.7%)</w:t>
            </w:r>
          </w:p>
        </w:tc>
      </w:tr>
      <w:tr w:rsidR="00AC30F5" w14:paraId="57B29CC2"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922BE05" w14:textId="77777777" w:rsidR="00AC30F5" w:rsidRDefault="00000000">
            <w:r>
              <w:rPr>
                <w:sz w:val="17"/>
              </w:rPr>
              <w:t>Partial vesting (~50%, mid-tier hurdles)</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4E0BE4C" w14:textId="77777777" w:rsidR="00AC30F5" w:rsidRDefault="00000000">
            <w:pPr>
              <w:jc w:val="center"/>
            </w:pPr>
            <w:r>
              <w:rPr>
                <w:sz w:val="17"/>
              </w:rPr>
              <w:t>1,716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CF16CCE" w14:textId="77777777" w:rsidR="00AC30F5" w:rsidRDefault="00000000">
            <w:pPr>
              <w:jc w:val="center"/>
            </w:pPr>
            <w:r>
              <w:rPr>
                <w:sz w:val="17"/>
              </w:rPr>
              <w:t>$60.87</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E81D24" w14:textId="77777777" w:rsidR="00AC30F5" w:rsidRDefault="00000000">
            <w:pPr>
              <w:jc w:val="center"/>
            </w:pPr>
            <w:r>
              <w:rPr>
                <w:sz w:val="17"/>
              </w:rPr>
              <w:t>(87.3%)</w:t>
            </w:r>
          </w:p>
        </w:tc>
      </w:tr>
      <w:tr w:rsidR="00AC30F5" w14:paraId="6D997D57" w14:textId="77777777">
        <w:trPr>
          <w:jc w:val="center"/>
        </w:trPr>
        <w:tc>
          <w:tcPr>
            <w:tcW w:w="2550" w:type="dxa"/>
            <w:tcBorders>
              <w:top w:val="single" w:sz="4" w:space="0" w:color="808080"/>
              <w:left w:val="single" w:sz="4" w:space="0" w:color="808080"/>
              <w:bottom w:val="single" w:sz="4" w:space="0" w:color="808080"/>
              <w:right w:val="single" w:sz="4" w:space="0" w:color="808080"/>
            </w:tcBorders>
            <w:vAlign w:val="center"/>
          </w:tcPr>
          <w:p w14:paraId="7A349E88" w14:textId="77777777" w:rsidR="00AC30F5" w:rsidRDefault="00000000">
            <w:r>
              <w:rPr>
                <w:sz w:val="17"/>
              </w:rPr>
              <w:t>Full OpenAI vesting (all hurdles incl. $600)</w:t>
            </w:r>
          </w:p>
        </w:tc>
        <w:tc>
          <w:tcPr>
            <w:tcW w:w="2550" w:type="dxa"/>
            <w:tcBorders>
              <w:top w:val="single" w:sz="4" w:space="0" w:color="808080"/>
              <w:left w:val="single" w:sz="4" w:space="0" w:color="808080"/>
              <w:bottom w:val="single" w:sz="4" w:space="0" w:color="808080"/>
              <w:right w:val="single" w:sz="4" w:space="0" w:color="808080"/>
            </w:tcBorders>
            <w:vAlign w:val="center"/>
          </w:tcPr>
          <w:p w14:paraId="4FB2C25D" w14:textId="77777777" w:rsidR="00AC30F5" w:rsidRDefault="00000000">
            <w:pPr>
              <w:jc w:val="center"/>
            </w:pPr>
            <w:r>
              <w:rPr>
                <w:sz w:val="17"/>
              </w:rPr>
              <w:t>1,796</w:t>
            </w:r>
          </w:p>
        </w:tc>
        <w:tc>
          <w:tcPr>
            <w:tcW w:w="2550" w:type="dxa"/>
            <w:tcBorders>
              <w:top w:val="single" w:sz="4" w:space="0" w:color="808080"/>
              <w:left w:val="single" w:sz="4" w:space="0" w:color="808080"/>
              <w:bottom w:val="single" w:sz="4" w:space="0" w:color="808080"/>
              <w:right w:val="single" w:sz="4" w:space="0" w:color="808080"/>
            </w:tcBorders>
            <w:vAlign w:val="center"/>
          </w:tcPr>
          <w:p w14:paraId="17D74679" w14:textId="77777777" w:rsidR="00AC30F5" w:rsidRDefault="00000000">
            <w:pPr>
              <w:jc w:val="center"/>
            </w:pPr>
            <w:r>
              <w:rPr>
                <w:sz w:val="17"/>
              </w:rPr>
              <w:t>$58.16</w:t>
            </w:r>
          </w:p>
        </w:tc>
        <w:tc>
          <w:tcPr>
            <w:tcW w:w="2550" w:type="dxa"/>
            <w:tcBorders>
              <w:top w:val="single" w:sz="4" w:space="0" w:color="808080"/>
              <w:left w:val="single" w:sz="4" w:space="0" w:color="808080"/>
              <w:bottom w:val="single" w:sz="4" w:space="0" w:color="808080"/>
              <w:right w:val="single" w:sz="4" w:space="0" w:color="808080"/>
            </w:tcBorders>
            <w:vAlign w:val="center"/>
          </w:tcPr>
          <w:p w14:paraId="38B75DE2" w14:textId="77777777" w:rsidR="00AC30F5" w:rsidRDefault="00000000">
            <w:pPr>
              <w:jc w:val="center"/>
            </w:pPr>
            <w:r>
              <w:rPr>
                <w:sz w:val="17"/>
              </w:rPr>
              <w:t>(87.9%)</w:t>
            </w:r>
          </w:p>
        </w:tc>
      </w:tr>
      <w:tr w:rsidR="00AC30F5" w14:paraId="576924C1" w14:textId="77777777">
        <w:trPr>
          <w:jc w:val="center"/>
        </w:trPr>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46A756E" w14:textId="77777777" w:rsidR="00AC30F5" w:rsidRDefault="00000000">
            <w:r>
              <w:rPr>
                <w:sz w:val="17"/>
              </w:rPr>
              <w:t>Full OpenAI + Meta warrants vesting</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327DC7E" w14:textId="77777777" w:rsidR="00AC30F5" w:rsidRDefault="00000000">
            <w:pPr>
              <w:jc w:val="center"/>
            </w:pPr>
            <w:r>
              <w:rPr>
                <w:sz w:val="17"/>
              </w:rPr>
              <w:t>1,956</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42BE50" w14:textId="77777777" w:rsidR="00AC30F5" w:rsidRDefault="00000000">
            <w:pPr>
              <w:jc w:val="center"/>
            </w:pPr>
            <w:r>
              <w:rPr>
                <w:sz w:val="17"/>
              </w:rPr>
              <w:t>$53.40</w:t>
            </w:r>
          </w:p>
        </w:tc>
        <w:tc>
          <w:tcPr>
            <w:tcW w:w="255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A8BFCAC" w14:textId="77777777" w:rsidR="00AC30F5" w:rsidRDefault="00000000">
            <w:pPr>
              <w:jc w:val="center"/>
            </w:pPr>
            <w:r>
              <w:rPr>
                <w:sz w:val="17"/>
              </w:rPr>
              <w:t>(88.9%)</w:t>
            </w:r>
          </w:p>
        </w:tc>
      </w:tr>
    </w:tbl>
    <w:p w14:paraId="77B3EAE2" w14:textId="77777777" w:rsidR="00AC30F5" w:rsidRDefault="00AC30F5">
      <w:pPr>
        <w:spacing w:after="80"/>
      </w:pPr>
    </w:p>
    <w:p w14:paraId="4C46DA16" w14:textId="77777777" w:rsidR="00AC30F5" w:rsidRDefault="00000000">
      <w:pPr>
        <w:spacing w:before="160" w:after="80"/>
      </w:pPr>
      <w:r>
        <w:rPr>
          <w:b/>
          <w:color w:val="1F4E78"/>
          <w:sz w:val="17"/>
        </w:rPr>
        <w:t>References</w:t>
      </w:r>
    </w:p>
    <w:p w14:paraId="55294CBE" w14:textId="77777777" w:rsidR="00AC30F5" w:rsidRDefault="00000000">
      <w:pPr>
        <w:spacing w:after="40" w:line="264" w:lineRule="auto"/>
        <w:ind w:left="283" w:hanging="283"/>
      </w:pPr>
      <w:r>
        <w:rPr>
          <w:b/>
          <w:sz w:val="17"/>
        </w:rPr>
        <w:t xml:space="preserve">AMD (2025a). </w:t>
      </w:r>
      <w:r>
        <w:rPr>
          <w:sz w:val="17"/>
        </w:rPr>
        <w:t xml:space="preserve">AMD Form 10-K for the Fiscal Year Ended December 28, 2024. SEC EDGAR, filed 5 February 2025. </w:t>
      </w:r>
      <w:hyperlink r:id="rId8">
        <w:r>
          <w:rPr>
            <w:color w:val="0563C1"/>
            <w:u w:val="single"/>
          </w:rPr>
          <w:t>https://www.sec.gov/Archives/edgar/data/2488/000000248825000012/amd-20241228.htm</w:t>
        </w:r>
      </w:hyperlink>
    </w:p>
    <w:p w14:paraId="2C71EB31" w14:textId="77777777" w:rsidR="00AC30F5" w:rsidRDefault="00000000">
      <w:pPr>
        <w:spacing w:after="40" w:line="264" w:lineRule="auto"/>
        <w:ind w:left="283" w:hanging="283"/>
      </w:pPr>
      <w:r>
        <w:rPr>
          <w:b/>
          <w:sz w:val="17"/>
        </w:rPr>
        <w:t xml:space="preserve">AMD (2026a). </w:t>
      </w:r>
      <w:r>
        <w:rPr>
          <w:sz w:val="17"/>
        </w:rPr>
        <w:t xml:space="preserve">AMD Form 10-K/A for the Fiscal Year Ended December 27, 2025. SEC EDGAR, filed 4 February 2026. </w:t>
      </w:r>
      <w:hyperlink r:id="rId9">
        <w:r>
          <w:rPr>
            <w:color w:val="0563C1"/>
            <w:u w:val="single"/>
          </w:rPr>
          <w:t>https://www.sec.gov/Archives/edgar/data/2488/000000248826000021/amd-20251227.htm</w:t>
        </w:r>
      </w:hyperlink>
    </w:p>
    <w:p w14:paraId="29588C4C" w14:textId="77777777" w:rsidR="00AC30F5" w:rsidRDefault="00000000">
      <w:pPr>
        <w:spacing w:after="40" w:line="264" w:lineRule="auto"/>
        <w:ind w:left="283" w:hanging="283"/>
      </w:pPr>
      <w:r>
        <w:rPr>
          <w:b/>
          <w:sz w:val="17"/>
        </w:rPr>
        <w:t xml:space="preserve">AMD (2026b). </w:t>
      </w:r>
      <w:r>
        <w:rPr>
          <w:sz w:val="17"/>
        </w:rPr>
        <w:t xml:space="preserve">AMD Reports Q4 and Full Year 2025 Financial Results. AMD IR, 3 February 2026. </w:t>
      </w:r>
      <w:hyperlink r:id="rId10">
        <w:r>
          <w:rPr>
            <w:color w:val="0563C1"/>
            <w:u w:val="single"/>
          </w:rPr>
          <w:t>https://ir.amd.com/news-events/press-releases/detail/1276/amd-reports-fourth-quarter-and-full-year-2025-financial-results</w:t>
        </w:r>
      </w:hyperlink>
    </w:p>
    <w:p w14:paraId="450AFCC0" w14:textId="77777777" w:rsidR="00AC30F5" w:rsidRDefault="00000000">
      <w:pPr>
        <w:spacing w:after="40" w:line="264" w:lineRule="auto"/>
        <w:ind w:left="283" w:hanging="283"/>
      </w:pPr>
      <w:r>
        <w:rPr>
          <w:b/>
          <w:sz w:val="17"/>
        </w:rPr>
        <w:t xml:space="preserve">AMD (2026e). </w:t>
      </w:r>
      <w:r>
        <w:rPr>
          <w:sz w:val="17"/>
        </w:rPr>
        <w:t xml:space="preserve">AMD Reports Second Quarter 2026 Financial Results. AMD IR, 4 August 2026. </w:t>
      </w:r>
      <w:hyperlink r:id="rId11">
        <w:r>
          <w:rPr>
            <w:color w:val="0563C1"/>
            <w:u w:val="single"/>
          </w:rPr>
          <w:t>https://ir.amd.com/news-events/press-releases/detail/1284/amd-reports-second-quarter-2026-financial-results</w:t>
        </w:r>
      </w:hyperlink>
    </w:p>
    <w:p w14:paraId="518F33FB" w14:textId="77777777" w:rsidR="00AC30F5" w:rsidRDefault="00000000">
      <w:pPr>
        <w:spacing w:after="40" w:line="264" w:lineRule="auto"/>
        <w:ind w:left="283" w:hanging="283"/>
      </w:pPr>
      <w:r>
        <w:rPr>
          <w:b/>
          <w:sz w:val="17"/>
        </w:rPr>
        <w:t xml:space="preserve">AMD (2026f). </w:t>
      </w:r>
      <w:r>
        <w:rPr>
          <w:sz w:val="17"/>
        </w:rPr>
        <w:t xml:space="preserve">AMD Reports First Quarter 2026 Financial Results. AMD IR, 5 May 2026. </w:t>
      </w:r>
      <w:hyperlink r:id="rId12">
        <w:r>
          <w:rPr>
            <w:color w:val="0563C1"/>
            <w:u w:val="single"/>
          </w:rPr>
          <w:t>https://ir.amd.com/news-events/press-releases/detail/1278/amd-reports-first-quarter-2026-financial-results</w:t>
        </w:r>
      </w:hyperlink>
    </w:p>
    <w:p w14:paraId="7DCA030A" w14:textId="77777777" w:rsidR="00AC30F5" w:rsidRDefault="00000000">
      <w:pPr>
        <w:spacing w:after="40" w:line="264" w:lineRule="auto"/>
        <w:ind w:left="283" w:hanging="283"/>
      </w:pPr>
      <w:r>
        <w:rPr>
          <w:b/>
          <w:sz w:val="17"/>
        </w:rPr>
        <w:t xml:space="preserve">AMD (2025b). </w:t>
      </w:r>
      <w:r>
        <w:rPr>
          <w:sz w:val="17"/>
        </w:rPr>
        <w:t xml:space="preserve">AMD and OpenAI Announce Strategic Partnership; 8-K filed 6 October 2025. </w:t>
      </w:r>
      <w:hyperlink r:id="rId13">
        <w:r>
          <w:rPr>
            <w:color w:val="0563C1"/>
            <w:u w:val="single"/>
          </w:rPr>
          <w:t>https://ir.amd.com/news-events/press-releases/detail/1260/amd-and-openai-announce-strategic-partnership-to-deploy-6-gigawatts-of-amd-gpus</w:t>
        </w:r>
      </w:hyperlink>
    </w:p>
    <w:p w14:paraId="49E39530" w14:textId="77777777" w:rsidR="00AC30F5" w:rsidRDefault="00000000">
      <w:pPr>
        <w:spacing w:after="40" w:line="264" w:lineRule="auto"/>
        <w:ind w:left="283" w:hanging="283"/>
      </w:pPr>
      <w:r>
        <w:rPr>
          <w:b/>
          <w:sz w:val="17"/>
        </w:rPr>
        <w:t xml:space="preserve">AMD (2026g). </w:t>
      </w:r>
      <w:r>
        <w:rPr>
          <w:sz w:val="17"/>
        </w:rPr>
        <w:t xml:space="preserve">AMD Announces Helios Rack-Scale AI System with Microsoft. AMD Newsroom, 20 July 2026. </w:t>
      </w:r>
      <w:hyperlink r:id="rId14">
        <w:r>
          <w:rPr>
            <w:color w:val="0563C1"/>
            <w:u w:val="single"/>
          </w:rPr>
          <w:t>https://www.amd.com/en/newsroom/press-releases/2026-7-20-amd-announces-helios.html</w:t>
        </w:r>
      </w:hyperlink>
    </w:p>
    <w:p w14:paraId="3ADF2456" w14:textId="77777777" w:rsidR="00AC30F5" w:rsidRDefault="00000000">
      <w:pPr>
        <w:spacing w:after="40" w:line="264" w:lineRule="auto"/>
        <w:ind w:left="283" w:hanging="283"/>
      </w:pPr>
      <w:r>
        <w:rPr>
          <w:b/>
          <w:sz w:val="17"/>
        </w:rPr>
        <w:t xml:space="preserve">Carbon Credits (2026). </w:t>
      </w:r>
      <w:r>
        <w:rPr>
          <w:sz w:val="17"/>
        </w:rPr>
        <w:t xml:space="preserve">NVIDIA Controls 92% of the GPU Market in 2025. Carbon Credits, 6 January 2026. </w:t>
      </w:r>
      <w:hyperlink r:id="rId15">
        <w:r>
          <w:rPr>
            <w:color w:val="0563C1"/>
            <w:u w:val="single"/>
          </w:rPr>
          <w:t>https://carboncredits.com/nvidia-controls-92-of-the-gpu-market-in-2025-and-reveals-next-gen-ai-supercomputer</w:t>
        </w:r>
      </w:hyperlink>
    </w:p>
    <w:p w14:paraId="1D81BF2D" w14:textId="77777777" w:rsidR="00AC30F5" w:rsidRDefault="00000000">
      <w:pPr>
        <w:spacing w:after="40" w:line="264" w:lineRule="auto"/>
        <w:ind w:left="283" w:hanging="283"/>
      </w:pPr>
      <w:r>
        <w:rPr>
          <w:b/>
          <w:sz w:val="17"/>
        </w:rPr>
        <w:t xml:space="preserve">CreditSights (2025). </w:t>
      </w:r>
      <w:r>
        <w:rPr>
          <w:sz w:val="17"/>
        </w:rPr>
        <w:t xml:space="preserve">Comprehensive Hyperscaler Capex 2026 Estimates. CreditSights, 10 November 2025. </w:t>
      </w:r>
      <w:hyperlink r:id="rId16">
        <w:r>
          <w:rPr>
            <w:color w:val="0563C1"/>
            <w:u w:val="single"/>
          </w:rPr>
          <w:t>https://know.creditsights.com/insights/technology-hyperscaler-capex-2026-estimates</w:t>
        </w:r>
      </w:hyperlink>
    </w:p>
    <w:p w14:paraId="158FE336" w14:textId="77777777" w:rsidR="00AC30F5" w:rsidRDefault="00000000">
      <w:pPr>
        <w:spacing w:after="40" w:line="264" w:lineRule="auto"/>
        <w:ind w:left="283" w:hanging="283"/>
      </w:pPr>
      <w:r>
        <w:rPr>
          <w:b/>
          <w:sz w:val="17"/>
        </w:rPr>
        <w:t xml:space="preserve">Damodaran, A. (2012). </w:t>
      </w:r>
      <w:r>
        <w:rPr>
          <w:sz w:val="17"/>
        </w:rPr>
        <w:t xml:space="preserve">Investment Valuation: Tools and Techniques for Determining the Value of Any Asset, 3rd edition. John Wiley &amp; Sons. </w:t>
      </w:r>
      <w:hyperlink r:id="rId17">
        <w:r>
          <w:rPr>
            <w:color w:val="0563C1"/>
            <w:u w:val="single"/>
          </w:rPr>
          <w:t>https://pages.stern.nyu.edu/~adamodar/New_Home_Page/Inv3ed.htm</w:t>
        </w:r>
      </w:hyperlink>
    </w:p>
    <w:p w14:paraId="4C0C5B7E" w14:textId="77777777" w:rsidR="00AC30F5" w:rsidRDefault="00000000">
      <w:pPr>
        <w:spacing w:after="40" w:line="264" w:lineRule="auto"/>
        <w:ind w:left="283" w:hanging="283"/>
      </w:pPr>
      <w:r>
        <w:rPr>
          <w:b/>
          <w:sz w:val="17"/>
        </w:rPr>
        <w:t xml:space="preserve">Damodaran, A. (2026a). </w:t>
      </w:r>
      <w:r>
        <w:rPr>
          <w:sz w:val="17"/>
        </w:rPr>
        <w:t xml:space="preserve">Betas by Sector (US). NYU Stern, data as of January 2026. </w:t>
      </w:r>
      <w:hyperlink r:id="rId18">
        <w:r>
          <w:rPr>
            <w:color w:val="0563C1"/>
            <w:u w:val="single"/>
          </w:rPr>
          <w:t>https://pages.stern.nyu.edu/~adamodar/New_Home_Page/datafile/Betas.html</w:t>
        </w:r>
      </w:hyperlink>
    </w:p>
    <w:p w14:paraId="111ED88D" w14:textId="77777777" w:rsidR="00AC30F5" w:rsidRDefault="00000000">
      <w:pPr>
        <w:spacing w:after="40" w:line="264" w:lineRule="auto"/>
        <w:ind w:left="283" w:hanging="283"/>
      </w:pPr>
      <w:r>
        <w:rPr>
          <w:b/>
          <w:sz w:val="17"/>
        </w:rPr>
        <w:t xml:space="preserve">Damodaran, A. (2026b). </w:t>
      </w:r>
      <w:r>
        <w:rPr>
          <w:sz w:val="17"/>
        </w:rPr>
        <w:t xml:space="preserve">Historical Implied Equity Risk Premiums for the US. NYU Stern, January 2026 update. </w:t>
      </w:r>
      <w:hyperlink r:id="rId19">
        <w:r>
          <w:rPr>
            <w:color w:val="0563C1"/>
            <w:u w:val="single"/>
          </w:rPr>
          <w:t>https://pages.stern.nyu.edu/~adamodar/New_Home_Page/datafile/histimpl.html</w:t>
        </w:r>
      </w:hyperlink>
    </w:p>
    <w:p w14:paraId="676662A6" w14:textId="77777777" w:rsidR="00AC30F5" w:rsidRDefault="00000000">
      <w:pPr>
        <w:spacing w:after="40" w:line="264" w:lineRule="auto"/>
        <w:ind w:left="283" w:hanging="283"/>
      </w:pPr>
      <w:r>
        <w:rPr>
          <w:b/>
          <w:sz w:val="17"/>
        </w:rPr>
        <w:t xml:space="preserve">FRED (2026). </w:t>
      </w:r>
      <w:r>
        <w:rPr>
          <w:sz w:val="17"/>
        </w:rPr>
        <w:t xml:space="preserve">Market Yield on U.S. Treasury Securities at 10-Year Constant Maturity (DGS10). Federal Reserve Bank of St. Louis. </w:t>
      </w:r>
      <w:hyperlink r:id="rId20">
        <w:r>
          <w:rPr>
            <w:color w:val="0563C1"/>
            <w:u w:val="single"/>
          </w:rPr>
          <w:t>https://fred.stlouisfed.org/series/DGS10</w:t>
        </w:r>
      </w:hyperlink>
    </w:p>
    <w:p w14:paraId="5DE37ACE" w14:textId="77777777" w:rsidR="00AC30F5" w:rsidRDefault="00000000">
      <w:pPr>
        <w:spacing w:after="40" w:line="264" w:lineRule="auto"/>
        <w:ind w:left="283" w:hanging="283"/>
      </w:pPr>
      <w:r>
        <w:rPr>
          <w:b/>
          <w:sz w:val="17"/>
        </w:rPr>
        <w:t xml:space="preserve">Jon Peddie Research (2025). </w:t>
      </w:r>
      <w:r>
        <w:rPr>
          <w:sz w:val="17"/>
        </w:rPr>
        <w:t xml:space="preserve">AI Processor Sales Are Moving All the Needles. JPR, 28 August 2025. </w:t>
      </w:r>
      <w:hyperlink r:id="rId21">
        <w:r>
          <w:rPr>
            <w:color w:val="0563C1"/>
            <w:u w:val="single"/>
          </w:rPr>
          <w:t>https://www.jonpeddie.com/news/ai-processor-sales-are-moving-all-the-needles</w:t>
        </w:r>
      </w:hyperlink>
    </w:p>
    <w:p w14:paraId="7AEB1E61" w14:textId="77777777" w:rsidR="00AC30F5" w:rsidRDefault="00000000">
      <w:pPr>
        <w:spacing w:after="40" w:line="264" w:lineRule="auto"/>
        <w:ind w:left="283" w:hanging="283"/>
      </w:pPr>
      <w:r>
        <w:rPr>
          <w:b/>
          <w:sz w:val="17"/>
        </w:rPr>
        <w:lastRenderedPageBreak/>
        <w:t xml:space="preserve">Koller, T. et al. (2025). </w:t>
      </w:r>
      <w:r>
        <w:rPr>
          <w:sz w:val="17"/>
        </w:rPr>
        <w:t xml:space="preserve">Valuation: Measuring and Managing the Value of Companies, 8th edition. McKinsey &amp; Company / Wiley. </w:t>
      </w:r>
      <w:hyperlink r:id="rId22">
        <w:r>
          <w:rPr>
            <w:color w:val="0563C1"/>
            <w:u w:val="single"/>
          </w:rPr>
          <w:t>https://www.wiley.com/en-us/Valuation%3A+Measuring+and+Managing+the+Value+of+Companies%2C+8th+Edition-p-00423401</w:t>
        </w:r>
      </w:hyperlink>
    </w:p>
    <w:p w14:paraId="28F95E82" w14:textId="77777777" w:rsidR="00AC30F5" w:rsidRDefault="00000000">
      <w:pPr>
        <w:spacing w:after="40" w:line="264" w:lineRule="auto"/>
        <w:ind w:left="283" w:hanging="283"/>
      </w:pPr>
      <w:r>
        <w:rPr>
          <w:b/>
          <w:sz w:val="17"/>
        </w:rPr>
        <w:t xml:space="preserve">Mercury Research (2026). </w:t>
      </w:r>
      <w:r>
        <w:rPr>
          <w:sz w:val="17"/>
        </w:rPr>
        <w:t xml:space="preserve">Q1 2026 Server CPU Share Data (via Tom's Hardware, 14 May 2026). </w:t>
      </w:r>
      <w:hyperlink r:id="rId23">
        <w:r>
          <w:rPr>
            <w:color w:val="0563C1"/>
            <w:u w:val="single"/>
          </w:rPr>
          <w:t>https://www.tomshardware.com/pc-components/cpus/amd-reaches-46-percent-of-server-x86-cpu-revenue</w:t>
        </w:r>
      </w:hyperlink>
    </w:p>
    <w:p w14:paraId="01AB7108" w14:textId="77777777" w:rsidR="00AC30F5" w:rsidRDefault="00000000">
      <w:pPr>
        <w:spacing w:after="40" w:line="264" w:lineRule="auto"/>
        <w:ind w:left="283" w:hanging="283"/>
      </w:pPr>
      <w:r>
        <w:rPr>
          <w:b/>
          <w:sz w:val="17"/>
        </w:rPr>
        <w:t xml:space="preserve">Precedence Research (2025). </w:t>
      </w:r>
      <w:r>
        <w:rPr>
          <w:sz w:val="17"/>
        </w:rPr>
        <w:t xml:space="preserve">Data Center GPU Market Size, Share, and Growth 2025 to 2035. </w:t>
      </w:r>
      <w:hyperlink r:id="rId24">
        <w:r>
          <w:rPr>
            <w:color w:val="0563C1"/>
            <w:u w:val="single"/>
          </w:rPr>
          <w:t>https://www.precedenceresearch.com/data-center-gpu-market</w:t>
        </w:r>
      </w:hyperlink>
    </w:p>
    <w:p w14:paraId="291BDE2E" w14:textId="77777777" w:rsidR="00AC30F5" w:rsidRDefault="00000000">
      <w:pPr>
        <w:spacing w:after="40" w:line="264" w:lineRule="auto"/>
        <w:ind w:left="283" w:hanging="283"/>
      </w:pPr>
      <w:r>
        <w:rPr>
          <w:b/>
          <w:sz w:val="17"/>
        </w:rPr>
        <w:t xml:space="preserve">StockAnalysis.com (2026). </w:t>
      </w:r>
      <w:r>
        <w:rPr>
          <w:sz w:val="17"/>
        </w:rPr>
        <w:t xml:space="preserve">AMD Historical Stock Price, August 2026. </w:t>
      </w:r>
      <w:hyperlink r:id="rId25">
        <w:r>
          <w:rPr>
            <w:color w:val="0563C1"/>
            <w:u w:val="single"/>
          </w:rPr>
          <w:t>https://stockanalysis.com/stocks/amd/</w:t>
        </w:r>
      </w:hyperlink>
    </w:p>
    <w:p w14:paraId="2D274CE0" w14:textId="77777777" w:rsidR="00AC30F5" w:rsidRDefault="00000000">
      <w:pPr>
        <w:spacing w:after="40" w:line="264" w:lineRule="auto"/>
        <w:ind w:left="283" w:hanging="283"/>
      </w:pPr>
      <w:r>
        <w:rPr>
          <w:b/>
          <w:sz w:val="17"/>
        </w:rPr>
        <w:t xml:space="preserve">TechInsights (2024). </w:t>
      </w:r>
      <w:r>
        <w:rPr>
          <w:sz w:val="17"/>
        </w:rPr>
        <w:t xml:space="preserve">Data Center AI Chip Market Q1 2024 Update. TechInsights. </w:t>
      </w:r>
      <w:hyperlink r:id="rId26">
        <w:r>
          <w:rPr>
            <w:color w:val="0563C1"/>
            <w:u w:val="single"/>
          </w:rPr>
          <w:t>https://www.techinsights.com/blog/data-center-ai-chip-market-q1-2024-update</w:t>
        </w:r>
      </w:hyperlink>
    </w:p>
    <w:sectPr w:rsidR="00AC30F5" w:rsidSect="00034616">
      <w:headerReference w:type="default" r:id="rId27"/>
      <w:footerReference w:type="default" r:id="rId28"/>
      <w:pgSz w:w="12240" w:h="15840"/>
      <w:pgMar w:top="850" w:right="1020" w:bottom="85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2C483" w14:textId="77777777" w:rsidR="00740763" w:rsidRDefault="00740763">
      <w:pPr>
        <w:spacing w:after="0" w:line="240" w:lineRule="auto"/>
      </w:pPr>
      <w:r>
        <w:separator/>
      </w:r>
    </w:p>
  </w:endnote>
  <w:endnote w:type="continuationSeparator" w:id="0">
    <w:p w14:paraId="21B13EF4" w14:textId="77777777" w:rsidR="00740763" w:rsidRDefault="0074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1B66" w14:textId="77777777" w:rsidR="00AC30F5" w:rsidRDefault="00000000">
    <w:pPr>
      <w:pStyle w:val="Footer"/>
      <w:jc w:val="center"/>
    </w:pPr>
    <w:r>
      <w:rPr>
        <w:i/>
        <w:color w:val="A6A6A6"/>
        <w:sz w:val="15"/>
      </w:rPr>
      <w:t xml:space="preserve">Personal educational </w:t>
    </w:r>
    <w:proofErr w:type="gramStart"/>
    <w:r>
      <w:rPr>
        <w:i/>
        <w:color w:val="A6A6A6"/>
        <w:sz w:val="15"/>
      </w:rPr>
      <w:t>project —</w:t>
    </w:r>
    <w:proofErr w:type="gramEnd"/>
    <w:r>
      <w:rPr>
        <w:i/>
        <w:color w:val="A6A6A6"/>
        <w:sz w:val="15"/>
      </w:rPr>
      <w:t xml:space="preserve"> not investment advice. See full disclaimer on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BC357" w14:textId="77777777" w:rsidR="00740763" w:rsidRDefault="00740763">
      <w:pPr>
        <w:spacing w:after="0" w:line="240" w:lineRule="auto"/>
      </w:pPr>
      <w:r>
        <w:separator/>
      </w:r>
    </w:p>
  </w:footnote>
  <w:footnote w:type="continuationSeparator" w:id="0">
    <w:p w14:paraId="108565A3" w14:textId="77777777" w:rsidR="00740763" w:rsidRDefault="00740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B7AD" w14:textId="77777777" w:rsidR="00AC30F5" w:rsidRDefault="00000000">
    <w:pPr>
      <w:pStyle w:val="Header"/>
    </w:pPr>
    <w:r>
      <w:rPr>
        <w:color w:val="808080"/>
        <w:sz w:val="16"/>
      </w:rPr>
      <w:t xml:space="preserve">AMD (NASDAQ) | Equity Research | SELL | PT $58 – $90 | 5 August </w:t>
    </w:r>
    <w:proofErr w:type="gramStart"/>
    <w:r>
      <w:rPr>
        <w:color w:val="808080"/>
        <w:sz w:val="16"/>
      </w:rPr>
      <w:t>2026  |</w:t>
    </w:r>
    <w:proofErr w:type="gramEnd"/>
    <w:r>
      <w:rPr>
        <w:color w:val="808080"/>
        <w:sz w:val="16"/>
      </w:rPr>
      <w:t xml:space="preserve">  Page </w:t>
    </w:r>
    <w:r>
      <w:rPr>
        <w:color w:val="808080"/>
        <w:sz w:val="16"/>
      </w:rPr>
      <w:fldChar w:fldCharType="begin"/>
    </w:r>
    <w:r>
      <w:rPr>
        <w:color w:val="808080"/>
        <w:sz w:val="16"/>
      </w:rPr>
      <w:instrText>PAGE</w:instrText>
    </w:r>
    <w:r w:rsidR="00154E95">
      <w:rPr>
        <w:color w:val="808080"/>
        <w:sz w:val="16"/>
      </w:rPr>
      <w:fldChar w:fldCharType="separate"/>
    </w:r>
    <w:r w:rsidR="00154E95">
      <w:rPr>
        <w:noProof/>
        <w:color w:val="808080"/>
        <w:sz w:val="16"/>
      </w:rPr>
      <w:t>1</w:t>
    </w:r>
    <w:r>
      <w:rPr>
        <w:color w:val="808080"/>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515584">
    <w:abstractNumId w:val="8"/>
  </w:num>
  <w:num w:numId="2" w16cid:durableId="1503930870">
    <w:abstractNumId w:val="6"/>
  </w:num>
  <w:num w:numId="3" w16cid:durableId="1172260220">
    <w:abstractNumId w:val="5"/>
  </w:num>
  <w:num w:numId="4" w16cid:durableId="678196709">
    <w:abstractNumId w:val="4"/>
  </w:num>
  <w:num w:numId="5" w16cid:durableId="1098480664">
    <w:abstractNumId w:val="7"/>
  </w:num>
  <w:num w:numId="6" w16cid:durableId="18548627">
    <w:abstractNumId w:val="3"/>
  </w:num>
  <w:num w:numId="7" w16cid:durableId="765731261">
    <w:abstractNumId w:val="2"/>
  </w:num>
  <w:num w:numId="8" w16cid:durableId="481237580">
    <w:abstractNumId w:val="1"/>
  </w:num>
  <w:num w:numId="9" w16cid:durableId="87203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95"/>
    <w:rsid w:val="0029639D"/>
    <w:rsid w:val="00326F90"/>
    <w:rsid w:val="00472B20"/>
    <w:rsid w:val="00740763"/>
    <w:rsid w:val="009E6D96"/>
    <w:rsid w:val="00AA1D8D"/>
    <w:rsid w:val="00AC30F5"/>
    <w:rsid w:val="00B47730"/>
    <w:rsid w:val="00CB0664"/>
    <w:rsid w:val="00D76078"/>
    <w:rsid w:val="00F253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6244C"/>
  <w14:defaultImageDpi w14:val="300"/>
  <w15:docId w15:val="{F7DE330E-075E-4A6C-B62F-CA1DA318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2488/000000248825000012/amd-20241228.htm" TargetMode="External"/><Relationship Id="rId13" Type="http://schemas.openxmlformats.org/officeDocument/2006/relationships/hyperlink" Target="https://ir.amd.com/news-events/press-releases/detail/1260/amd-and-openai-announce-strategic-partnership-to-deploy-6-gigawatts-of-amd-gpus" TargetMode="External"/><Relationship Id="rId18" Type="http://schemas.openxmlformats.org/officeDocument/2006/relationships/hyperlink" Target="https://pages.stern.nyu.edu/~adamodar/New_Home_Page/datafile/Betas.html" TargetMode="External"/><Relationship Id="rId26" Type="http://schemas.openxmlformats.org/officeDocument/2006/relationships/hyperlink" Target="https://www.techinsights.com/blog/data-center-ai-chip-market-q1-2024-update" TargetMode="External"/><Relationship Id="rId3" Type="http://schemas.openxmlformats.org/officeDocument/2006/relationships/styles" Target="styles.xml"/><Relationship Id="rId21" Type="http://schemas.openxmlformats.org/officeDocument/2006/relationships/hyperlink" Target="https://www.jonpeddie.com/news/ai-processor-sales-are-moving-all-the-needles" TargetMode="External"/><Relationship Id="rId7" Type="http://schemas.openxmlformats.org/officeDocument/2006/relationships/endnotes" Target="endnotes.xml"/><Relationship Id="rId12" Type="http://schemas.openxmlformats.org/officeDocument/2006/relationships/hyperlink" Target="https://ir.amd.com/news-events/press-releases/detail/1278/amd-reports-first-quarter-2026-financial-results" TargetMode="External"/><Relationship Id="rId17" Type="http://schemas.openxmlformats.org/officeDocument/2006/relationships/hyperlink" Target="https://pages.stern.nyu.edu/~adamodar/New_Home_Page/Inv3ed.htm" TargetMode="External"/><Relationship Id="rId25" Type="http://schemas.openxmlformats.org/officeDocument/2006/relationships/hyperlink" Target="https://stockanalysis.com/stocks/amd/" TargetMode="External"/><Relationship Id="rId2" Type="http://schemas.openxmlformats.org/officeDocument/2006/relationships/numbering" Target="numbering.xml"/><Relationship Id="rId16" Type="http://schemas.openxmlformats.org/officeDocument/2006/relationships/hyperlink" Target="https://know.creditsights.com/insights/technology-hyperscaler-capex-2026-estimates" TargetMode="External"/><Relationship Id="rId20" Type="http://schemas.openxmlformats.org/officeDocument/2006/relationships/hyperlink" Target="https://fred.stlouisfed.org/series/DGS1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r.amd.com/news-events/press-releases/detail/1284/amd-reports-second-quarter-2026-financial-results" TargetMode="External"/><Relationship Id="rId24" Type="http://schemas.openxmlformats.org/officeDocument/2006/relationships/hyperlink" Target="https://www.precedenceresearch.com/data-center-gpu-market" TargetMode="External"/><Relationship Id="rId5" Type="http://schemas.openxmlformats.org/officeDocument/2006/relationships/webSettings" Target="webSettings.xml"/><Relationship Id="rId15" Type="http://schemas.openxmlformats.org/officeDocument/2006/relationships/hyperlink" Target="https://carboncredits.com/nvidia-controls-92-of-the-gpu-market-in-2025-and-reveals-next-gen-ai-supercomputer" TargetMode="External"/><Relationship Id="rId23" Type="http://schemas.openxmlformats.org/officeDocument/2006/relationships/hyperlink" Target="https://www.tomshardware.com/pc-components/cpus/amd-reaches-46-percent-of-server-x86-cpu-revenue" TargetMode="External"/><Relationship Id="rId28" Type="http://schemas.openxmlformats.org/officeDocument/2006/relationships/footer" Target="footer1.xml"/><Relationship Id="rId10" Type="http://schemas.openxmlformats.org/officeDocument/2006/relationships/hyperlink" Target="https://ir.amd.com/news-events/press-releases/detail/1276/amd-reports-fourth-quarter-and-full-year-2025-financial-results" TargetMode="External"/><Relationship Id="rId19" Type="http://schemas.openxmlformats.org/officeDocument/2006/relationships/hyperlink" Target="https://pages.stern.nyu.edu/~adamodar/New_Home_Page/datafile/histimpl.html" TargetMode="External"/><Relationship Id="rId4" Type="http://schemas.openxmlformats.org/officeDocument/2006/relationships/settings" Target="settings.xml"/><Relationship Id="rId9" Type="http://schemas.openxmlformats.org/officeDocument/2006/relationships/hyperlink" Target="https://www.sec.gov/Archives/edgar/data/2488/000000248826000021/amd-20251227.htm" TargetMode="External"/><Relationship Id="rId14" Type="http://schemas.openxmlformats.org/officeDocument/2006/relationships/hyperlink" Target="https://www.amd.com/en/newsroom/press-releases/2026-7-20-amd-announces-helios.html" TargetMode="External"/><Relationship Id="rId22" Type="http://schemas.openxmlformats.org/officeDocument/2006/relationships/hyperlink" Target="https://www.wiley.com/en-us/Valuation%3A+Measuring+and+Managing+the+Value+of+Companies%2C+8th+Edition-p-00423401"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21</Pages>
  <Words>10042</Words>
  <Characters>57244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Vibhav Shirur</cp:lastModifiedBy>
  <cp:revision>4</cp:revision>
  <dcterms:created xsi:type="dcterms:W3CDTF">2013-12-23T23:15:00Z</dcterms:created>
  <dcterms:modified xsi:type="dcterms:W3CDTF">2026-09-07T13:32:00Z</dcterms:modified>
  <cp:category/>
</cp:coreProperties>
</file>