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INTERNATIONAL BUSINESS</w:t>
      </w:r>
    </w:p>
    <w:p>
      <w:pPr>
        <w:jc w:val="center"/>
      </w:pPr>
      <w:r>
        <w:rPr>
          <w:b/>
          <w:sz w:val="32"/>
        </w:rPr>
        <w:t>Complete Exam Notes, Explanations, Solved Questions &amp; Numericals</w:t>
      </w:r>
    </w:p>
    <w:p>
      <w:pPr>
        <w:jc w:val="center"/>
      </w:pPr>
      <w:r>
        <w:rPr>
          <w:i/>
        </w:rPr>
        <w:t>Based primarily on the three course presentations; reference books used only for supporting explanation.</w:t>
      </w:r>
    </w:p>
    <w:p/>
    <w:tbl>
      <w:tblPr>
        <w:tblW w:type="auto" w:w="0"/>
        <w:jc w:val="center"/>
        <w:tblLook w:firstColumn="1" w:firstRow="1" w:lastColumn="0" w:lastRow="0" w:noHBand="0" w:noVBand="1" w:val="04A0"/>
      </w:tblPr>
      <w:tblGrid>
        <w:gridCol w:w="10224"/>
      </w:tblGrid>
      <w:tr>
        <w:tc>
          <w:tcPr>
            <w:tcW w:type="dxa" w:w="10224"/>
            <w:shd w:fill="D9EAF7"/>
            <w:tcMar>
              <w:top w:w="120" w:type="dxa"/>
              <w:start w:w="160" w:type="dxa"/>
              <w:bottom w:w="120" w:type="dxa"/>
              <w:end w:w="160" w:type="dxa"/>
            </w:tcMar>
          </w:tcPr>
          <w:p>
            <w:r>
              <w:rPr>
                <w:b/>
              </w:rPr>
              <w:t xml:space="preserve">What is included: </w:t>
            </w:r>
            <w:r>
              <w:t>Every topic appearing in the three presentations, expanded explanations, worked examples, model answers to conceptual questions, solved numerical problems, caselet answers, formula sheets, and a final rapid-revision section.</w:t>
            </w:r>
          </w:p>
        </w:tc>
      </w:tr>
    </w:tbl>
    <w:tbl>
      <w:tblPr>
        <w:tblW w:type="auto" w:w="0"/>
        <w:jc w:val="center"/>
        <w:tblLook w:firstColumn="1" w:firstRow="1" w:lastColumn="0" w:lastRow="0" w:noHBand="0" w:noVBand="1" w:val="04A0"/>
      </w:tblPr>
      <w:tblGrid>
        <w:gridCol w:w="10224"/>
      </w:tblGrid>
      <w:tr>
        <w:tc>
          <w:tcPr>
            <w:tcW w:type="dxa" w:w="10224"/>
            <w:shd w:fill="FFF2CC"/>
            <w:tcMar>
              <w:top w:w="120" w:type="dxa"/>
              <w:start w:w="160" w:type="dxa"/>
              <w:bottom w:w="120" w:type="dxa"/>
              <w:end w:w="160" w:type="dxa"/>
            </w:tcMar>
          </w:tcPr>
          <w:p>
            <w:r>
              <w:rPr>
                <w:b/>
              </w:rPr>
              <w:t xml:space="preserve">Exam boundary: </w:t>
            </w:r>
            <w:r>
              <w:t>The presentations define the syllabus. The books are treated as reference material for clearer explanation of those presentation topics; extra book chapters are not added as exam topics.</w:t>
            </w:r>
          </w:p>
        </w:tc>
      </w:tr>
    </w:tbl>
    <w:p>
      <w:r>
        <w:br w:type="page"/>
      </w:r>
    </w:p>
    <w:p>
      <w:pPr>
        <w:pStyle w:val="Heading1"/>
      </w:pPr>
      <w:r>
        <w:t>How to Use These Notes</w:t>
      </w:r>
    </w:p>
    <w:p>
      <w:pPr>
        <w:ind w:left="115" w:hanging="115"/>
      </w:pPr>
      <w:r>
        <w:rPr>
          <w:b/>
        </w:rPr>
        <w:t xml:space="preserve">1. </w:t>
      </w:r>
      <w:r>
        <w:t>First understand the concept in the explanation box.</w:t>
      </w:r>
    </w:p>
    <w:p>
      <w:pPr>
        <w:ind w:left="115" w:hanging="115"/>
      </w:pPr>
      <w:r>
        <w:rPr>
          <w:b/>
        </w:rPr>
        <w:t xml:space="preserve">2. </w:t>
      </w:r>
      <w:r>
        <w:t>Then memorize the highlighted exam definition or formula.</w:t>
      </w:r>
    </w:p>
    <w:p>
      <w:pPr>
        <w:ind w:left="115" w:hanging="115"/>
      </w:pPr>
      <w:r>
        <w:rPr>
          <w:b/>
        </w:rPr>
        <w:t xml:space="preserve">3. </w:t>
      </w:r>
      <w:r>
        <w:t>Work through the solved example without looking at the answer.</w:t>
      </w:r>
    </w:p>
    <w:p>
      <w:pPr>
        <w:ind w:left="115" w:hanging="115"/>
      </w:pPr>
      <w:r>
        <w:rPr>
          <w:b/>
        </w:rPr>
        <w:t xml:space="preserve">4. </w:t>
      </w:r>
      <w:r>
        <w:t>Finally attempt the practice question under each topic. The model answer is immediately below it.</w:t>
      </w:r>
    </w:p>
    <w:p>
      <w:pPr>
        <w:ind w:left="115" w:hanging="115"/>
      </w:pPr>
      <w:r>
        <w:rPr>
          <w:b/>
        </w:rPr>
        <w:t xml:space="preserve">5. </w:t>
      </w:r>
      <w:r>
        <w:t>For FX numericals, always write the currency units with every exchange rate before multiplying or dividing.</w:t>
      </w:r>
    </w:p>
    <w:p>
      <w:pPr>
        <w:pStyle w:val="Heading1"/>
      </w:pPr>
      <w:r>
        <w:t>Course Roadmap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tcMar>
              <w:top w:w="80" w:type="dxa"/>
              <w:start w:w="100" w:type="dxa"/>
              <w:bottom w:w="80" w:type="dxa"/>
              <w:end w:w="100" w:type="dxa"/>
            </w:tcMar>
            <w:vAlign w:val="center"/>
          </w:tcPr>
          <w:p>
            <w:pPr>
              <w:jc w:val="center"/>
            </w:pPr>
            <w:r>
              <w:rPr>
                <w:b/>
                <w:color w:val="FFFFFF"/>
              </w:rPr>
              <w:t>Part</w:t>
            </w:r>
          </w:p>
        </w:tc>
        <w:tc>
          <w:tcPr>
            <w:tcW w:type="dxa" w:w="5112"/>
            <w:shd w:fill="1F4E79"/>
            <w:tcMar>
              <w:top w:w="80" w:type="dxa"/>
              <w:start w:w="100" w:type="dxa"/>
              <w:bottom w:w="80" w:type="dxa"/>
              <w:end w:w="100" w:type="dxa"/>
            </w:tcMar>
            <w:vAlign w:val="center"/>
          </w:tcPr>
          <w:p>
            <w:pPr>
              <w:jc w:val="center"/>
            </w:pPr>
            <w:r>
              <w:rPr>
                <w:b/>
                <w:color w:val="FFFFFF"/>
              </w:rPr>
              <w:t>Coverage</w:t>
            </w:r>
          </w:p>
        </w:tc>
      </w:tr>
      <w:tr>
        <w:tc>
          <w:tcPr>
            <w:tcW w:type="dxa" w:w="5112"/>
            <w:tcMar>
              <w:top w:w="80" w:type="dxa"/>
              <w:start w:w="100" w:type="dxa"/>
              <w:bottom w:w="80" w:type="dxa"/>
              <w:end w:w="100" w:type="dxa"/>
            </w:tcMar>
            <w:vAlign w:val="center"/>
          </w:tcPr>
          <w:p>
            <w:r>
              <w:t>Part I</w:t>
            </w:r>
          </w:p>
        </w:tc>
        <w:tc>
          <w:tcPr>
            <w:tcW w:type="dxa" w:w="5112"/>
            <w:tcMar>
              <w:top w:w="80" w:type="dxa"/>
              <w:start w:w="100" w:type="dxa"/>
              <w:bottom w:w="80" w:type="dxa"/>
              <w:end w:w="100" w:type="dxa"/>
            </w:tcMar>
            <w:vAlign w:val="center"/>
          </w:tcPr>
          <w:p>
            <w:r>
              <w:t>International Business: meaning, evolution, nature, scope, globalization, culture, regulation, risks, trade, market expansion, supply chains, finance, economic/political environment, domestic vs international, internationalization, EPRG, MNC and manager toolkit.</w:t>
            </w:r>
          </w:p>
        </w:tc>
      </w:tr>
      <w:tr>
        <w:tc>
          <w:tcPr>
            <w:tcW w:type="dxa" w:w="5112"/>
            <w:tcMar>
              <w:top w:w="80" w:type="dxa"/>
              <w:start w:w="100" w:type="dxa"/>
              <w:bottom w:w="80" w:type="dxa"/>
              <w:end w:w="100" w:type="dxa"/>
            </w:tcMar>
            <w:vAlign w:val="center"/>
          </w:tcPr>
          <w:p>
            <w:r>
              <w:t>Part II</w:t>
            </w:r>
          </w:p>
        </w:tc>
        <w:tc>
          <w:tcPr>
            <w:tcW w:type="dxa" w:w="5112"/>
            <w:tcMar>
              <w:top w:w="80" w:type="dxa"/>
              <w:start w:w="100" w:type="dxa"/>
              <w:bottom w:w="80" w:type="dxa"/>
              <w:end w:w="100" w:type="dxa"/>
            </w:tcMar>
            <w:vAlign w:val="center"/>
          </w:tcPr>
          <w:p>
            <w:r>
              <w:t>Foreign Exchange Markets: FX structure and participants, correspondent banking, spot market, quotations, bid-ask, spot trading, cross rates, triangular arbitrage, microstructure, forwards, forward premium/discount, long/short positions, payoffs, swaps and currency codes.</w:t>
            </w:r>
          </w:p>
        </w:tc>
      </w:tr>
      <w:tr>
        <w:tc>
          <w:tcPr>
            <w:tcW w:type="dxa" w:w="5112"/>
            <w:tcMar>
              <w:top w:w="80" w:type="dxa"/>
              <w:start w:w="100" w:type="dxa"/>
              <w:bottom w:w="80" w:type="dxa"/>
              <w:end w:w="100" w:type="dxa"/>
            </w:tcMar>
            <w:vAlign w:val="center"/>
          </w:tcPr>
          <w:p>
            <w:r>
              <w:t>Part III</w:t>
            </w:r>
          </w:p>
        </w:tc>
        <w:tc>
          <w:tcPr>
            <w:tcW w:type="dxa" w:w="5112"/>
            <w:tcMar>
              <w:top w:w="80" w:type="dxa"/>
              <w:start w:w="100" w:type="dxa"/>
              <w:bottom w:w="80" w:type="dxa"/>
              <w:end w:w="100" w:type="dxa"/>
            </w:tcMar>
            <w:vAlign w:val="center"/>
          </w:tcPr>
          <w:p>
            <w:r>
              <w:t>International Parity Relations: IRP, covered interest arbitrage, forward-rate determination, hedging, deviations from IRP, PPP, real exchange rate, PPP deviations, Fisher effect, International Fisher Effect, equilibrium relationships and exchange-rate forecasting.</w:t>
            </w:r>
          </w:p>
        </w:tc>
      </w:tr>
      <w:tr>
        <w:tc>
          <w:tcPr>
            <w:tcW w:type="dxa" w:w="5112"/>
            <w:tcMar>
              <w:top w:w="80" w:type="dxa"/>
              <w:start w:w="100" w:type="dxa"/>
              <w:bottom w:w="80" w:type="dxa"/>
              <w:end w:w="100" w:type="dxa"/>
            </w:tcMar>
            <w:vAlign w:val="center"/>
          </w:tcPr>
          <w:p>
            <w:r>
              <w:t>Final Revision</w:t>
            </w:r>
          </w:p>
        </w:tc>
        <w:tc>
          <w:tcPr>
            <w:tcW w:type="dxa" w:w="5112"/>
            <w:tcMar>
              <w:top w:w="80" w:type="dxa"/>
              <w:start w:w="100" w:type="dxa"/>
              <w:bottom w:w="80" w:type="dxa"/>
              <w:end w:w="100" w:type="dxa"/>
            </w:tcMar>
            <w:vAlign w:val="center"/>
          </w:tcPr>
          <w:p>
            <w:r>
              <w:t>Formula sheet, numerical-solving templates, high-probability exam questions with model answers, cases and one-night revision checklist.</w:t>
            </w:r>
          </w:p>
        </w:tc>
      </w:tr>
    </w:tbl>
    <w:p/>
    <w:p>
      <w:r>
        <w:br w:type="page"/>
      </w:r>
    </w:p>
    <w:p>
      <w:pPr>
        <w:pStyle w:val="Title"/>
      </w:pPr>
      <w:r>
        <w:t>PART I - INTERNATIONAL BUSINESS</w:t>
      </w:r>
    </w:p>
    <w:p>
      <w:r>
        <w:t>Presentation coverage: International Business Unit 1, slides 1-41. Source framing is preserved; explanations below make the slide concepts easier to write in an exam.</w:t>
      </w:r>
    </w:p>
    <w:p>
      <w:pPr>
        <w:pStyle w:val="Heading1"/>
      </w:pPr>
      <w:r>
        <w:t>1. Meaning of International Business</w:t>
      </w:r>
    </w:p>
    <w:p>
      <w:r>
        <w:t>International business (IB) refers to business activities that cross national boundaries. The presentation explicitly includes trade, investment, technology, people, contracts and managerial coordination. A useful exam interpretation is that the moment a firm must manage at least two national business environments, the decision problem becomes international.</w:t>
      </w:r>
    </w:p>
    <w:p>
      <w:r>
        <w:t>International business is therefore broader than international trade. A firm may have foreign operations, foreign employees, international financing, technology transfer, overseas suppliers, or cross-border contracts even when the activity is not a simple export sale.</w:t>
      </w:r>
    </w:p>
    <w:tbl>
      <w:tblPr>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b/>
              </w:rPr>
              <w:t xml:space="preserve">Exam definition: </w:t>
            </w:r>
            <w:r>
              <w:t>International business is business activity that crosses national boundaries and involves trade, investment, technology, people, contracts and managerial coordination. [IB Unit 1, Slide 6]</w:t>
            </w:r>
          </w:p>
        </w:tc>
      </w:tr>
    </w:tbl>
    <w:p>
      <w:pPr>
        <w:pStyle w:val="Heading2"/>
      </w:pPr>
      <w:r>
        <w:t>The four ideas behind the definition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100" w:type="dxa"/>
              <w:bottom w:w="80" w:type="dxa"/>
              <w:end w:w="100" w:type="dxa"/>
            </w:tcMar>
            <w:vAlign w:val="center"/>
          </w:tcPr>
          <w:p>
            <w:pPr>
              <w:jc w:val="center"/>
            </w:pPr>
            <w:r>
              <w:rPr>
                <w:b/>
                <w:color w:val="FFFFFF"/>
              </w:rPr>
              <w:t>Idea</w:t>
            </w:r>
          </w:p>
        </w:tc>
        <w:tc>
          <w:tcPr>
            <w:tcW w:type="dxa" w:w="3408"/>
            <w:shd w:fill="1F4E79"/>
            <w:tcMar>
              <w:top w:w="80" w:type="dxa"/>
              <w:start w:w="100" w:type="dxa"/>
              <w:bottom w:w="80" w:type="dxa"/>
              <w:end w:w="100" w:type="dxa"/>
            </w:tcMar>
            <w:vAlign w:val="center"/>
          </w:tcPr>
          <w:p>
            <w:pPr>
              <w:jc w:val="center"/>
            </w:pPr>
            <w:r>
              <w:rPr>
                <w:b/>
                <w:color w:val="FFFFFF"/>
              </w:rPr>
              <w:t>Meaning</w:t>
            </w:r>
          </w:p>
        </w:tc>
        <w:tc>
          <w:tcPr>
            <w:tcW w:type="dxa" w:w="3408"/>
            <w:shd w:fill="1F4E79"/>
            <w:tcMar>
              <w:top w:w="80" w:type="dxa"/>
              <w:start w:w="100" w:type="dxa"/>
              <w:bottom w:w="80" w:type="dxa"/>
              <w:end w:w="100" w:type="dxa"/>
            </w:tcMar>
            <w:vAlign w:val="center"/>
          </w:tcPr>
          <w:p>
            <w:pPr>
              <w:jc w:val="center"/>
            </w:pPr>
            <w:r>
              <w:rPr>
                <w:b/>
                <w:color w:val="FFFFFF"/>
              </w:rPr>
              <w:t>Example</w:t>
            </w:r>
          </w:p>
        </w:tc>
      </w:tr>
      <w:tr>
        <w:tc>
          <w:tcPr>
            <w:tcW w:type="dxa" w:w="3408"/>
            <w:tcMar>
              <w:top w:w="80" w:type="dxa"/>
              <w:start w:w="100" w:type="dxa"/>
              <w:bottom w:w="80" w:type="dxa"/>
              <w:end w:w="100" w:type="dxa"/>
            </w:tcMar>
            <w:vAlign w:val="center"/>
          </w:tcPr>
          <w:p>
            <w:r>
              <w:t>Cross-border</w:t>
            </w:r>
          </w:p>
        </w:tc>
        <w:tc>
          <w:tcPr>
            <w:tcW w:type="dxa" w:w="3408"/>
            <w:tcMar>
              <w:top w:w="80" w:type="dxa"/>
              <w:start w:w="100" w:type="dxa"/>
              <w:bottom w:w="80" w:type="dxa"/>
              <w:end w:w="100" w:type="dxa"/>
            </w:tcMar>
            <w:vAlign w:val="center"/>
          </w:tcPr>
          <w:p>
            <w:r>
              <w:t>At least two national business environments are involved.</w:t>
            </w:r>
          </w:p>
        </w:tc>
        <w:tc>
          <w:tcPr>
            <w:tcW w:type="dxa" w:w="3408"/>
            <w:tcMar>
              <w:top w:w="80" w:type="dxa"/>
              <w:start w:w="100" w:type="dxa"/>
              <w:bottom w:w="80" w:type="dxa"/>
              <w:end w:w="100" w:type="dxa"/>
            </w:tcMar>
            <w:vAlign w:val="center"/>
          </w:tcPr>
          <w:p>
            <w:r>
              <w:t>An Indian firm sells to a German customer.</w:t>
            </w:r>
          </w:p>
        </w:tc>
      </w:tr>
      <w:tr>
        <w:tc>
          <w:tcPr>
            <w:tcW w:type="dxa" w:w="3408"/>
            <w:tcMar>
              <w:top w:w="80" w:type="dxa"/>
              <w:start w:w="100" w:type="dxa"/>
              <w:bottom w:w="80" w:type="dxa"/>
              <w:end w:w="100" w:type="dxa"/>
            </w:tcMar>
            <w:vAlign w:val="center"/>
          </w:tcPr>
          <w:p>
            <w:r>
              <w:t>Managerial complexity</w:t>
            </w:r>
          </w:p>
        </w:tc>
        <w:tc>
          <w:tcPr>
            <w:tcW w:type="dxa" w:w="3408"/>
            <w:tcMar>
              <w:top w:w="80" w:type="dxa"/>
              <w:start w:w="100" w:type="dxa"/>
              <w:bottom w:w="80" w:type="dxa"/>
              <w:end w:w="100" w:type="dxa"/>
            </w:tcMar>
            <w:vAlign w:val="center"/>
          </w:tcPr>
          <w:p>
            <w:r>
              <w:t>Different rules, cultures, currencies and risks must be managed.</w:t>
            </w:r>
          </w:p>
        </w:tc>
        <w:tc>
          <w:tcPr>
            <w:tcW w:type="dxa" w:w="3408"/>
            <w:tcMar>
              <w:top w:w="80" w:type="dxa"/>
              <w:start w:w="100" w:type="dxa"/>
              <w:bottom w:w="80" w:type="dxa"/>
              <w:end w:w="100" w:type="dxa"/>
            </w:tcMar>
            <w:vAlign w:val="center"/>
          </w:tcPr>
          <w:p>
            <w:r>
              <w:t>A product must comply with foreign standards and be priced in a foreign currency.</w:t>
            </w:r>
          </w:p>
        </w:tc>
      </w:tr>
      <w:tr>
        <w:tc>
          <w:tcPr>
            <w:tcW w:type="dxa" w:w="3408"/>
            <w:tcMar>
              <w:top w:w="80" w:type="dxa"/>
              <w:start w:w="100" w:type="dxa"/>
              <w:bottom w:w="80" w:type="dxa"/>
              <w:end w:w="100" w:type="dxa"/>
            </w:tcMar>
            <w:vAlign w:val="center"/>
          </w:tcPr>
          <w:p>
            <w:r>
              <w:t>Strategic choice</w:t>
            </w:r>
          </w:p>
        </w:tc>
        <w:tc>
          <w:tcPr>
            <w:tcW w:type="dxa" w:w="3408"/>
            <w:tcMar>
              <w:top w:w="80" w:type="dxa"/>
              <w:start w:w="100" w:type="dxa"/>
              <w:bottom w:w="80" w:type="dxa"/>
              <w:end w:w="100" w:type="dxa"/>
            </w:tcMar>
            <w:vAlign w:val="center"/>
          </w:tcPr>
          <w:p>
            <w:r>
              <w:t>Managers choose market, entry mode, location and degree of control.</w:t>
            </w:r>
          </w:p>
        </w:tc>
        <w:tc>
          <w:tcPr>
            <w:tcW w:type="dxa" w:w="3408"/>
            <w:tcMar>
              <w:top w:w="80" w:type="dxa"/>
              <w:start w:w="100" w:type="dxa"/>
              <w:bottom w:w="80" w:type="dxa"/>
              <w:end w:w="100" w:type="dxa"/>
            </w:tcMar>
            <w:vAlign w:val="center"/>
          </w:tcPr>
          <w:p>
            <w:r>
              <w:t>Export versus JV versus subsidiary.</w:t>
            </w:r>
          </w:p>
        </w:tc>
      </w:tr>
      <w:tr>
        <w:tc>
          <w:tcPr>
            <w:tcW w:type="dxa" w:w="3408"/>
            <w:tcMar>
              <w:top w:w="80" w:type="dxa"/>
              <w:start w:w="100" w:type="dxa"/>
              <w:bottom w:w="80" w:type="dxa"/>
              <w:end w:w="100" w:type="dxa"/>
            </w:tcMar>
            <w:vAlign w:val="center"/>
          </w:tcPr>
          <w:p>
            <w:r>
              <w:t>Value creation</w:t>
            </w:r>
          </w:p>
        </w:tc>
        <w:tc>
          <w:tcPr>
            <w:tcW w:type="dxa" w:w="3408"/>
            <w:tcMar>
              <w:top w:w="80" w:type="dxa"/>
              <w:start w:w="100" w:type="dxa"/>
              <w:bottom w:w="80" w:type="dxa"/>
              <w:end w:w="100" w:type="dxa"/>
            </w:tcMar>
            <w:vAlign w:val="center"/>
          </w:tcPr>
          <w:p>
            <w:r>
              <w:t>Internationalization can provide access to markets, resources and capabilities.</w:t>
            </w:r>
          </w:p>
        </w:tc>
        <w:tc>
          <w:tcPr>
            <w:tcW w:type="dxa" w:w="3408"/>
            <w:tcMar>
              <w:top w:w="80" w:type="dxa"/>
              <w:start w:w="100" w:type="dxa"/>
              <w:bottom w:w="80" w:type="dxa"/>
              <w:end w:w="100" w:type="dxa"/>
            </w:tcMar>
            <w:vAlign w:val="center"/>
          </w:tcPr>
          <w:p>
            <w:r>
              <w:t>Sourcing components from a country with strong supplier capabilities.</w:t>
            </w:r>
          </w:p>
        </w:tc>
      </w:tr>
    </w:tbl>
    <w:p/>
    <w:p>
      <w:r>
        <w:rPr>
          <w:b/>
          <w:color w:val="1F4E79"/>
        </w:rPr>
        <w:t xml:space="preserve">Question: </w:t>
      </w:r>
      <w:r>
        <w:t>Why is international business more than exporting?</w:t>
      </w:r>
    </w:p>
    <w:p>
      <w:pPr>
        <w:pStyle w:val="Answer"/>
      </w:pPr>
      <w:r>
        <w:rPr>
          <w:b/>
        </w:rPr>
        <w:t xml:space="preserve">Answer: </w:t>
      </w:r>
      <w:r>
        <w:t>Exporting is only one mode of cross-border activity. International business also includes foreign investment, licensing, technology transfer, international sourcing, movement of people, financing and coordination of activities across countries.</w:t>
      </w:r>
    </w:p>
    <w:p>
      <w:r>
        <w:rPr>
          <w:b/>
          <w:color w:val="1F4E79"/>
        </w:rPr>
        <w:t xml:space="preserve">Question: </w:t>
      </w:r>
      <w:r>
        <w:t>Give a simple example of international business.</w:t>
      </w:r>
    </w:p>
    <w:p>
      <w:pPr>
        <w:pStyle w:val="Answer"/>
      </w:pPr>
      <w:r>
        <w:rPr>
          <w:b/>
        </w:rPr>
        <w:t xml:space="preserve">Answer: </w:t>
      </w:r>
      <w:r>
        <w:t>An Indian technology firm develops software in India, hires employees in several countries, buys cloud services abroad, sells subscriptions in Europe and receives payment in euros. The firm is managing customers, people, finance and operations across multiple national environments.</w:t>
      </w:r>
    </w:p>
    <w:p>
      <w:pPr>
        <w:pStyle w:val="Heading1"/>
      </w:pPr>
      <w:r>
        <w:t>2. Why International Business Matters to an MBA Manager</w:t>
      </w:r>
    </w:p>
    <w:p>
      <w:r>
        <w:t>The slide makes an important point: international business changes the decision environment. It affects strategy, marketing, finance, operations, HR and risk rather than creating a separate "international department" only.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100" w:type="dxa"/>
              <w:bottom w:w="80" w:type="dxa"/>
              <w:end w:w="100" w:type="dxa"/>
            </w:tcMar>
            <w:vAlign w:val="center"/>
          </w:tcPr>
          <w:p>
            <w:pPr>
              <w:jc w:val="center"/>
            </w:pPr>
            <w:r>
              <w:rPr>
                <w:b/>
                <w:color w:val="FFFFFF"/>
              </w:rPr>
              <w:t>Function</w:t>
            </w:r>
          </w:p>
        </w:tc>
        <w:tc>
          <w:tcPr>
            <w:tcW w:type="dxa" w:w="3408"/>
            <w:shd w:fill="1F4E79"/>
            <w:tcMar>
              <w:top w:w="80" w:type="dxa"/>
              <w:start w:w="100" w:type="dxa"/>
              <w:bottom w:w="80" w:type="dxa"/>
              <w:end w:w="100" w:type="dxa"/>
            </w:tcMar>
            <w:vAlign w:val="center"/>
          </w:tcPr>
          <w:p>
            <w:pPr>
              <w:jc w:val="center"/>
            </w:pPr>
            <w:r>
              <w:rPr>
                <w:b/>
                <w:color w:val="FFFFFF"/>
              </w:rPr>
              <w:t>International management question</w:t>
            </w:r>
          </w:p>
        </w:tc>
        <w:tc>
          <w:tcPr>
            <w:tcW w:type="dxa" w:w="3408"/>
            <w:shd w:fill="1F4E79"/>
            <w:tcMar>
              <w:top w:w="80" w:type="dxa"/>
              <w:start w:w="100" w:type="dxa"/>
              <w:bottom w:w="80" w:type="dxa"/>
              <w:end w:w="100" w:type="dxa"/>
            </w:tcMar>
            <w:vAlign w:val="center"/>
          </w:tcPr>
          <w:p>
            <w:pPr>
              <w:jc w:val="center"/>
            </w:pPr>
            <w:r>
              <w:rPr>
                <w:b/>
                <w:color w:val="FFFFFF"/>
              </w:rPr>
              <w:t>What changes?</w:t>
            </w:r>
          </w:p>
        </w:tc>
      </w:tr>
      <w:tr>
        <w:tc>
          <w:tcPr>
            <w:tcW w:type="dxa" w:w="3408"/>
            <w:tcMar>
              <w:top w:w="80" w:type="dxa"/>
              <w:start w:w="100" w:type="dxa"/>
              <w:bottom w:w="80" w:type="dxa"/>
              <w:end w:w="100" w:type="dxa"/>
            </w:tcMar>
            <w:vAlign w:val="center"/>
          </w:tcPr>
          <w:p>
            <w:r>
              <w:t>Strategy</w:t>
            </w:r>
          </w:p>
        </w:tc>
        <w:tc>
          <w:tcPr>
            <w:tcW w:type="dxa" w:w="3408"/>
            <w:tcMar>
              <w:top w:w="80" w:type="dxa"/>
              <w:start w:w="100" w:type="dxa"/>
              <w:bottom w:w="80" w:type="dxa"/>
              <w:end w:w="100" w:type="dxa"/>
            </w:tcMar>
            <w:vAlign w:val="center"/>
          </w:tcPr>
          <w:p>
            <w:r>
              <w:t>Where should the firm compete and how much should it adapt?</w:t>
            </w:r>
          </w:p>
        </w:tc>
        <w:tc>
          <w:tcPr>
            <w:tcW w:type="dxa" w:w="3408"/>
            <w:tcMar>
              <w:top w:w="80" w:type="dxa"/>
              <w:start w:w="100" w:type="dxa"/>
              <w:bottom w:w="80" w:type="dxa"/>
              <w:end w:w="100" w:type="dxa"/>
            </w:tcMar>
            <w:vAlign w:val="center"/>
          </w:tcPr>
          <w:p>
            <w:r>
              <w:t>Country attractiveness, competition and entry mode.</w:t>
            </w:r>
          </w:p>
        </w:tc>
      </w:tr>
      <w:tr>
        <w:tc>
          <w:tcPr>
            <w:tcW w:type="dxa" w:w="3408"/>
            <w:tcMar>
              <w:top w:w="80" w:type="dxa"/>
              <w:start w:w="100" w:type="dxa"/>
              <w:bottom w:w="80" w:type="dxa"/>
              <w:end w:w="100" w:type="dxa"/>
            </w:tcMar>
            <w:vAlign w:val="center"/>
          </w:tcPr>
          <w:p>
            <w:r>
              <w:t>Marketing</w:t>
            </w:r>
          </w:p>
        </w:tc>
        <w:tc>
          <w:tcPr>
            <w:tcW w:type="dxa" w:w="3408"/>
            <w:tcMar>
              <w:top w:w="80" w:type="dxa"/>
              <w:start w:w="100" w:type="dxa"/>
              <w:bottom w:w="80" w:type="dxa"/>
              <w:end w:w="100" w:type="dxa"/>
            </w:tcMar>
            <w:vAlign w:val="center"/>
          </w:tcPr>
          <w:p>
            <w:r>
              <w:t>Who is the customer and what does value mean locally?</w:t>
            </w:r>
          </w:p>
        </w:tc>
        <w:tc>
          <w:tcPr>
            <w:tcW w:type="dxa" w:w="3408"/>
            <w:tcMar>
              <w:top w:w="80" w:type="dxa"/>
              <w:start w:w="100" w:type="dxa"/>
              <w:bottom w:w="80" w:type="dxa"/>
              <w:end w:w="100" w:type="dxa"/>
            </w:tcMar>
            <w:vAlign w:val="center"/>
          </w:tcPr>
          <w:p>
            <w:r>
              <w:t>Preferences, language and positioning.</w:t>
            </w:r>
          </w:p>
        </w:tc>
      </w:tr>
      <w:tr>
        <w:tc>
          <w:tcPr>
            <w:tcW w:type="dxa" w:w="3408"/>
            <w:tcMar>
              <w:top w:w="80" w:type="dxa"/>
              <w:start w:w="100" w:type="dxa"/>
              <w:bottom w:w="80" w:type="dxa"/>
              <w:end w:w="100" w:type="dxa"/>
            </w:tcMar>
            <w:vAlign w:val="center"/>
          </w:tcPr>
          <w:p>
            <w:r>
              <w:t>Finance</w:t>
            </w:r>
          </w:p>
        </w:tc>
        <w:tc>
          <w:tcPr>
            <w:tcW w:type="dxa" w:w="3408"/>
            <w:tcMar>
              <w:top w:w="80" w:type="dxa"/>
              <w:start w:w="100" w:type="dxa"/>
              <w:bottom w:w="80" w:type="dxa"/>
              <w:end w:w="100" w:type="dxa"/>
            </w:tcMar>
            <w:vAlign w:val="center"/>
          </w:tcPr>
          <w:p>
            <w:r>
              <w:t>How do currency, capital and country risk affect returns?</w:t>
            </w:r>
          </w:p>
        </w:tc>
        <w:tc>
          <w:tcPr>
            <w:tcW w:type="dxa" w:w="3408"/>
            <w:tcMar>
              <w:top w:w="80" w:type="dxa"/>
              <w:start w:w="100" w:type="dxa"/>
              <w:bottom w:w="80" w:type="dxa"/>
              <w:end w:w="100" w:type="dxa"/>
            </w:tcMar>
            <w:vAlign w:val="center"/>
          </w:tcPr>
          <w:p>
            <w:r>
              <w:t>FX, financing and capital allocation.</w:t>
            </w:r>
          </w:p>
        </w:tc>
      </w:tr>
      <w:tr>
        <w:tc>
          <w:tcPr>
            <w:tcW w:type="dxa" w:w="3408"/>
            <w:tcMar>
              <w:top w:w="80" w:type="dxa"/>
              <w:start w:w="100" w:type="dxa"/>
              <w:bottom w:w="80" w:type="dxa"/>
              <w:end w:w="100" w:type="dxa"/>
            </w:tcMar>
            <w:vAlign w:val="center"/>
          </w:tcPr>
          <w:p>
            <w:r>
              <w:t>Operations</w:t>
            </w:r>
          </w:p>
        </w:tc>
        <w:tc>
          <w:tcPr>
            <w:tcW w:type="dxa" w:w="3408"/>
            <w:tcMar>
              <w:top w:w="80" w:type="dxa"/>
              <w:start w:w="100" w:type="dxa"/>
              <w:bottom w:w="80" w:type="dxa"/>
              <w:end w:w="100" w:type="dxa"/>
            </w:tcMar>
            <w:vAlign w:val="center"/>
          </w:tcPr>
          <w:p>
            <w:r>
              <w:t>Where should sourcing, production and distribution occur?</w:t>
            </w:r>
          </w:p>
        </w:tc>
        <w:tc>
          <w:tcPr>
            <w:tcW w:type="dxa" w:w="3408"/>
            <w:tcMar>
              <w:top w:w="80" w:type="dxa"/>
              <w:start w:w="100" w:type="dxa"/>
              <w:bottom w:w="80" w:type="dxa"/>
              <w:end w:w="100" w:type="dxa"/>
            </w:tcMar>
            <w:vAlign w:val="center"/>
          </w:tcPr>
          <w:p>
            <w:r>
              <w:t>Cost, logistics and resilience.</w:t>
            </w:r>
          </w:p>
        </w:tc>
      </w:tr>
      <w:tr>
        <w:tc>
          <w:tcPr>
            <w:tcW w:type="dxa" w:w="3408"/>
            <w:tcMar>
              <w:top w:w="80" w:type="dxa"/>
              <w:start w:w="100" w:type="dxa"/>
              <w:bottom w:w="80" w:type="dxa"/>
              <w:end w:w="100" w:type="dxa"/>
            </w:tcMar>
            <w:vAlign w:val="center"/>
          </w:tcPr>
          <w:p>
            <w:r>
              <w:t>HR</w:t>
            </w:r>
          </w:p>
        </w:tc>
        <w:tc>
          <w:tcPr>
            <w:tcW w:type="dxa" w:w="3408"/>
            <w:tcMar>
              <w:top w:w="80" w:type="dxa"/>
              <w:start w:w="100" w:type="dxa"/>
              <w:bottom w:w="80" w:type="dxa"/>
              <w:end w:w="100" w:type="dxa"/>
            </w:tcMar>
            <w:vAlign w:val="center"/>
          </w:tcPr>
          <w:p>
            <w:r>
              <w:t>How should global talent, culture and leadership be managed?</w:t>
            </w:r>
          </w:p>
        </w:tc>
        <w:tc>
          <w:tcPr>
            <w:tcW w:type="dxa" w:w="3408"/>
            <w:tcMar>
              <w:top w:w="80" w:type="dxa"/>
              <w:start w:w="100" w:type="dxa"/>
              <w:bottom w:w="80" w:type="dxa"/>
              <w:end w:w="100" w:type="dxa"/>
            </w:tcMar>
            <w:vAlign w:val="center"/>
          </w:tcPr>
          <w:p>
            <w:r>
              <w:t>Labour markets and cross-cultural management.</w:t>
            </w:r>
          </w:p>
        </w:tc>
      </w:tr>
      <w:tr>
        <w:tc>
          <w:tcPr>
            <w:tcW w:type="dxa" w:w="3408"/>
            <w:tcMar>
              <w:top w:w="80" w:type="dxa"/>
              <w:start w:w="100" w:type="dxa"/>
              <w:bottom w:w="80" w:type="dxa"/>
              <w:end w:w="100" w:type="dxa"/>
            </w:tcMar>
            <w:vAlign w:val="center"/>
          </w:tcPr>
          <w:p>
            <w:r>
              <w:t>Risk</w:t>
            </w:r>
          </w:p>
        </w:tc>
        <w:tc>
          <w:tcPr>
            <w:tcW w:type="dxa" w:w="3408"/>
            <w:tcMar>
              <w:top w:w="80" w:type="dxa"/>
              <w:start w:w="100" w:type="dxa"/>
              <w:bottom w:w="80" w:type="dxa"/>
              <w:end w:w="100" w:type="dxa"/>
            </w:tcMar>
            <w:vAlign w:val="center"/>
          </w:tcPr>
          <w:p>
            <w:r>
              <w:t>What happens when regulation, politics or supply chains change?</w:t>
            </w:r>
          </w:p>
        </w:tc>
        <w:tc>
          <w:tcPr>
            <w:tcW w:type="dxa" w:w="3408"/>
            <w:tcMar>
              <w:top w:w="80" w:type="dxa"/>
              <w:start w:w="100" w:type="dxa"/>
              <w:bottom w:w="80" w:type="dxa"/>
              <w:end w:w="100" w:type="dxa"/>
            </w:tcMar>
            <w:vAlign w:val="center"/>
          </w:tcPr>
          <w:p>
            <w:r>
              <w:t>Country, political, currency and geopolitical risk.</w:t>
            </w:r>
          </w:p>
        </w:tc>
      </w:tr>
    </w:tbl>
    <w:p/>
    <w:p>
      <w:r>
        <w:rPr>
          <w:b/>
          <w:color w:val="1F4E79"/>
        </w:rPr>
        <w:t xml:space="preserve">Question: </w:t>
      </w:r>
      <w:r>
        <w:t>Explain the statement: "International business changes the decision environment."</w:t>
      </w:r>
    </w:p>
    <w:p>
      <w:pPr>
        <w:pStyle w:val="Answer"/>
      </w:pPr>
      <w:r>
        <w:rPr>
          <w:b/>
        </w:rPr>
        <w:t xml:space="preserve">Answer: </w:t>
      </w:r>
      <w:r>
        <w:t>A manager is no longer operating under one set of laws, one currency, one culture and one market structure. Decisions must account for country differences and cross-border interdependence. Therefore strategy, marketing, finance, operations, HR and risk decisions all become more complex.</w:t>
      </w:r>
    </w:p>
    <w:p>
      <w:pPr>
        <w:pStyle w:val="Heading1"/>
      </w:pPr>
      <w:r>
        <w:t>3. Conceptual Framework of International Business</w:t>
      </w:r>
    </w:p>
    <w:p>
      <w:r>
        <w:t>The presentation places six dimensions around the central concept of international business: markets, resources, trade, capital, institutions and culture. These are interdependent. A market opportunity may be attractive but impossible to exploit without resources, financing, regulatory permission and cultural fit.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100" w:type="dxa"/>
              <w:bottom w:w="80" w:type="dxa"/>
              <w:end w:w="100" w:type="dxa"/>
            </w:tcMar>
            <w:vAlign w:val="center"/>
          </w:tcPr>
          <w:p>
            <w:pPr>
              <w:jc w:val="center"/>
            </w:pPr>
            <w:r>
              <w:rPr>
                <w:b/>
                <w:color w:val="FFFFFF"/>
              </w:rPr>
              <w:t>Dimension</w:t>
            </w:r>
          </w:p>
        </w:tc>
        <w:tc>
          <w:tcPr>
            <w:tcW w:type="dxa" w:w="3408"/>
            <w:shd w:fill="1F4E79"/>
            <w:tcMar>
              <w:top w:w="80" w:type="dxa"/>
              <w:start w:w="100" w:type="dxa"/>
              <w:bottom w:w="80" w:type="dxa"/>
              <w:end w:w="100" w:type="dxa"/>
            </w:tcMar>
            <w:vAlign w:val="center"/>
          </w:tcPr>
          <w:p>
            <w:pPr>
              <w:jc w:val="center"/>
            </w:pPr>
            <w:r>
              <w:rPr>
                <w:b/>
                <w:color w:val="FFFFFF"/>
              </w:rPr>
              <w:t>What it includes</w:t>
            </w:r>
          </w:p>
        </w:tc>
        <w:tc>
          <w:tcPr>
            <w:tcW w:type="dxa" w:w="3408"/>
            <w:shd w:fill="1F4E79"/>
            <w:tcMar>
              <w:top w:w="80" w:type="dxa"/>
              <w:start w:w="100" w:type="dxa"/>
              <w:bottom w:w="80" w:type="dxa"/>
              <w:end w:w="100" w:type="dxa"/>
            </w:tcMar>
            <w:vAlign w:val="center"/>
          </w:tcPr>
          <w:p>
            <w:pPr>
              <w:jc w:val="center"/>
            </w:pPr>
            <w:r>
              <w:rPr>
                <w:b/>
                <w:color w:val="FFFFFF"/>
              </w:rPr>
              <w:t>Exam explanation</w:t>
            </w:r>
          </w:p>
        </w:tc>
      </w:tr>
      <w:tr>
        <w:tc>
          <w:tcPr>
            <w:tcW w:type="dxa" w:w="3408"/>
            <w:tcMar>
              <w:top w:w="80" w:type="dxa"/>
              <w:start w:w="100" w:type="dxa"/>
              <w:bottom w:w="80" w:type="dxa"/>
              <w:end w:w="100" w:type="dxa"/>
            </w:tcMar>
            <w:vAlign w:val="center"/>
          </w:tcPr>
          <w:p>
            <w:r>
              <w:t>Markets</w:t>
            </w:r>
          </w:p>
        </w:tc>
        <w:tc>
          <w:tcPr>
            <w:tcW w:type="dxa" w:w="3408"/>
            <w:tcMar>
              <w:top w:w="80" w:type="dxa"/>
              <w:start w:w="100" w:type="dxa"/>
              <w:bottom w:w="80" w:type="dxa"/>
              <w:end w:w="100" w:type="dxa"/>
            </w:tcMar>
            <w:vAlign w:val="center"/>
          </w:tcPr>
          <w:p>
            <w:r>
              <w:t>Customers, demand, competition</w:t>
            </w:r>
          </w:p>
        </w:tc>
        <w:tc>
          <w:tcPr>
            <w:tcW w:type="dxa" w:w="3408"/>
            <w:tcMar>
              <w:top w:w="80" w:type="dxa"/>
              <w:start w:w="100" w:type="dxa"/>
              <w:bottom w:w="80" w:type="dxa"/>
              <w:end w:w="100" w:type="dxa"/>
            </w:tcMar>
            <w:vAlign w:val="center"/>
          </w:tcPr>
          <w:p>
            <w:r>
              <w:t>Where and for whom the firm creates value.</w:t>
            </w:r>
          </w:p>
        </w:tc>
      </w:tr>
      <w:tr>
        <w:tc>
          <w:tcPr>
            <w:tcW w:type="dxa" w:w="3408"/>
            <w:tcMar>
              <w:top w:w="80" w:type="dxa"/>
              <w:start w:w="100" w:type="dxa"/>
              <w:bottom w:w="80" w:type="dxa"/>
              <w:end w:w="100" w:type="dxa"/>
            </w:tcMar>
            <w:vAlign w:val="center"/>
          </w:tcPr>
          <w:p>
            <w:r>
              <w:t>Resources</w:t>
            </w:r>
          </w:p>
        </w:tc>
        <w:tc>
          <w:tcPr>
            <w:tcW w:type="dxa" w:w="3408"/>
            <w:tcMar>
              <w:top w:w="80" w:type="dxa"/>
              <w:start w:w="100" w:type="dxa"/>
              <w:bottom w:w="80" w:type="dxa"/>
              <w:end w:w="100" w:type="dxa"/>
            </w:tcMar>
            <w:vAlign w:val="center"/>
          </w:tcPr>
          <w:p>
            <w:r>
              <w:t>Talent, raw materials, technology</w:t>
            </w:r>
          </w:p>
        </w:tc>
        <w:tc>
          <w:tcPr>
            <w:tcW w:type="dxa" w:w="3408"/>
            <w:tcMar>
              <w:top w:w="80" w:type="dxa"/>
              <w:start w:w="100" w:type="dxa"/>
              <w:bottom w:w="80" w:type="dxa"/>
              <w:end w:w="100" w:type="dxa"/>
            </w:tcMar>
            <w:vAlign w:val="center"/>
          </w:tcPr>
          <w:p>
            <w:r>
              <w:t>Inputs and capabilities needed to operate.</w:t>
            </w:r>
          </w:p>
        </w:tc>
      </w:tr>
      <w:tr>
        <w:tc>
          <w:tcPr>
            <w:tcW w:type="dxa" w:w="3408"/>
            <w:tcMar>
              <w:top w:w="80" w:type="dxa"/>
              <w:start w:w="100" w:type="dxa"/>
              <w:bottom w:w="80" w:type="dxa"/>
              <w:end w:w="100" w:type="dxa"/>
            </w:tcMar>
            <w:vAlign w:val="center"/>
          </w:tcPr>
          <w:p>
            <w:r>
              <w:t>Trade</w:t>
            </w:r>
          </w:p>
        </w:tc>
        <w:tc>
          <w:tcPr>
            <w:tcW w:type="dxa" w:w="3408"/>
            <w:tcMar>
              <w:top w:w="80" w:type="dxa"/>
              <w:start w:w="100" w:type="dxa"/>
              <w:bottom w:w="80" w:type="dxa"/>
              <w:end w:w="100" w:type="dxa"/>
            </w:tcMar>
            <w:vAlign w:val="center"/>
          </w:tcPr>
          <w:p>
            <w:r>
              <w:t>Goods and services across borders</w:t>
            </w:r>
          </w:p>
        </w:tc>
        <w:tc>
          <w:tcPr>
            <w:tcW w:type="dxa" w:w="3408"/>
            <w:tcMar>
              <w:top w:w="80" w:type="dxa"/>
              <w:start w:w="100" w:type="dxa"/>
              <w:bottom w:w="80" w:type="dxa"/>
              <w:end w:w="100" w:type="dxa"/>
            </w:tcMar>
            <w:vAlign w:val="center"/>
          </w:tcPr>
          <w:p>
            <w:r>
              <w:t>The movement of products and services.</w:t>
            </w:r>
          </w:p>
        </w:tc>
      </w:tr>
      <w:tr>
        <w:tc>
          <w:tcPr>
            <w:tcW w:type="dxa" w:w="3408"/>
            <w:tcMar>
              <w:top w:w="80" w:type="dxa"/>
              <w:start w:w="100" w:type="dxa"/>
              <w:bottom w:w="80" w:type="dxa"/>
              <w:end w:w="100" w:type="dxa"/>
            </w:tcMar>
            <w:vAlign w:val="center"/>
          </w:tcPr>
          <w:p>
            <w:r>
              <w:t>Capital</w:t>
            </w:r>
          </w:p>
        </w:tc>
        <w:tc>
          <w:tcPr>
            <w:tcW w:type="dxa" w:w="3408"/>
            <w:tcMar>
              <w:top w:w="80" w:type="dxa"/>
              <w:start w:w="100" w:type="dxa"/>
              <w:bottom w:w="80" w:type="dxa"/>
              <w:end w:w="100" w:type="dxa"/>
            </w:tcMar>
            <w:vAlign w:val="center"/>
          </w:tcPr>
          <w:p>
            <w:r>
              <w:t>FX, financing, investment</w:t>
            </w:r>
          </w:p>
        </w:tc>
        <w:tc>
          <w:tcPr>
            <w:tcW w:type="dxa" w:w="3408"/>
            <w:tcMar>
              <w:top w:w="80" w:type="dxa"/>
              <w:start w:w="100" w:type="dxa"/>
              <w:bottom w:w="80" w:type="dxa"/>
              <w:end w:w="100" w:type="dxa"/>
            </w:tcMar>
            <w:vAlign w:val="center"/>
          </w:tcPr>
          <w:p>
            <w:r>
              <w:t>Money required and currency exposure created by cross-border activity.</w:t>
            </w:r>
          </w:p>
        </w:tc>
      </w:tr>
      <w:tr>
        <w:tc>
          <w:tcPr>
            <w:tcW w:type="dxa" w:w="3408"/>
            <w:tcMar>
              <w:top w:w="80" w:type="dxa"/>
              <w:start w:w="100" w:type="dxa"/>
              <w:bottom w:w="80" w:type="dxa"/>
              <w:end w:w="100" w:type="dxa"/>
            </w:tcMar>
            <w:vAlign w:val="center"/>
          </w:tcPr>
          <w:p>
            <w:r>
              <w:t>Institutions</w:t>
            </w:r>
          </w:p>
        </w:tc>
        <w:tc>
          <w:tcPr>
            <w:tcW w:type="dxa" w:w="3408"/>
            <w:tcMar>
              <w:top w:w="80" w:type="dxa"/>
              <w:start w:w="100" w:type="dxa"/>
              <w:bottom w:w="80" w:type="dxa"/>
              <w:end w:w="100" w:type="dxa"/>
            </w:tcMar>
            <w:vAlign w:val="center"/>
          </w:tcPr>
          <w:p>
            <w:r>
              <w:t>Trade rules, laws, governments</w:t>
            </w:r>
          </w:p>
        </w:tc>
        <w:tc>
          <w:tcPr>
            <w:tcW w:type="dxa" w:w="3408"/>
            <w:tcMar>
              <w:top w:w="80" w:type="dxa"/>
              <w:start w:w="100" w:type="dxa"/>
              <w:bottom w:w="80" w:type="dxa"/>
              <w:end w:w="100" w:type="dxa"/>
            </w:tcMar>
            <w:vAlign w:val="center"/>
          </w:tcPr>
          <w:p>
            <w:r>
              <w:t>The rules within which the firm must operate.</w:t>
            </w:r>
          </w:p>
        </w:tc>
      </w:tr>
      <w:tr>
        <w:tc>
          <w:tcPr>
            <w:tcW w:type="dxa" w:w="3408"/>
            <w:tcMar>
              <w:top w:w="80" w:type="dxa"/>
              <w:start w:w="100" w:type="dxa"/>
              <w:bottom w:w="80" w:type="dxa"/>
              <w:end w:w="100" w:type="dxa"/>
            </w:tcMar>
            <w:vAlign w:val="center"/>
          </w:tcPr>
          <w:p>
            <w:r>
              <w:t>Culture</w:t>
            </w:r>
          </w:p>
        </w:tc>
        <w:tc>
          <w:tcPr>
            <w:tcW w:type="dxa" w:w="3408"/>
            <w:tcMar>
              <w:top w:w="80" w:type="dxa"/>
              <w:start w:w="100" w:type="dxa"/>
              <w:bottom w:w="80" w:type="dxa"/>
              <w:end w:w="100" w:type="dxa"/>
            </w:tcMar>
            <w:vAlign w:val="center"/>
          </w:tcPr>
          <w:p>
            <w:r>
              <w:t>Values, language, behaviour</w:t>
            </w:r>
          </w:p>
        </w:tc>
        <w:tc>
          <w:tcPr>
            <w:tcW w:type="dxa" w:w="3408"/>
            <w:tcMar>
              <w:top w:w="80" w:type="dxa"/>
              <w:start w:w="100" w:type="dxa"/>
              <w:bottom w:w="80" w:type="dxa"/>
              <w:end w:w="100" w:type="dxa"/>
            </w:tcMar>
            <w:vAlign w:val="center"/>
          </w:tcPr>
          <w:p>
            <w:r>
              <w:t>Local expectations shaping customers, employees and partners.</w:t>
            </w:r>
          </w:p>
        </w:tc>
      </w:tr>
    </w:tbl>
    <w:p/>
    <w:p>
      <w:pPr>
        <w:pStyle w:val="Heading1"/>
      </w:pPr>
      <w:r>
        <w:t>4. Evolution: From International Trade to International Business</w:t>
      </w:r>
    </w:p>
    <w:p>
      <w:r>
        <w:t>The presentation provides a historical sequence rather than a detailed history chapter.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100" w:type="dxa"/>
              <w:bottom w:w="80" w:type="dxa"/>
              <w:end w:w="100" w:type="dxa"/>
            </w:tcMar>
            <w:vAlign w:val="center"/>
          </w:tcPr>
          <w:p>
            <w:pPr>
              <w:jc w:val="center"/>
            </w:pPr>
            <w:r>
              <w:rPr>
                <w:b/>
                <w:color w:val="FFFFFF"/>
              </w:rPr>
              <w:t>Period</w:t>
            </w:r>
          </w:p>
        </w:tc>
        <w:tc>
          <w:tcPr>
            <w:tcW w:type="dxa" w:w="3408"/>
            <w:shd w:fill="1F4E79"/>
            <w:tcMar>
              <w:top w:w="80" w:type="dxa"/>
              <w:start w:w="100" w:type="dxa"/>
              <w:bottom w:w="80" w:type="dxa"/>
              <w:end w:w="100" w:type="dxa"/>
            </w:tcMar>
            <w:vAlign w:val="center"/>
          </w:tcPr>
          <w:p>
            <w:pPr>
              <w:jc w:val="center"/>
            </w:pPr>
            <w:r>
              <w:rPr>
                <w:b/>
                <w:color w:val="FFFFFF"/>
              </w:rPr>
              <w:t>Presentation point</w:t>
            </w:r>
          </w:p>
        </w:tc>
        <w:tc>
          <w:tcPr>
            <w:tcW w:type="dxa" w:w="3408"/>
            <w:shd w:fill="1F4E79"/>
            <w:tcMar>
              <w:top w:w="80" w:type="dxa"/>
              <w:start w:w="100" w:type="dxa"/>
              <w:bottom w:w="80" w:type="dxa"/>
              <w:end w:w="100" w:type="dxa"/>
            </w:tcMar>
            <w:vAlign w:val="center"/>
          </w:tcPr>
          <w:p>
            <w:pPr>
              <w:jc w:val="center"/>
            </w:pPr>
            <w:r>
              <w:rPr>
                <w:b/>
                <w:color w:val="FFFFFF"/>
              </w:rPr>
              <w:t>Meaning for IB</w:t>
            </w:r>
          </w:p>
        </w:tc>
      </w:tr>
      <w:tr>
        <w:tc>
          <w:tcPr>
            <w:tcW w:type="dxa" w:w="3408"/>
            <w:tcMar>
              <w:top w:w="80" w:type="dxa"/>
              <w:start w:w="100" w:type="dxa"/>
              <w:bottom w:w="80" w:type="dxa"/>
              <w:end w:w="100" w:type="dxa"/>
            </w:tcMar>
            <w:vAlign w:val="center"/>
          </w:tcPr>
          <w:p>
            <w:r>
              <w:t>1870s</w:t>
            </w:r>
          </w:p>
        </w:tc>
        <w:tc>
          <w:tcPr>
            <w:tcW w:type="dxa" w:w="3408"/>
            <w:tcMar>
              <w:top w:w="80" w:type="dxa"/>
              <w:start w:w="100" w:type="dxa"/>
              <w:bottom w:w="80" w:type="dxa"/>
              <w:end w:w="100" w:type="dxa"/>
            </w:tcMar>
            <w:vAlign w:val="center"/>
          </w:tcPr>
          <w:p>
            <w:r>
              <w:t>First major phase of globalization</w:t>
            </w:r>
          </w:p>
        </w:tc>
        <w:tc>
          <w:tcPr>
            <w:tcW w:type="dxa" w:w="3408"/>
            <w:tcMar>
              <w:top w:w="80" w:type="dxa"/>
              <w:start w:w="100" w:type="dxa"/>
              <w:bottom w:w="80" w:type="dxa"/>
              <w:end w:w="100" w:type="dxa"/>
            </w:tcMar>
            <w:vAlign w:val="center"/>
          </w:tcPr>
          <w:p>
            <w:r>
              <w:t>Growing cross-border economic integration.</w:t>
            </w:r>
          </w:p>
        </w:tc>
      </w:tr>
      <w:tr>
        <w:tc>
          <w:tcPr>
            <w:tcW w:type="dxa" w:w="3408"/>
            <w:tcMar>
              <w:top w:w="80" w:type="dxa"/>
              <w:start w:w="100" w:type="dxa"/>
              <w:bottom w:w="80" w:type="dxa"/>
              <w:end w:w="100" w:type="dxa"/>
            </w:tcMar>
            <w:vAlign w:val="center"/>
          </w:tcPr>
          <w:p>
            <w:r>
              <w:t>1913</w:t>
            </w:r>
          </w:p>
        </w:tc>
        <w:tc>
          <w:tcPr>
            <w:tcW w:type="dxa" w:w="3408"/>
            <w:tcMar>
              <w:top w:w="80" w:type="dxa"/>
              <w:start w:w="100" w:type="dxa"/>
              <w:bottom w:w="80" w:type="dxa"/>
              <w:end w:w="100" w:type="dxa"/>
            </w:tcMar>
            <w:vAlign w:val="center"/>
          </w:tcPr>
          <w:p>
            <w:r>
              <w:t>High trade integration before interwar reversal</w:t>
            </w:r>
          </w:p>
        </w:tc>
        <w:tc>
          <w:tcPr>
            <w:tcW w:type="dxa" w:w="3408"/>
            <w:tcMar>
              <w:top w:w="80" w:type="dxa"/>
              <w:start w:w="100" w:type="dxa"/>
              <w:bottom w:w="80" w:type="dxa"/>
              <w:end w:w="100" w:type="dxa"/>
            </w:tcMar>
            <w:vAlign w:val="center"/>
          </w:tcPr>
          <w:p>
            <w:r>
              <w:t>International trade had become highly important.</w:t>
            </w:r>
          </w:p>
        </w:tc>
      </w:tr>
      <w:tr>
        <w:tc>
          <w:tcPr>
            <w:tcW w:type="dxa" w:w="3408"/>
            <w:tcMar>
              <w:top w:w="80" w:type="dxa"/>
              <w:start w:w="100" w:type="dxa"/>
              <w:bottom w:w="80" w:type="dxa"/>
              <w:end w:w="100" w:type="dxa"/>
            </w:tcMar>
            <w:vAlign w:val="center"/>
          </w:tcPr>
          <w:p>
            <w:r>
              <w:t>1930s</w:t>
            </w:r>
          </w:p>
        </w:tc>
        <w:tc>
          <w:tcPr>
            <w:tcW w:type="dxa" w:w="3408"/>
            <w:tcMar>
              <w:top w:w="80" w:type="dxa"/>
              <w:start w:w="100" w:type="dxa"/>
              <w:bottom w:w="80" w:type="dxa"/>
              <w:end w:w="100" w:type="dxa"/>
            </w:tcMar>
            <w:vAlign w:val="center"/>
          </w:tcPr>
          <w:p>
            <w:r>
              <w:t>Trade contraction and protectionism</w:t>
            </w:r>
          </w:p>
        </w:tc>
        <w:tc>
          <w:tcPr>
            <w:tcW w:type="dxa" w:w="3408"/>
            <w:tcMar>
              <w:top w:w="80" w:type="dxa"/>
              <w:start w:w="100" w:type="dxa"/>
              <w:bottom w:w="80" w:type="dxa"/>
              <w:end w:w="100" w:type="dxa"/>
            </w:tcMar>
            <w:vAlign w:val="center"/>
          </w:tcPr>
          <w:p>
            <w:r>
              <w:t>Protectionist policies reduced international trade.</w:t>
            </w:r>
          </w:p>
        </w:tc>
      </w:tr>
      <w:tr>
        <w:tc>
          <w:tcPr>
            <w:tcW w:type="dxa" w:w="3408"/>
            <w:tcMar>
              <w:top w:w="80" w:type="dxa"/>
              <w:start w:w="100" w:type="dxa"/>
              <w:bottom w:w="80" w:type="dxa"/>
              <w:end w:w="100" w:type="dxa"/>
            </w:tcMar>
            <w:vAlign w:val="center"/>
          </w:tcPr>
          <w:p>
            <w:r>
              <w:t>Post-1945</w:t>
            </w:r>
          </w:p>
        </w:tc>
        <w:tc>
          <w:tcPr>
            <w:tcW w:type="dxa" w:w="3408"/>
            <w:tcMar>
              <w:top w:w="80" w:type="dxa"/>
              <w:start w:w="100" w:type="dxa"/>
              <w:bottom w:w="80" w:type="dxa"/>
              <w:end w:w="100" w:type="dxa"/>
            </w:tcMar>
            <w:vAlign w:val="center"/>
          </w:tcPr>
          <w:p>
            <w:r>
              <w:t>International cooperation becomes a policy priority</w:t>
            </w:r>
          </w:p>
        </w:tc>
        <w:tc>
          <w:tcPr>
            <w:tcW w:type="dxa" w:w="3408"/>
            <w:tcMar>
              <w:top w:w="80" w:type="dxa"/>
              <w:start w:w="100" w:type="dxa"/>
              <w:bottom w:w="80" w:type="dxa"/>
              <w:end w:w="100" w:type="dxa"/>
            </w:tcMar>
            <w:vAlign w:val="center"/>
          </w:tcPr>
          <w:p>
            <w:r>
              <w:t>Countries sought greater institutional cooperation.</w:t>
            </w:r>
          </w:p>
        </w:tc>
      </w:tr>
      <w:tr>
        <w:tc>
          <w:tcPr>
            <w:tcW w:type="dxa" w:w="3408"/>
            <w:tcMar>
              <w:top w:w="80" w:type="dxa"/>
              <w:start w:w="100" w:type="dxa"/>
              <w:bottom w:w="80" w:type="dxa"/>
              <w:end w:w="100" w:type="dxa"/>
            </w:tcMar>
            <w:vAlign w:val="center"/>
          </w:tcPr>
          <w:p>
            <w:r>
              <w:t>1947</w:t>
            </w:r>
          </w:p>
        </w:tc>
        <w:tc>
          <w:tcPr>
            <w:tcW w:type="dxa" w:w="3408"/>
            <w:tcMar>
              <w:top w:w="80" w:type="dxa"/>
              <w:start w:w="100" w:type="dxa"/>
              <w:bottom w:w="80" w:type="dxa"/>
              <w:end w:w="100" w:type="dxa"/>
            </w:tcMar>
            <w:vAlign w:val="center"/>
          </w:tcPr>
          <w:p>
            <w:r>
              <w:t>GATT established</w:t>
            </w:r>
          </w:p>
        </w:tc>
        <w:tc>
          <w:tcPr>
            <w:tcW w:type="dxa" w:w="3408"/>
            <w:tcMar>
              <w:top w:w="80" w:type="dxa"/>
              <w:start w:w="100" w:type="dxa"/>
              <w:bottom w:w="80" w:type="dxa"/>
              <w:end w:w="100" w:type="dxa"/>
            </w:tcMar>
            <w:vAlign w:val="center"/>
          </w:tcPr>
          <w:p>
            <w:r>
              <w:t>A rules-based framework for trade cooperation.</w:t>
            </w:r>
          </w:p>
        </w:tc>
      </w:tr>
      <w:tr>
        <w:tc>
          <w:tcPr>
            <w:tcW w:type="dxa" w:w="3408"/>
            <w:tcMar>
              <w:top w:w="80" w:type="dxa"/>
              <w:start w:w="100" w:type="dxa"/>
              <w:bottom w:w="80" w:type="dxa"/>
              <w:end w:w="100" w:type="dxa"/>
            </w:tcMar>
            <w:vAlign w:val="center"/>
          </w:tcPr>
          <w:p>
            <w:r>
              <w:t>1995</w:t>
            </w:r>
          </w:p>
        </w:tc>
        <w:tc>
          <w:tcPr>
            <w:tcW w:type="dxa" w:w="3408"/>
            <w:tcMar>
              <w:top w:w="80" w:type="dxa"/>
              <w:start w:w="100" w:type="dxa"/>
              <w:bottom w:w="80" w:type="dxa"/>
              <w:end w:w="100" w:type="dxa"/>
            </w:tcMar>
            <w:vAlign w:val="center"/>
          </w:tcPr>
          <w:p>
            <w:r>
              <w:t>WTO replaces GATT framework</w:t>
            </w:r>
          </w:p>
        </w:tc>
        <w:tc>
          <w:tcPr>
            <w:tcW w:type="dxa" w:w="3408"/>
            <w:tcMar>
              <w:top w:w="80" w:type="dxa"/>
              <w:start w:w="100" w:type="dxa"/>
              <w:bottom w:w="80" w:type="dxa"/>
              <w:end w:w="100" w:type="dxa"/>
            </w:tcMar>
            <w:vAlign w:val="center"/>
          </w:tcPr>
          <w:p>
            <w:r>
              <w:t>Broader institutional framework for global trade.</w:t>
            </w:r>
          </w:p>
        </w:tc>
      </w:tr>
      <w:tr>
        <w:tc>
          <w:tcPr>
            <w:tcW w:type="dxa" w:w="3408"/>
            <w:tcMar>
              <w:top w:w="80" w:type="dxa"/>
              <w:start w:w="100" w:type="dxa"/>
              <w:bottom w:w="80" w:type="dxa"/>
              <w:end w:w="100" w:type="dxa"/>
            </w:tcMar>
            <w:vAlign w:val="center"/>
          </w:tcPr>
          <w:p>
            <w:r>
              <w:t>1990s onward</w:t>
            </w:r>
          </w:p>
        </w:tc>
        <w:tc>
          <w:tcPr>
            <w:tcW w:type="dxa" w:w="3408"/>
            <w:tcMar>
              <w:top w:w="80" w:type="dxa"/>
              <w:start w:w="100" w:type="dxa"/>
              <w:bottom w:w="80" w:type="dxa"/>
              <w:end w:w="100" w:type="dxa"/>
            </w:tcMar>
            <w:vAlign w:val="center"/>
          </w:tcPr>
          <w:p>
            <w:r>
              <w:t>Rapid internationalization and globalization</w:t>
            </w:r>
          </w:p>
        </w:tc>
        <w:tc>
          <w:tcPr>
            <w:tcW w:type="dxa" w:w="3408"/>
            <w:tcMar>
              <w:top w:w="80" w:type="dxa"/>
              <w:start w:w="100" w:type="dxa"/>
              <w:bottom w:w="80" w:type="dxa"/>
              <w:end w:w="100" w:type="dxa"/>
            </w:tcMar>
            <w:vAlign w:val="center"/>
          </w:tcPr>
          <w:p>
            <w:r>
              <w:t>Firms increasingly coordinate markets, supply chains, technology and capital across borders.</w:t>
            </w:r>
          </w:p>
        </w:tc>
      </w:tr>
    </w:tbl>
    <w:p/>
    <w:p>
      <w:r>
        <w:rPr>
          <w:b/>
          <w:color w:val="1F4E79"/>
        </w:rPr>
        <w:t xml:space="preserve">Question: </w:t>
      </w:r>
      <w:r>
        <w:t>Trace the evolution from international trade to international business.</w:t>
      </w:r>
    </w:p>
    <w:p>
      <w:pPr>
        <w:pStyle w:val="Answer"/>
      </w:pPr>
      <w:r>
        <w:rPr>
          <w:b/>
        </w:rPr>
        <w:t xml:space="preserve">Answer: </w:t>
      </w:r>
      <w:r>
        <w:t>The progression is from early globalization and trade integration, through the protectionist reversal of the 1930s, to post-1945 international cooperation, GATT in 1947, WTO in 1995, and rapid globalization from the 1990s onward. The key conceptual change is that firms moved beyond simple trade toward globally coordinated business activity.</w:t>
      </w:r>
    </w:p>
    <w:p>
      <w:pPr>
        <w:pStyle w:val="Heading1"/>
      </w:pPr>
      <w:r>
        <w:t>5. Nature of International Business</w:t>
      </w:r>
    </w:p>
    <w:p>
      <w:r>
        <w:t>The six descriptors in the presentation should be memorized because they are directly testable.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100" w:type="dxa"/>
              <w:bottom w:w="80" w:type="dxa"/>
              <w:end w:w="100" w:type="dxa"/>
            </w:tcMar>
            <w:vAlign w:val="center"/>
          </w:tcPr>
          <w:p>
            <w:pPr>
              <w:jc w:val="center"/>
            </w:pPr>
            <w:r>
              <w:rPr>
                <w:b/>
                <w:color w:val="FFFFFF"/>
              </w:rPr>
              <w:t>Characteristic</w:t>
            </w:r>
          </w:p>
        </w:tc>
        <w:tc>
          <w:tcPr>
            <w:tcW w:type="dxa" w:w="3408"/>
            <w:shd w:fill="1F4E79"/>
            <w:tcMar>
              <w:top w:w="80" w:type="dxa"/>
              <w:start w:w="100" w:type="dxa"/>
              <w:bottom w:w="80" w:type="dxa"/>
              <w:end w:w="100" w:type="dxa"/>
            </w:tcMar>
            <w:vAlign w:val="center"/>
          </w:tcPr>
          <w:p>
            <w:pPr>
              <w:jc w:val="center"/>
            </w:pPr>
            <w:r>
              <w:rPr>
                <w:b/>
                <w:color w:val="FFFFFF"/>
              </w:rPr>
              <w:t>Explanation</w:t>
            </w:r>
          </w:p>
        </w:tc>
        <w:tc>
          <w:tcPr>
            <w:tcW w:type="dxa" w:w="3408"/>
            <w:shd w:fill="1F4E79"/>
            <w:tcMar>
              <w:top w:w="80" w:type="dxa"/>
              <w:start w:w="100" w:type="dxa"/>
              <w:bottom w:w="80" w:type="dxa"/>
              <w:end w:w="100" w:type="dxa"/>
            </w:tcMar>
            <w:vAlign w:val="center"/>
          </w:tcPr>
          <w:p>
            <w:pPr>
              <w:jc w:val="center"/>
            </w:pPr>
            <w:r>
              <w:rPr>
                <w:b/>
                <w:color w:val="FFFFFF"/>
              </w:rPr>
              <w:t>Example</w:t>
            </w:r>
          </w:p>
        </w:tc>
      </w:tr>
      <w:tr>
        <w:tc>
          <w:tcPr>
            <w:tcW w:type="dxa" w:w="3408"/>
            <w:tcMar>
              <w:top w:w="80" w:type="dxa"/>
              <w:start w:w="100" w:type="dxa"/>
              <w:bottom w:w="80" w:type="dxa"/>
              <w:end w:w="100" w:type="dxa"/>
            </w:tcMar>
            <w:vAlign w:val="center"/>
          </w:tcPr>
          <w:p>
            <w:r>
              <w:t>Complex</w:t>
            </w:r>
          </w:p>
        </w:tc>
        <w:tc>
          <w:tcPr>
            <w:tcW w:type="dxa" w:w="3408"/>
            <w:tcMar>
              <w:top w:w="80" w:type="dxa"/>
              <w:start w:w="100" w:type="dxa"/>
              <w:bottom w:w="80" w:type="dxa"/>
              <w:end w:w="100" w:type="dxa"/>
            </w:tcMar>
            <w:vAlign w:val="center"/>
          </w:tcPr>
          <w:p>
            <w:r>
              <w:t>Economic, political, legal, cultural and technological forces interact.</w:t>
            </w:r>
          </w:p>
        </w:tc>
        <w:tc>
          <w:tcPr>
            <w:tcW w:type="dxa" w:w="3408"/>
            <w:tcMar>
              <w:top w:w="80" w:type="dxa"/>
              <w:start w:w="100" w:type="dxa"/>
              <w:bottom w:w="80" w:type="dxa"/>
              <w:end w:w="100" w:type="dxa"/>
            </w:tcMar>
            <w:vAlign w:val="center"/>
          </w:tcPr>
          <w:p>
            <w:r>
              <w:t>A foreign market can have strong demand but strict regulations.</w:t>
            </w:r>
          </w:p>
        </w:tc>
      </w:tr>
      <w:tr>
        <w:tc>
          <w:tcPr>
            <w:tcW w:type="dxa" w:w="3408"/>
            <w:tcMar>
              <w:top w:w="80" w:type="dxa"/>
              <w:start w:w="100" w:type="dxa"/>
              <w:bottom w:w="80" w:type="dxa"/>
              <w:end w:w="100" w:type="dxa"/>
            </w:tcMar>
            <w:vAlign w:val="center"/>
          </w:tcPr>
          <w:p>
            <w:r>
              <w:t>Dynamic</w:t>
            </w:r>
          </w:p>
        </w:tc>
        <w:tc>
          <w:tcPr>
            <w:tcW w:type="dxa" w:w="3408"/>
            <w:tcMar>
              <w:top w:w="80" w:type="dxa"/>
              <w:start w:w="100" w:type="dxa"/>
              <w:bottom w:w="80" w:type="dxa"/>
              <w:end w:w="100" w:type="dxa"/>
            </w:tcMar>
            <w:vAlign w:val="center"/>
          </w:tcPr>
          <w:p>
            <w:r>
              <w:t>Markets, regulations, technology and geopolitics change.</w:t>
            </w:r>
          </w:p>
        </w:tc>
        <w:tc>
          <w:tcPr>
            <w:tcW w:type="dxa" w:w="3408"/>
            <w:tcMar>
              <w:top w:w="80" w:type="dxa"/>
              <w:start w:w="100" w:type="dxa"/>
              <w:bottom w:w="80" w:type="dxa"/>
              <w:end w:w="100" w:type="dxa"/>
            </w:tcMar>
            <w:vAlign w:val="center"/>
          </w:tcPr>
          <w:p>
            <w:r>
              <w:t>A trade restriction changes sourcing decisions.</w:t>
            </w:r>
          </w:p>
        </w:tc>
      </w:tr>
      <w:tr>
        <w:tc>
          <w:tcPr>
            <w:tcW w:type="dxa" w:w="3408"/>
            <w:tcMar>
              <w:top w:w="80" w:type="dxa"/>
              <w:start w:w="100" w:type="dxa"/>
              <w:bottom w:w="80" w:type="dxa"/>
              <w:end w:w="100" w:type="dxa"/>
            </w:tcMar>
            <w:vAlign w:val="center"/>
          </w:tcPr>
          <w:p>
            <w:r>
              <w:t>Cross-cultural</w:t>
            </w:r>
          </w:p>
        </w:tc>
        <w:tc>
          <w:tcPr>
            <w:tcW w:type="dxa" w:w="3408"/>
            <w:tcMar>
              <w:top w:w="80" w:type="dxa"/>
              <w:start w:w="100" w:type="dxa"/>
              <w:bottom w:w="80" w:type="dxa"/>
              <w:end w:w="100" w:type="dxa"/>
            </w:tcMar>
            <w:vAlign w:val="center"/>
          </w:tcPr>
          <w:p>
            <w:r>
              <w:t>Language, values, norms and consumer behaviour affect decisions.</w:t>
            </w:r>
          </w:p>
        </w:tc>
        <w:tc>
          <w:tcPr>
            <w:tcW w:type="dxa" w:w="3408"/>
            <w:tcMar>
              <w:top w:w="80" w:type="dxa"/>
              <w:start w:w="100" w:type="dxa"/>
              <w:bottom w:w="80" w:type="dxa"/>
              <w:end w:w="100" w:type="dxa"/>
            </w:tcMar>
            <w:vAlign w:val="center"/>
          </w:tcPr>
          <w:p>
            <w:r>
              <w:t>Advertising that works at home may need modification abroad.</w:t>
            </w:r>
          </w:p>
        </w:tc>
      </w:tr>
      <w:tr>
        <w:tc>
          <w:tcPr>
            <w:tcW w:type="dxa" w:w="3408"/>
            <w:tcMar>
              <w:top w:w="80" w:type="dxa"/>
              <w:start w:w="100" w:type="dxa"/>
              <w:bottom w:w="80" w:type="dxa"/>
              <w:end w:w="100" w:type="dxa"/>
            </w:tcMar>
            <w:vAlign w:val="center"/>
          </w:tcPr>
          <w:p>
            <w:r>
              <w:t>Risk-bearing</w:t>
            </w:r>
          </w:p>
        </w:tc>
        <w:tc>
          <w:tcPr>
            <w:tcW w:type="dxa" w:w="3408"/>
            <w:tcMar>
              <w:top w:w="80" w:type="dxa"/>
              <w:start w:w="100" w:type="dxa"/>
              <w:bottom w:w="80" w:type="dxa"/>
              <w:end w:w="100" w:type="dxa"/>
            </w:tcMar>
            <w:vAlign w:val="center"/>
          </w:tcPr>
          <w:p>
            <w:r>
              <w:t>FX, political, supply-chain and country risks can alter outcomes.</w:t>
            </w:r>
          </w:p>
        </w:tc>
        <w:tc>
          <w:tcPr>
            <w:tcW w:type="dxa" w:w="3408"/>
            <w:tcMar>
              <w:top w:w="80" w:type="dxa"/>
              <w:start w:w="100" w:type="dxa"/>
              <w:bottom w:w="80" w:type="dxa"/>
              <w:end w:w="100" w:type="dxa"/>
            </w:tcMar>
            <w:vAlign w:val="center"/>
          </w:tcPr>
          <w:p>
            <w:r>
              <w:t>A currency move reduces the home-currency value of foreign revenue.</w:t>
            </w:r>
          </w:p>
        </w:tc>
      </w:tr>
      <w:tr>
        <w:tc>
          <w:tcPr>
            <w:tcW w:type="dxa" w:w="3408"/>
            <w:tcMar>
              <w:top w:w="80" w:type="dxa"/>
              <w:start w:w="100" w:type="dxa"/>
              <w:bottom w:w="80" w:type="dxa"/>
              <w:end w:w="100" w:type="dxa"/>
            </w:tcMar>
            <w:vAlign w:val="center"/>
          </w:tcPr>
          <w:p>
            <w:r>
              <w:t>Integrated</w:t>
            </w:r>
          </w:p>
        </w:tc>
        <w:tc>
          <w:tcPr>
            <w:tcW w:type="dxa" w:w="3408"/>
            <w:tcMar>
              <w:top w:w="80" w:type="dxa"/>
              <w:start w:w="100" w:type="dxa"/>
              <w:bottom w:w="80" w:type="dxa"/>
              <w:end w:w="100" w:type="dxa"/>
            </w:tcMar>
            <w:vAlign w:val="center"/>
          </w:tcPr>
          <w:p>
            <w:r>
              <w:t>Marketing, finance, HR, operations and strategy are interdependent.</w:t>
            </w:r>
          </w:p>
        </w:tc>
        <w:tc>
          <w:tcPr>
            <w:tcW w:type="dxa" w:w="3408"/>
            <w:tcMar>
              <w:top w:w="80" w:type="dxa"/>
              <w:start w:w="100" w:type="dxa"/>
              <w:bottom w:w="80" w:type="dxa"/>
              <w:end w:w="100" w:type="dxa"/>
            </w:tcMar>
            <w:vAlign w:val="center"/>
          </w:tcPr>
          <w:p>
            <w:r>
              <w:t>Changing production location affects logistics, cost and pricing.</w:t>
            </w:r>
          </w:p>
        </w:tc>
      </w:tr>
      <w:tr>
        <w:tc>
          <w:tcPr>
            <w:tcW w:type="dxa" w:w="3408"/>
            <w:tcMar>
              <w:top w:w="80" w:type="dxa"/>
              <w:start w:w="100" w:type="dxa"/>
              <w:bottom w:w="80" w:type="dxa"/>
              <w:end w:w="100" w:type="dxa"/>
            </w:tcMar>
            <w:vAlign w:val="center"/>
          </w:tcPr>
          <w:p>
            <w:r>
              <w:t>Opportunity-seeking</w:t>
            </w:r>
          </w:p>
        </w:tc>
        <w:tc>
          <w:tcPr>
            <w:tcW w:type="dxa" w:w="3408"/>
            <w:tcMar>
              <w:top w:w="80" w:type="dxa"/>
              <w:start w:w="100" w:type="dxa"/>
              <w:bottom w:w="80" w:type="dxa"/>
              <w:end w:w="100" w:type="dxa"/>
            </w:tcMar>
            <w:vAlign w:val="center"/>
          </w:tcPr>
          <w:p>
            <w:r>
              <w:t>Firms pursue markets, resources, efficiency and learning.</w:t>
            </w:r>
          </w:p>
        </w:tc>
        <w:tc>
          <w:tcPr>
            <w:tcW w:type="dxa" w:w="3408"/>
            <w:tcMar>
              <w:top w:w="80" w:type="dxa"/>
              <w:start w:w="100" w:type="dxa"/>
              <w:bottom w:w="80" w:type="dxa"/>
              <w:end w:w="100" w:type="dxa"/>
            </w:tcMar>
            <w:vAlign w:val="center"/>
          </w:tcPr>
          <w:p>
            <w:r>
              <w:t>A firm enters a new country to access talent or demand.</w:t>
            </w:r>
          </w:p>
        </w:tc>
      </w:tr>
    </w:tbl>
    <w:p/>
    <w:p>
      <w:r>
        <w:rPr>
          <w:b/>
          <w:color w:val="1F4E79"/>
        </w:rPr>
        <w:t xml:space="preserve">Question: </w:t>
      </w:r>
      <w:r>
        <w:t>Explain the nature of international business.</w:t>
      </w:r>
    </w:p>
    <w:p>
      <w:pPr>
        <w:pStyle w:val="Answer"/>
      </w:pPr>
      <w:r>
        <w:rPr>
          <w:b/>
        </w:rPr>
        <w:t xml:space="preserve">Answer: </w:t>
      </w:r>
      <w:r>
        <w:t>International business is complex because many forces interact; dynamic because markets and external conditions change; cross-cultural because people and institutions differ; risk-bearing because FX and country risks matter; integrated because functions are interdependent; and opportunity-seeking because firms pursue markets, resources, efficiency and learning.</w:t>
      </w:r>
    </w:p>
    <w:p>
      <w:pPr>
        <w:pStyle w:val="Heading1"/>
      </w:pPr>
      <w:r>
        <w:t>6. Scope of International Business</w:t>
      </w:r>
    </w:p>
    <w:p>
      <w:r>
        <w:t>The scope shown in the presentation is broad: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100" w:type="dxa"/>
              <w:bottom w:w="80" w:type="dxa"/>
              <w:end w:w="100" w:type="dxa"/>
            </w:tcMar>
            <w:vAlign w:val="center"/>
          </w:tcPr>
          <w:p>
            <w:pPr>
              <w:jc w:val="center"/>
            </w:pPr>
            <w:r>
              <w:rPr>
                <w:b/>
                <w:color w:val="FFFFFF"/>
              </w:rPr>
              <w:t>Area</w:t>
            </w:r>
          </w:p>
        </w:tc>
        <w:tc>
          <w:tcPr>
            <w:tcW w:type="dxa" w:w="3408"/>
            <w:shd w:fill="1F4E79"/>
            <w:tcMar>
              <w:top w:w="80" w:type="dxa"/>
              <w:start w:w="100" w:type="dxa"/>
              <w:bottom w:w="80" w:type="dxa"/>
              <w:end w:w="100" w:type="dxa"/>
            </w:tcMar>
            <w:vAlign w:val="center"/>
          </w:tcPr>
          <w:p>
            <w:pPr>
              <w:jc w:val="center"/>
            </w:pPr>
            <w:r>
              <w:rPr>
                <w:b/>
                <w:color w:val="FFFFFF"/>
              </w:rPr>
              <w:t>What it covers</w:t>
            </w:r>
          </w:p>
        </w:tc>
        <w:tc>
          <w:tcPr>
            <w:tcW w:type="dxa" w:w="3408"/>
            <w:shd w:fill="1F4E79"/>
            <w:tcMar>
              <w:top w:w="80" w:type="dxa"/>
              <w:start w:w="100" w:type="dxa"/>
              <w:bottom w:w="80" w:type="dxa"/>
              <w:end w:w="100" w:type="dxa"/>
            </w:tcMar>
            <w:vAlign w:val="center"/>
          </w:tcPr>
          <w:p>
            <w:pPr>
              <w:jc w:val="center"/>
            </w:pPr>
            <w:r>
              <w:rPr>
                <w:b/>
                <w:color w:val="FFFFFF"/>
              </w:rPr>
              <w:t>Example</w:t>
            </w:r>
          </w:p>
        </w:tc>
      </w:tr>
      <w:tr>
        <w:tc>
          <w:tcPr>
            <w:tcW w:type="dxa" w:w="3408"/>
            <w:tcMar>
              <w:top w:w="80" w:type="dxa"/>
              <w:start w:w="100" w:type="dxa"/>
              <w:bottom w:w="80" w:type="dxa"/>
              <w:end w:w="100" w:type="dxa"/>
            </w:tcMar>
            <w:vAlign w:val="center"/>
          </w:tcPr>
          <w:p>
            <w:r>
              <w:t>Trade</w:t>
            </w:r>
          </w:p>
        </w:tc>
        <w:tc>
          <w:tcPr>
            <w:tcW w:type="dxa" w:w="3408"/>
            <w:tcMar>
              <w:top w:w="80" w:type="dxa"/>
              <w:start w:w="100" w:type="dxa"/>
              <w:bottom w:w="80" w:type="dxa"/>
              <w:end w:w="100" w:type="dxa"/>
            </w:tcMar>
            <w:vAlign w:val="center"/>
          </w:tcPr>
          <w:p>
            <w:r>
              <w:t>Exports and imports of goods and services</w:t>
            </w:r>
          </w:p>
        </w:tc>
        <w:tc>
          <w:tcPr>
            <w:tcW w:type="dxa" w:w="3408"/>
            <w:tcMar>
              <w:top w:w="80" w:type="dxa"/>
              <w:start w:w="100" w:type="dxa"/>
              <w:bottom w:w="80" w:type="dxa"/>
              <w:end w:w="100" w:type="dxa"/>
            </w:tcMar>
            <w:vAlign w:val="center"/>
          </w:tcPr>
          <w:p>
            <w:r>
              <w:t>Indian firm exports pharmaceuticals.</w:t>
            </w:r>
          </w:p>
        </w:tc>
      </w:tr>
      <w:tr>
        <w:tc>
          <w:tcPr>
            <w:tcW w:type="dxa" w:w="3408"/>
            <w:tcMar>
              <w:top w:w="80" w:type="dxa"/>
              <w:start w:w="100" w:type="dxa"/>
              <w:bottom w:w="80" w:type="dxa"/>
              <w:end w:w="100" w:type="dxa"/>
            </w:tcMar>
            <w:vAlign w:val="center"/>
          </w:tcPr>
          <w:p>
            <w:r>
              <w:t>Market expansion</w:t>
            </w:r>
          </w:p>
        </w:tc>
        <w:tc>
          <w:tcPr>
            <w:tcW w:type="dxa" w:w="3408"/>
            <w:tcMar>
              <w:top w:w="80" w:type="dxa"/>
              <w:start w:w="100" w:type="dxa"/>
              <w:bottom w:w="80" w:type="dxa"/>
              <w:end w:w="100" w:type="dxa"/>
            </w:tcMar>
            <w:vAlign w:val="center"/>
          </w:tcPr>
          <w:p>
            <w:r>
              <w:t>Entering and serving foreign customers</w:t>
            </w:r>
          </w:p>
        </w:tc>
        <w:tc>
          <w:tcPr>
            <w:tcW w:type="dxa" w:w="3408"/>
            <w:tcMar>
              <w:top w:w="80" w:type="dxa"/>
              <w:start w:w="100" w:type="dxa"/>
              <w:bottom w:w="80" w:type="dxa"/>
              <w:end w:w="100" w:type="dxa"/>
            </w:tcMar>
            <w:vAlign w:val="center"/>
          </w:tcPr>
          <w:p>
            <w:r>
              <w:t>A domestic consumer brand enters Southeast Asia.</w:t>
            </w:r>
          </w:p>
        </w:tc>
      </w:tr>
      <w:tr>
        <w:tc>
          <w:tcPr>
            <w:tcW w:type="dxa" w:w="3408"/>
            <w:tcMar>
              <w:top w:w="80" w:type="dxa"/>
              <w:start w:w="100" w:type="dxa"/>
              <w:bottom w:w="80" w:type="dxa"/>
              <w:end w:w="100" w:type="dxa"/>
            </w:tcMar>
            <w:vAlign w:val="center"/>
          </w:tcPr>
          <w:p>
            <w:r>
              <w:t>Licensing &amp; franchising</w:t>
            </w:r>
          </w:p>
        </w:tc>
        <w:tc>
          <w:tcPr>
            <w:tcW w:type="dxa" w:w="3408"/>
            <w:tcMar>
              <w:top w:w="80" w:type="dxa"/>
              <w:start w:w="100" w:type="dxa"/>
              <w:bottom w:w="80" w:type="dxa"/>
              <w:end w:w="100" w:type="dxa"/>
            </w:tcMar>
            <w:vAlign w:val="center"/>
          </w:tcPr>
          <w:p>
            <w:r>
              <w:t>Transfer of brand, know-how or business model</w:t>
            </w:r>
          </w:p>
        </w:tc>
        <w:tc>
          <w:tcPr>
            <w:tcW w:type="dxa" w:w="3408"/>
            <w:tcMar>
              <w:top w:w="80" w:type="dxa"/>
              <w:start w:w="100" w:type="dxa"/>
              <w:bottom w:w="80" w:type="dxa"/>
              <w:end w:w="100" w:type="dxa"/>
            </w:tcMar>
            <w:vAlign w:val="center"/>
          </w:tcPr>
          <w:p>
            <w:r>
              <w:t>Foreign franchisee operates a restaurant brand.</w:t>
            </w:r>
          </w:p>
        </w:tc>
      </w:tr>
      <w:tr>
        <w:tc>
          <w:tcPr>
            <w:tcW w:type="dxa" w:w="3408"/>
            <w:tcMar>
              <w:top w:w="80" w:type="dxa"/>
              <w:start w:w="100" w:type="dxa"/>
              <w:bottom w:w="80" w:type="dxa"/>
              <w:end w:w="100" w:type="dxa"/>
            </w:tcMar>
            <w:vAlign w:val="center"/>
          </w:tcPr>
          <w:p>
            <w:r>
              <w:t>Global supply chains</w:t>
            </w:r>
          </w:p>
        </w:tc>
        <w:tc>
          <w:tcPr>
            <w:tcW w:type="dxa" w:w="3408"/>
            <w:tcMar>
              <w:top w:w="80" w:type="dxa"/>
              <w:start w:w="100" w:type="dxa"/>
              <w:bottom w:w="80" w:type="dxa"/>
              <w:end w:w="100" w:type="dxa"/>
            </w:tcMar>
            <w:vAlign w:val="center"/>
          </w:tcPr>
          <w:p>
            <w:r>
              <w:t>Cross-border sourcing, production and logistics</w:t>
            </w:r>
          </w:p>
        </w:tc>
        <w:tc>
          <w:tcPr>
            <w:tcW w:type="dxa" w:w="3408"/>
            <w:tcMar>
              <w:top w:w="80" w:type="dxa"/>
              <w:start w:w="100" w:type="dxa"/>
              <w:bottom w:w="80" w:type="dxa"/>
              <w:end w:w="100" w:type="dxa"/>
            </w:tcMar>
            <w:vAlign w:val="center"/>
          </w:tcPr>
          <w:p>
            <w:r>
              <w:t>Components sourced from several countries.</w:t>
            </w:r>
          </w:p>
        </w:tc>
      </w:tr>
      <w:tr>
        <w:tc>
          <w:tcPr>
            <w:tcW w:type="dxa" w:w="3408"/>
            <w:tcMar>
              <w:top w:w="80" w:type="dxa"/>
              <w:start w:w="100" w:type="dxa"/>
              <w:bottom w:w="80" w:type="dxa"/>
              <w:end w:w="100" w:type="dxa"/>
            </w:tcMar>
            <w:vAlign w:val="center"/>
          </w:tcPr>
          <w:p>
            <w:r>
              <w:t>International finance</w:t>
            </w:r>
          </w:p>
        </w:tc>
        <w:tc>
          <w:tcPr>
            <w:tcW w:type="dxa" w:w="3408"/>
            <w:tcMar>
              <w:top w:w="80" w:type="dxa"/>
              <w:start w:w="100" w:type="dxa"/>
              <w:bottom w:w="80" w:type="dxa"/>
              <w:end w:w="100" w:type="dxa"/>
            </w:tcMar>
            <w:vAlign w:val="center"/>
          </w:tcPr>
          <w:p>
            <w:r>
              <w:t>FX, payments, financing and investment</w:t>
            </w:r>
          </w:p>
        </w:tc>
        <w:tc>
          <w:tcPr>
            <w:tcW w:type="dxa" w:w="3408"/>
            <w:tcMar>
              <w:top w:w="80" w:type="dxa"/>
              <w:start w:w="100" w:type="dxa"/>
              <w:bottom w:w="80" w:type="dxa"/>
              <w:end w:w="100" w:type="dxa"/>
            </w:tcMar>
            <w:vAlign w:val="center"/>
          </w:tcPr>
          <w:p>
            <w:r>
              <w:t>Company hedges a USD payable.</w:t>
            </w:r>
          </w:p>
        </w:tc>
      </w:tr>
      <w:tr>
        <w:tc>
          <w:tcPr>
            <w:tcW w:type="dxa" w:w="3408"/>
            <w:tcMar>
              <w:top w:w="80" w:type="dxa"/>
              <w:start w:w="100" w:type="dxa"/>
              <w:bottom w:w="80" w:type="dxa"/>
              <w:end w:w="100" w:type="dxa"/>
            </w:tcMar>
            <w:vAlign w:val="center"/>
          </w:tcPr>
          <w:p>
            <w:r>
              <w:t>People &amp; technology</w:t>
            </w:r>
          </w:p>
        </w:tc>
        <w:tc>
          <w:tcPr>
            <w:tcW w:type="dxa" w:w="3408"/>
            <w:tcMar>
              <w:top w:w="80" w:type="dxa"/>
              <w:start w:w="100" w:type="dxa"/>
              <w:bottom w:w="80" w:type="dxa"/>
              <w:end w:w="100" w:type="dxa"/>
            </w:tcMar>
            <w:vAlign w:val="center"/>
          </w:tcPr>
          <w:p>
            <w:r>
              <w:t>Talent mobility, knowledge and technology transfer</w:t>
            </w:r>
          </w:p>
        </w:tc>
        <w:tc>
          <w:tcPr>
            <w:tcW w:type="dxa" w:w="3408"/>
            <w:tcMar>
              <w:top w:w="80" w:type="dxa"/>
              <w:start w:w="100" w:type="dxa"/>
              <w:bottom w:w="80" w:type="dxa"/>
              <w:end w:w="100" w:type="dxa"/>
            </w:tcMar>
            <w:vAlign w:val="center"/>
          </w:tcPr>
          <w:p>
            <w:r>
              <w:t>Engineers collaborate across countries.</w:t>
            </w:r>
          </w:p>
        </w:tc>
      </w:tr>
    </w:tbl>
    <w:p/>
    <w:p>
      <w:pPr>
        <w:pStyle w:val="Heading1"/>
      </w:pPr>
      <w:r>
        <w:t>7. Globalization and Interconnectedness</w:t>
      </w:r>
    </w:p>
    <w:p>
      <w:r>
        <w:t>The "global ecosystem" perspective connects supplier -&gt; factory -&gt; distributor -&gt; customer, supported by technology and finance. The central managerial implication is that a disruption in one country can propagate through the value chain.</w:t>
      </w:r>
    </w:p>
    <w:tbl>
      <w:tblPr>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b/>
              </w:rPr>
              <w:t xml:space="preserve">Example: </w:t>
            </w:r>
            <w:r>
              <w:t>A company may source a critical component from one country, assemble in another and sell in a third. A disruption at the supplier can increase the finished product cost or delay delivery in the destination market.</w:t>
            </w:r>
          </w:p>
        </w:tc>
      </w:tr>
    </w:tbl>
    <w:p>
      <w:r>
        <w:t>The key trade-off is: globalization can create efficiency, specialization and access to capabilities, but greater interdependence can transmit shocks more quickly. This is why the presentation asks managers to think about resilience buffers and supplier concentration.</w:t>
      </w:r>
    </w:p>
    <w:p>
      <w:r>
        <w:rPr>
          <w:b/>
          <w:color w:val="1F4E79"/>
        </w:rPr>
        <w:t xml:space="preserve">Question: </w:t>
      </w:r>
      <w:r>
        <w:t>Why can globalization create both opportunity and vulnerability?</w:t>
      </w:r>
    </w:p>
    <w:p>
      <w:pPr>
        <w:pStyle w:val="Answer"/>
      </w:pPr>
      <w:r>
        <w:rPr>
          <w:b/>
        </w:rPr>
        <w:t xml:space="preserve">Answer: </w:t>
      </w:r>
      <w:r>
        <w:t>Globalization allows firms to access lower costs, specialized suppliers, technology, talent and foreign customers. At the same time, dependence on distant suppliers and cross-border logistics means a disruption in one location can affect the entire value chain. The benefit is efficiency and access; the vulnerability is interdependence.</w:t>
      </w:r>
    </w:p>
    <w:p>
      <w:pPr>
        <w:pStyle w:val="Heading1"/>
      </w:pPr>
      <w:r>
        <w:t>8. Cultural Diversity and Cross-Cultural Interaction</w:t>
      </w:r>
    </w:p>
    <w:p>
      <w:r>
        <w:t>Culture affects what customers value, how employees behave and how partners negotiate. The presentation highlights language, time, hierarchy, trust, formality and negotiation. The managerial lesson is to distinguish "different" from "wrong": a local practice may be a rational response to local institutions and expectations.</w:t>
      </w:r>
    </w:p>
    <w:p>
      <w:r>
        <w:t>Cross-cultural competence is therefore a strategic capability. It is not merely etiquette. It affects product design, communication, negotiation, HR, leadership, customer experience and relationship building.</w:t>
      </w:r>
    </w:p>
    <w:p>
      <w:r>
        <w:rPr>
          <w:b/>
          <w:color w:val="1F4E79"/>
        </w:rPr>
        <w:t xml:space="preserve">Question: </w:t>
      </w:r>
      <w:r>
        <w:t>Why is culture strategically important in international business?</w:t>
      </w:r>
    </w:p>
    <w:p>
      <w:pPr>
        <w:pStyle w:val="Answer"/>
      </w:pPr>
      <w:r>
        <w:rPr>
          <w:b/>
        </w:rPr>
        <w:t xml:space="preserve">Answer: </w:t>
      </w:r>
      <w:r>
        <w:t>Culture influences customer preferences, communication, employee behaviour, negotiation and expectations. A strategy that succeeds in one society can fail if it assumes that values, language or business norms are universal.</w:t>
      </w:r>
    </w:p>
    <w:p>
      <w:pPr>
        <w:pStyle w:val="Heading1"/>
      </w:pPr>
      <w:r>
        <w:t>9. McDonald's - Global Brand, Local Adaptation</w:t>
      </w:r>
    </w:p>
    <w:p>
      <w:r>
        <w:t>The presentation uses McDonald's in India as an example of cultural responsiveness. The brand can remain globally recognizable while menus and marketing are adapted to local preferences and sensitivities. The exam concept is the standardization-adaptation trade-off.</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tcMar>
              <w:top w:w="80" w:type="dxa"/>
              <w:start w:w="100" w:type="dxa"/>
              <w:bottom w:w="80" w:type="dxa"/>
              <w:end w:w="100" w:type="dxa"/>
            </w:tcMar>
            <w:vAlign w:val="center"/>
          </w:tcPr>
          <w:p>
            <w:pPr>
              <w:jc w:val="center"/>
            </w:pPr>
            <w:r>
              <w:rPr>
                <w:b/>
                <w:color w:val="FFFFFF"/>
              </w:rPr>
              <w:t>Standardize</w:t>
            </w:r>
          </w:p>
        </w:tc>
        <w:tc>
          <w:tcPr>
            <w:tcW w:type="dxa" w:w="5112"/>
            <w:shd w:fill="1F4E79"/>
            <w:tcMar>
              <w:top w:w="80" w:type="dxa"/>
              <w:start w:w="100" w:type="dxa"/>
              <w:bottom w:w="80" w:type="dxa"/>
              <w:end w:w="100" w:type="dxa"/>
            </w:tcMar>
            <w:vAlign w:val="center"/>
          </w:tcPr>
          <w:p>
            <w:pPr>
              <w:jc w:val="center"/>
            </w:pPr>
            <w:r>
              <w:rPr>
                <w:b/>
                <w:color w:val="FFFFFF"/>
              </w:rPr>
              <w:t>Adapt</w:t>
            </w:r>
          </w:p>
        </w:tc>
      </w:tr>
      <w:tr>
        <w:tc>
          <w:tcPr>
            <w:tcW w:type="dxa" w:w="5112"/>
            <w:tcMar>
              <w:top w:w="80" w:type="dxa"/>
              <w:start w:w="100" w:type="dxa"/>
              <w:bottom w:w="80" w:type="dxa"/>
              <w:end w:w="100" w:type="dxa"/>
            </w:tcMar>
            <w:vAlign w:val="center"/>
          </w:tcPr>
          <w:p>
            <w:r>
              <w:t>Global brand identity</w:t>
            </w:r>
          </w:p>
        </w:tc>
        <w:tc>
          <w:tcPr>
            <w:tcW w:type="dxa" w:w="5112"/>
            <w:tcMar>
              <w:top w:w="80" w:type="dxa"/>
              <w:start w:w="100" w:type="dxa"/>
              <w:bottom w:w="80" w:type="dxa"/>
              <w:end w:w="100" w:type="dxa"/>
            </w:tcMar>
            <w:vAlign w:val="center"/>
          </w:tcPr>
          <w:p>
            <w:r>
              <w:t>Menu choices</w:t>
            </w:r>
          </w:p>
        </w:tc>
      </w:tr>
      <w:tr>
        <w:tc>
          <w:tcPr>
            <w:tcW w:type="dxa" w:w="5112"/>
            <w:tcMar>
              <w:top w:w="80" w:type="dxa"/>
              <w:start w:w="100" w:type="dxa"/>
              <w:bottom w:w="80" w:type="dxa"/>
              <w:end w:w="100" w:type="dxa"/>
            </w:tcMar>
            <w:vAlign w:val="center"/>
          </w:tcPr>
          <w:p>
            <w:r>
              <w:t>Core operating systems</w:t>
            </w:r>
          </w:p>
        </w:tc>
        <w:tc>
          <w:tcPr>
            <w:tcW w:type="dxa" w:w="5112"/>
            <w:tcMar>
              <w:top w:w="80" w:type="dxa"/>
              <w:start w:w="100" w:type="dxa"/>
              <w:bottom w:w="80" w:type="dxa"/>
              <w:end w:w="100" w:type="dxa"/>
            </w:tcMar>
            <w:vAlign w:val="center"/>
          </w:tcPr>
          <w:p>
            <w:r>
              <w:t>Local food preferences</w:t>
            </w:r>
          </w:p>
        </w:tc>
      </w:tr>
      <w:tr>
        <w:tc>
          <w:tcPr>
            <w:tcW w:type="dxa" w:w="5112"/>
            <w:tcMar>
              <w:top w:w="80" w:type="dxa"/>
              <w:start w:w="100" w:type="dxa"/>
              <w:bottom w:w="80" w:type="dxa"/>
              <w:end w:w="100" w:type="dxa"/>
            </w:tcMar>
            <w:vAlign w:val="center"/>
          </w:tcPr>
          <w:p>
            <w:r>
              <w:t>Quality/process principles</w:t>
            </w:r>
          </w:p>
        </w:tc>
        <w:tc>
          <w:tcPr>
            <w:tcW w:type="dxa" w:w="5112"/>
            <w:tcMar>
              <w:top w:w="80" w:type="dxa"/>
              <w:start w:w="100" w:type="dxa"/>
              <w:bottom w:w="80" w:type="dxa"/>
              <w:end w:w="100" w:type="dxa"/>
            </w:tcMar>
            <w:vAlign w:val="center"/>
          </w:tcPr>
          <w:p>
            <w:r>
              <w:t>Promotion and messaging</w:t>
            </w:r>
          </w:p>
        </w:tc>
      </w:tr>
      <w:tr>
        <w:tc>
          <w:tcPr>
            <w:tcW w:type="dxa" w:w="5112"/>
            <w:tcMar>
              <w:top w:w="80" w:type="dxa"/>
              <w:start w:w="100" w:type="dxa"/>
              <w:bottom w:w="80" w:type="dxa"/>
              <w:end w:w="100" w:type="dxa"/>
            </w:tcMar>
            <w:vAlign w:val="center"/>
          </w:tcPr>
          <w:p>
            <w:r>
              <w:t>Technology and organizational know-how</w:t>
            </w:r>
          </w:p>
        </w:tc>
        <w:tc>
          <w:tcPr>
            <w:tcW w:type="dxa" w:w="5112"/>
            <w:tcMar>
              <w:top w:w="80" w:type="dxa"/>
              <w:start w:w="100" w:type="dxa"/>
              <w:bottom w:w="80" w:type="dxa"/>
              <w:end w:w="100" w:type="dxa"/>
            </w:tcMar>
            <w:vAlign w:val="center"/>
          </w:tcPr>
          <w:p>
            <w:r>
              <w:t>Product details where local acceptance requires change</w:t>
            </w:r>
          </w:p>
        </w:tc>
      </w:tr>
    </w:tbl>
    <w:p/>
    <w:p>
      <w:r>
        <w:rPr>
          <w:b/>
          <w:color w:val="1F4E79"/>
        </w:rPr>
        <w:t xml:space="preserve">Question: </w:t>
      </w:r>
      <w:r>
        <w:t>Why can a successful home-market product fail abroad?</w:t>
      </w:r>
    </w:p>
    <w:p>
      <w:pPr>
        <w:pStyle w:val="Answer"/>
      </w:pPr>
      <w:r>
        <w:rPr>
          <w:b/>
        </w:rPr>
        <w:t xml:space="preserve">Answer: </w:t>
      </w:r>
      <w:r>
        <w:t>Because foreign customers may have different preferences, cultural expectations, regulations or usage conditions. A home-market product can be technically good but commercially unsuitable when the value proposition does not fit the local market.</w:t>
      </w:r>
    </w:p>
    <w:p>
      <w:r>
        <w:rPr>
          <w:b/>
          <w:color w:val="1F4E79"/>
        </w:rPr>
        <w:t xml:space="preserve">Question: </w:t>
      </w:r>
      <w:r>
        <w:t>What is the central lesson of the McDonald's example?</w:t>
      </w:r>
    </w:p>
    <w:p>
      <w:pPr>
        <w:pStyle w:val="Answer"/>
      </w:pPr>
      <w:r>
        <w:rPr>
          <w:b/>
        </w:rPr>
        <w:t xml:space="preserve">Answer: </w:t>
      </w:r>
      <w:r>
        <w:t>Global scale does not eliminate local preferences. Managers must decide what can be standardized for consistency and efficiency and what must be adapted for local acceptance.</w:t>
      </w:r>
    </w:p>
    <w:p>
      <w:pPr>
        <w:pStyle w:val="Heading1"/>
      </w:pPr>
      <w:r>
        <w:t>10. Legal and Regulatory Frameworks</w:t>
      </w:r>
    </w:p>
    <w:p>
      <w:r>
        <w:t>The international manager must understand both what is legally permitted and the conditions attached to that permission.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tcMar>
              <w:top w:w="80" w:type="dxa"/>
              <w:start w:w="100" w:type="dxa"/>
              <w:bottom w:w="80" w:type="dxa"/>
              <w:end w:w="100" w:type="dxa"/>
            </w:tcMar>
            <w:vAlign w:val="center"/>
          </w:tcPr>
          <w:p>
            <w:pPr>
              <w:jc w:val="center"/>
            </w:pPr>
            <w:r>
              <w:rPr>
                <w:b/>
                <w:color w:val="FFFFFF"/>
              </w:rPr>
              <w:t>Regulatory area</w:t>
            </w:r>
          </w:p>
        </w:tc>
        <w:tc>
          <w:tcPr>
            <w:tcW w:type="dxa" w:w="5112"/>
            <w:shd w:fill="1F4E79"/>
            <w:tcMar>
              <w:top w:w="80" w:type="dxa"/>
              <w:start w:w="100" w:type="dxa"/>
              <w:bottom w:w="80" w:type="dxa"/>
              <w:end w:w="100" w:type="dxa"/>
            </w:tcMar>
            <w:vAlign w:val="center"/>
          </w:tcPr>
          <w:p>
            <w:pPr>
              <w:jc w:val="center"/>
            </w:pPr>
            <w:r>
              <w:rPr>
                <w:b/>
                <w:color w:val="FFFFFF"/>
              </w:rPr>
              <w:t>What the manager checks</w:t>
            </w:r>
          </w:p>
        </w:tc>
      </w:tr>
      <w:tr>
        <w:tc>
          <w:tcPr>
            <w:tcW w:type="dxa" w:w="5112"/>
            <w:tcMar>
              <w:top w:w="80" w:type="dxa"/>
              <w:start w:w="100" w:type="dxa"/>
              <w:bottom w:w="80" w:type="dxa"/>
              <w:end w:w="100" w:type="dxa"/>
            </w:tcMar>
            <w:vAlign w:val="center"/>
          </w:tcPr>
          <w:p>
            <w:r>
              <w:t>Import/export &amp; customs</w:t>
            </w:r>
          </w:p>
        </w:tc>
        <w:tc>
          <w:tcPr>
            <w:tcW w:type="dxa" w:w="5112"/>
            <w:tcMar>
              <w:top w:w="80" w:type="dxa"/>
              <w:start w:w="100" w:type="dxa"/>
              <w:bottom w:w="80" w:type="dxa"/>
              <w:end w:w="100" w:type="dxa"/>
            </w:tcMar>
            <w:vAlign w:val="center"/>
          </w:tcPr>
          <w:p>
            <w:r>
              <w:t>Documentation, customs procedures and product eligibility.</w:t>
            </w:r>
          </w:p>
        </w:tc>
      </w:tr>
      <w:tr>
        <w:tc>
          <w:tcPr>
            <w:tcW w:type="dxa" w:w="5112"/>
            <w:tcMar>
              <w:top w:w="80" w:type="dxa"/>
              <w:start w:w="100" w:type="dxa"/>
              <w:bottom w:w="80" w:type="dxa"/>
              <w:end w:w="100" w:type="dxa"/>
            </w:tcMar>
            <w:vAlign w:val="center"/>
          </w:tcPr>
          <w:p>
            <w:r>
              <w:t>Tariffs and quotas</w:t>
            </w:r>
          </w:p>
        </w:tc>
        <w:tc>
          <w:tcPr>
            <w:tcW w:type="dxa" w:w="5112"/>
            <w:tcMar>
              <w:top w:w="80" w:type="dxa"/>
              <w:start w:w="100" w:type="dxa"/>
              <w:bottom w:w="80" w:type="dxa"/>
              <w:end w:w="100" w:type="dxa"/>
            </w:tcMar>
            <w:vAlign w:val="center"/>
          </w:tcPr>
          <w:p>
            <w:r>
              <w:t>Duties or quantitative restrictions affecting market access and cost.</w:t>
            </w:r>
          </w:p>
        </w:tc>
      </w:tr>
      <w:tr>
        <w:tc>
          <w:tcPr>
            <w:tcW w:type="dxa" w:w="5112"/>
            <w:tcMar>
              <w:top w:w="80" w:type="dxa"/>
              <w:start w:w="100" w:type="dxa"/>
              <w:bottom w:w="80" w:type="dxa"/>
              <w:end w:w="100" w:type="dxa"/>
            </w:tcMar>
            <w:vAlign w:val="center"/>
          </w:tcPr>
          <w:p>
            <w:r>
              <w:t>Intellectual property</w:t>
            </w:r>
          </w:p>
        </w:tc>
        <w:tc>
          <w:tcPr>
            <w:tcW w:type="dxa" w:w="5112"/>
            <w:tcMar>
              <w:top w:w="80" w:type="dxa"/>
              <w:start w:w="100" w:type="dxa"/>
              <w:bottom w:w="80" w:type="dxa"/>
              <w:end w:w="100" w:type="dxa"/>
            </w:tcMar>
            <w:vAlign w:val="center"/>
          </w:tcPr>
          <w:p>
            <w:r>
              <w:t>Protection of patents, brands, software and technology.</w:t>
            </w:r>
          </w:p>
        </w:tc>
      </w:tr>
      <w:tr>
        <w:tc>
          <w:tcPr>
            <w:tcW w:type="dxa" w:w="5112"/>
            <w:tcMar>
              <w:top w:w="80" w:type="dxa"/>
              <w:start w:w="100" w:type="dxa"/>
              <w:bottom w:w="80" w:type="dxa"/>
              <w:end w:w="100" w:type="dxa"/>
            </w:tcMar>
            <w:vAlign w:val="center"/>
          </w:tcPr>
          <w:p>
            <w:r>
              <w:t>Labour/tax/environment</w:t>
            </w:r>
          </w:p>
        </w:tc>
        <w:tc>
          <w:tcPr>
            <w:tcW w:type="dxa" w:w="5112"/>
            <w:tcMar>
              <w:top w:w="80" w:type="dxa"/>
              <w:start w:w="100" w:type="dxa"/>
              <w:bottom w:w="80" w:type="dxa"/>
              <w:end w:w="100" w:type="dxa"/>
            </w:tcMar>
            <w:vAlign w:val="center"/>
          </w:tcPr>
          <w:p>
            <w:r>
              <w:t>Employment rules, taxation and environmental requirements.</w:t>
            </w:r>
          </w:p>
        </w:tc>
      </w:tr>
      <w:tr>
        <w:tc>
          <w:tcPr>
            <w:tcW w:type="dxa" w:w="5112"/>
            <w:tcMar>
              <w:top w:w="80" w:type="dxa"/>
              <w:start w:w="100" w:type="dxa"/>
              <w:bottom w:w="80" w:type="dxa"/>
              <w:end w:w="100" w:type="dxa"/>
            </w:tcMar>
            <w:vAlign w:val="center"/>
          </w:tcPr>
          <w:p>
            <w:r>
              <w:t>Foreign investment</w:t>
            </w:r>
          </w:p>
        </w:tc>
        <w:tc>
          <w:tcPr>
            <w:tcW w:type="dxa" w:w="5112"/>
            <w:tcMar>
              <w:top w:w="80" w:type="dxa"/>
              <w:start w:w="100" w:type="dxa"/>
              <w:bottom w:w="80" w:type="dxa"/>
              <w:end w:w="100" w:type="dxa"/>
            </w:tcMar>
            <w:vAlign w:val="center"/>
          </w:tcPr>
          <w:p>
            <w:r>
              <w:t>Ownership limits, licensing and local-partner requirements.</w:t>
            </w:r>
          </w:p>
        </w:tc>
      </w:tr>
    </w:tbl>
    <w:p/>
    <w:p>
      <w:pPr>
        <w:ind w:left="115" w:hanging="115"/>
      </w:pPr>
      <w:r>
        <w:rPr>
          <w:b/>
        </w:rPr>
        <w:t xml:space="preserve">1. </w:t>
      </w:r>
      <w:r>
        <w:t>Country screening</w:t>
      </w:r>
    </w:p>
    <w:p>
      <w:pPr>
        <w:ind w:left="115" w:hanging="115"/>
      </w:pPr>
      <w:r>
        <w:rPr>
          <w:b/>
        </w:rPr>
        <w:t xml:space="preserve">2. </w:t>
      </w:r>
      <w:r>
        <w:t>Regulatory due diligence</w:t>
      </w:r>
    </w:p>
    <w:p>
      <w:pPr>
        <w:ind w:left="115" w:hanging="115"/>
      </w:pPr>
      <w:r>
        <w:rPr>
          <w:b/>
        </w:rPr>
        <w:t xml:space="preserve">3. </w:t>
      </w:r>
      <w:r>
        <w:t>Entry-mode choice</w:t>
      </w:r>
    </w:p>
    <w:p>
      <w:pPr>
        <w:ind w:left="115" w:hanging="115"/>
      </w:pPr>
      <w:r>
        <w:rPr>
          <w:b/>
        </w:rPr>
        <w:t xml:space="preserve">4. </w:t>
      </w:r>
      <w:r>
        <w:t>Compliance system</w:t>
      </w:r>
    </w:p>
    <w:p>
      <w:r>
        <w:rPr>
          <w:b/>
          <w:color w:val="1F4E79"/>
        </w:rPr>
        <w:t xml:space="preserve">Question: </w:t>
      </w:r>
      <w:r>
        <w:t>Why is compliance a strategic issue rather than only a legal issue?</w:t>
      </w:r>
    </w:p>
    <w:p>
      <w:pPr>
        <w:pStyle w:val="Answer"/>
      </w:pPr>
      <w:r>
        <w:rPr>
          <w:b/>
        </w:rPr>
        <w:t xml:space="preserve">Answer: </w:t>
      </w:r>
      <w:r>
        <w:t>Non-compliance can prevent market entry, stop operations, cause financial penalties and damage reputation. Therefore regulation directly affects whether an international strategy is feasible.</w:t>
      </w:r>
    </w:p>
    <w:p>
      <w:pPr>
        <w:pStyle w:val="Heading1"/>
      </w:pPr>
      <w:r>
        <w:t>11. Risks and Uncertainties in International Business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100" w:type="dxa"/>
              <w:bottom w:w="80" w:type="dxa"/>
              <w:end w:w="100" w:type="dxa"/>
            </w:tcMar>
            <w:vAlign w:val="center"/>
          </w:tcPr>
          <w:p>
            <w:pPr>
              <w:jc w:val="center"/>
            </w:pPr>
            <w:r>
              <w:rPr>
                <w:b/>
                <w:color w:val="FFFFFF"/>
              </w:rPr>
              <w:t>Risk</w:t>
            </w:r>
          </w:p>
        </w:tc>
        <w:tc>
          <w:tcPr>
            <w:tcW w:type="dxa" w:w="3408"/>
            <w:shd w:fill="1F4E79"/>
            <w:tcMar>
              <w:top w:w="80" w:type="dxa"/>
              <w:start w:w="100" w:type="dxa"/>
              <w:bottom w:w="80" w:type="dxa"/>
              <w:end w:w="100" w:type="dxa"/>
            </w:tcMar>
            <w:vAlign w:val="center"/>
          </w:tcPr>
          <w:p>
            <w:pPr>
              <w:jc w:val="center"/>
            </w:pPr>
            <w:r>
              <w:rPr>
                <w:b/>
                <w:color w:val="FFFFFF"/>
              </w:rPr>
              <w:t>Meaning</w:t>
            </w:r>
          </w:p>
        </w:tc>
        <w:tc>
          <w:tcPr>
            <w:tcW w:type="dxa" w:w="3408"/>
            <w:shd w:fill="1F4E79"/>
            <w:tcMar>
              <w:top w:w="80" w:type="dxa"/>
              <w:start w:w="100" w:type="dxa"/>
              <w:bottom w:w="80" w:type="dxa"/>
              <w:end w:w="100" w:type="dxa"/>
            </w:tcMar>
            <w:vAlign w:val="center"/>
          </w:tcPr>
          <w:p>
            <w:pPr>
              <w:jc w:val="center"/>
            </w:pPr>
            <w:r>
              <w:rPr>
                <w:b/>
                <w:color w:val="FFFFFF"/>
              </w:rPr>
              <w:t>Example</w:t>
            </w:r>
          </w:p>
        </w:tc>
      </w:tr>
      <w:tr>
        <w:tc>
          <w:tcPr>
            <w:tcW w:type="dxa" w:w="3408"/>
            <w:tcMar>
              <w:top w:w="80" w:type="dxa"/>
              <w:start w:w="100" w:type="dxa"/>
              <w:bottom w:w="80" w:type="dxa"/>
              <w:end w:w="100" w:type="dxa"/>
            </w:tcMar>
            <w:vAlign w:val="center"/>
          </w:tcPr>
          <w:p>
            <w:r>
              <w:t>Economic</w:t>
            </w:r>
          </w:p>
        </w:tc>
        <w:tc>
          <w:tcPr>
            <w:tcW w:type="dxa" w:w="3408"/>
            <w:tcMar>
              <w:top w:w="80" w:type="dxa"/>
              <w:start w:w="100" w:type="dxa"/>
              <w:bottom w:w="80" w:type="dxa"/>
              <w:end w:w="100" w:type="dxa"/>
            </w:tcMar>
            <w:vAlign w:val="center"/>
          </w:tcPr>
          <w:p>
            <w:r>
              <w:t>Demand, inflation, recession, interest rates</w:t>
            </w:r>
          </w:p>
        </w:tc>
        <w:tc>
          <w:tcPr>
            <w:tcW w:type="dxa" w:w="3408"/>
            <w:tcMar>
              <w:top w:w="80" w:type="dxa"/>
              <w:start w:w="100" w:type="dxa"/>
              <w:bottom w:w="80" w:type="dxa"/>
              <w:end w:w="100" w:type="dxa"/>
            </w:tcMar>
            <w:vAlign w:val="center"/>
          </w:tcPr>
          <w:p>
            <w:r>
              <w:t>A recession reduces demand.</w:t>
            </w:r>
          </w:p>
        </w:tc>
      </w:tr>
      <w:tr>
        <w:tc>
          <w:tcPr>
            <w:tcW w:type="dxa" w:w="3408"/>
            <w:tcMar>
              <w:top w:w="80" w:type="dxa"/>
              <w:start w:w="100" w:type="dxa"/>
              <w:bottom w:w="80" w:type="dxa"/>
              <w:end w:w="100" w:type="dxa"/>
            </w:tcMar>
            <w:vAlign w:val="center"/>
          </w:tcPr>
          <w:p>
            <w:r>
              <w:t>Political</w:t>
            </w:r>
          </w:p>
        </w:tc>
        <w:tc>
          <w:tcPr>
            <w:tcW w:type="dxa" w:w="3408"/>
            <w:tcMar>
              <w:top w:w="80" w:type="dxa"/>
              <w:start w:w="100" w:type="dxa"/>
              <w:bottom w:w="80" w:type="dxa"/>
              <w:end w:w="100" w:type="dxa"/>
            </w:tcMar>
            <w:vAlign w:val="center"/>
          </w:tcPr>
          <w:p>
            <w:r>
              <w:t>Policy shifts, instability, sanctions, government action</w:t>
            </w:r>
          </w:p>
        </w:tc>
        <w:tc>
          <w:tcPr>
            <w:tcW w:type="dxa" w:w="3408"/>
            <w:tcMar>
              <w:top w:w="80" w:type="dxa"/>
              <w:start w:w="100" w:type="dxa"/>
              <w:bottom w:w="80" w:type="dxa"/>
              <w:end w:w="100" w:type="dxa"/>
            </w:tcMar>
            <w:vAlign w:val="center"/>
          </w:tcPr>
          <w:p>
            <w:r>
              <w:t>A rule change increases operating costs.</w:t>
            </w:r>
          </w:p>
        </w:tc>
      </w:tr>
      <w:tr>
        <w:tc>
          <w:tcPr>
            <w:tcW w:type="dxa" w:w="3408"/>
            <w:tcMar>
              <w:top w:w="80" w:type="dxa"/>
              <w:start w:w="100" w:type="dxa"/>
              <w:bottom w:w="80" w:type="dxa"/>
              <w:end w:w="100" w:type="dxa"/>
            </w:tcMar>
            <w:vAlign w:val="center"/>
          </w:tcPr>
          <w:p>
            <w:r>
              <w:t>Currency</w:t>
            </w:r>
          </w:p>
        </w:tc>
        <w:tc>
          <w:tcPr>
            <w:tcW w:type="dxa" w:w="3408"/>
            <w:tcMar>
              <w:top w:w="80" w:type="dxa"/>
              <w:start w:w="100" w:type="dxa"/>
              <w:bottom w:w="80" w:type="dxa"/>
              <w:end w:w="100" w:type="dxa"/>
            </w:tcMar>
            <w:vAlign w:val="center"/>
          </w:tcPr>
          <w:p>
            <w:r>
              <w:t>Exchange-rate volatility and transaction exposure</w:t>
            </w:r>
          </w:p>
        </w:tc>
        <w:tc>
          <w:tcPr>
            <w:tcW w:type="dxa" w:w="3408"/>
            <w:tcMar>
              <w:top w:w="80" w:type="dxa"/>
              <w:start w:w="100" w:type="dxa"/>
              <w:bottom w:w="80" w:type="dxa"/>
              <w:end w:w="100" w:type="dxa"/>
            </w:tcMar>
            <w:vAlign w:val="center"/>
          </w:tcPr>
          <w:p>
            <w:r>
              <w:t>A foreign-currency payable becomes more expensive.</w:t>
            </w:r>
          </w:p>
        </w:tc>
      </w:tr>
      <w:tr>
        <w:tc>
          <w:tcPr>
            <w:tcW w:type="dxa" w:w="3408"/>
            <w:tcMar>
              <w:top w:w="80" w:type="dxa"/>
              <w:start w:w="100" w:type="dxa"/>
              <w:bottom w:w="80" w:type="dxa"/>
              <w:end w:w="100" w:type="dxa"/>
            </w:tcMar>
            <w:vAlign w:val="center"/>
          </w:tcPr>
          <w:p>
            <w:r>
              <w:t>Supply chain</w:t>
            </w:r>
          </w:p>
        </w:tc>
        <w:tc>
          <w:tcPr>
            <w:tcW w:type="dxa" w:w="3408"/>
            <w:tcMar>
              <w:top w:w="80" w:type="dxa"/>
              <w:start w:w="100" w:type="dxa"/>
              <w:bottom w:w="80" w:type="dxa"/>
              <w:end w:w="100" w:type="dxa"/>
            </w:tcMar>
            <w:vAlign w:val="center"/>
          </w:tcPr>
          <w:p>
            <w:r>
              <w:t>Disruption, logistics problems, supplier concentration</w:t>
            </w:r>
          </w:p>
        </w:tc>
        <w:tc>
          <w:tcPr>
            <w:tcW w:type="dxa" w:w="3408"/>
            <w:tcMar>
              <w:top w:w="80" w:type="dxa"/>
              <w:start w:w="100" w:type="dxa"/>
              <w:bottom w:w="80" w:type="dxa"/>
              <w:end w:w="100" w:type="dxa"/>
            </w:tcMar>
            <w:vAlign w:val="center"/>
          </w:tcPr>
          <w:p>
            <w:r>
              <w:t>A single-source supplier stops production.</w:t>
            </w:r>
          </w:p>
        </w:tc>
      </w:tr>
      <w:tr>
        <w:tc>
          <w:tcPr>
            <w:tcW w:type="dxa" w:w="3408"/>
            <w:tcMar>
              <w:top w:w="80" w:type="dxa"/>
              <w:start w:w="100" w:type="dxa"/>
              <w:bottom w:w="80" w:type="dxa"/>
              <w:end w:w="100" w:type="dxa"/>
            </w:tcMar>
            <w:vAlign w:val="center"/>
          </w:tcPr>
          <w:p>
            <w:r>
              <w:t>Geopolitical</w:t>
            </w:r>
          </w:p>
        </w:tc>
        <w:tc>
          <w:tcPr>
            <w:tcW w:type="dxa" w:w="3408"/>
            <w:tcMar>
              <w:top w:w="80" w:type="dxa"/>
              <w:start w:w="100" w:type="dxa"/>
              <w:bottom w:w="80" w:type="dxa"/>
              <w:end w:w="100" w:type="dxa"/>
            </w:tcMar>
            <w:vAlign w:val="center"/>
          </w:tcPr>
          <w:p>
            <w:r>
              <w:t>Conflicts, trade tensions and strategic decoupling</w:t>
            </w:r>
          </w:p>
        </w:tc>
        <w:tc>
          <w:tcPr>
            <w:tcW w:type="dxa" w:w="3408"/>
            <w:tcMar>
              <w:top w:w="80" w:type="dxa"/>
              <w:start w:w="100" w:type="dxa"/>
              <w:bottom w:w="80" w:type="dxa"/>
              <w:end w:w="100" w:type="dxa"/>
            </w:tcMar>
            <w:vAlign w:val="center"/>
          </w:tcPr>
          <w:p>
            <w:r>
              <w:t>Technology access is restricted by new trade controls.</w:t>
            </w:r>
          </w:p>
        </w:tc>
      </w:tr>
      <w:tr>
        <w:tc>
          <w:tcPr>
            <w:tcW w:type="dxa" w:w="3408"/>
            <w:tcMar>
              <w:top w:w="80" w:type="dxa"/>
              <w:start w:w="100" w:type="dxa"/>
              <w:bottom w:w="80" w:type="dxa"/>
              <w:end w:w="100" w:type="dxa"/>
            </w:tcMar>
            <w:vAlign w:val="center"/>
          </w:tcPr>
          <w:p>
            <w:r>
              <w:t>Reputation</w:t>
            </w:r>
          </w:p>
        </w:tc>
        <w:tc>
          <w:tcPr>
            <w:tcW w:type="dxa" w:w="3408"/>
            <w:tcMar>
              <w:top w:w="80" w:type="dxa"/>
              <w:start w:w="100" w:type="dxa"/>
              <w:bottom w:w="80" w:type="dxa"/>
              <w:end w:w="100" w:type="dxa"/>
            </w:tcMar>
            <w:vAlign w:val="center"/>
          </w:tcPr>
          <w:p>
            <w:r>
              <w:t>Cultural mistakes, ethics and stakeholder reactions</w:t>
            </w:r>
          </w:p>
        </w:tc>
        <w:tc>
          <w:tcPr>
            <w:tcW w:type="dxa" w:w="3408"/>
            <w:tcMar>
              <w:top w:w="80" w:type="dxa"/>
              <w:start w:w="100" w:type="dxa"/>
              <w:bottom w:w="80" w:type="dxa"/>
              <w:end w:w="100" w:type="dxa"/>
            </w:tcMar>
            <w:vAlign w:val="center"/>
          </w:tcPr>
          <w:p>
            <w:r>
              <w:t>A marketing message creates backlash in a foreign market.</w:t>
            </w:r>
          </w:p>
        </w:tc>
      </w:tr>
    </w:tbl>
    <w:p/>
    <w:p>
      <w:r>
        <w:rPr>
          <w:b/>
          <w:color w:val="1F4E79"/>
        </w:rPr>
        <w:t xml:space="preserve">Question: </w:t>
      </w:r>
      <w:r>
        <w:t>What are the six major risks identified in the presentation?</w:t>
      </w:r>
    </w:p>
    <w:p>
      <w:pPr>
        <w:pStyle w:val="Answer"/>
      </w:pPr>
      <w:r>
        <w:rPr>
          <w:b/>
        </w:rPr>
        <w:t xml:space="preserve">Answer: </w:t>
      </w:r>
      <w:r>
        <w:t>Economic, political, currency, supply-chain, geopolitical and reputation risks.</w:t>
      </w:r>
    </w:p>
    <w:p>
      <w:pPr>
        <w:pStyle w:val="Heading1"/>
      </w:pPr>
      <w:r>
        <w:t>12. International Trade - The Foundation</w:t>
      </w:r>
    </w:p>
    <w:p>
      <w:r>
        <w:t>An export is a sale by a domestic firm to a foreign customer. An import is a purchase from an overseas source. The presentation identifies market access, resource access and comparative advantage as broad reasons for trade.</w:t>
      </w:r>
    </w:p>
    <w:p>
      <w:r>
        <w:t>Trade is not only a commercial question. Tariffs, non-tariff barriers, documentation, logistics and payment mechanisms affect the feasibility and economics of the transaction.</w:t>
      </w:r>
    </w:p>
    <w:p>
      <w:r>
        <w:rPr>
          <w:b/>
          <w:color w:val="1F4E79"/>
        </w:rPr>
        <w:t xml:space="preserve">Question: </w:t>
      </w:r>
      <w:r>
        <w:t>Differentiate export and import.</w:t>
      </w:r>
    </w:p>
    <w:p>
      <w:pPr>
        <w:pStyle w:val="Answer"/>
      </w:pPr>
      <w:r>
        <w:rPr>
          <w:b/>
        </w:rPr>
        <w:t xml:space="preserve">Answer: </w:t>
      </w:r>
      <w:r>
        <w:t>An export is a good or service sold from the home country to a foreign customer. An import is a good or service purchased from a foreign source.</w:t>
      </w:r>
    </w:p>
    <w:p>
      <w:pPr>
        <w:pStyle w:val="Heading1"/>
      </w:pPr>
      <w:r>
        <w:t>13. Market Expansion - Six-Step Process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100" w:type="dxa"/>
              <w:bottom w:w="80" w:type="dxa"/>
              <w:end w:w="100" w:type="dxa"/>
            </w:tcMar>
            <w:vAlign w:val="center"/>
          </w:tcPr>
          <w:p>
            <w:pPr>
              <w:jc w:val="center"/>
            </w:pPr>
            <w:r>
              <w:rPr>
                <w:b/>
                <w:color w:val="FFFFFF"/>
              </w:rPr>
              <w:t>Step</w:t>
            </w:r>
          </w:p>
        </w:tc>
        <w:tc>
          <w:tcPr>
            <w:tcW w:type="dxa" w:w="3408"/>
            <w:shd w:fill="1F4E79"/>
            <w:tcMar>
              <w:top w:w="80" w:type="dxa"/>
              <w:start w:w="100" w:type="dxa"/>
              <w:bottom w:w="80" w:type="dxa"/>
              <w:end w:w="100" w:type="dxa"/>
            </w:tcMar>
            <w:vAlign w:val="center"/>
          </w:tcPr>
          <w:p>
            <w:pPr>
              <w:jc w:val="center"/>
            </w:pPr>
            <w:r>
              <w:rPr>
                <w:b/>
                <w:color w:val="FFFFFF"/>
              </w:rPr>
              <w:t>What the manager does</w:t>
            </w:r>
          </w:p>
        </w:tc>
        <w:tc>
          <w:tcPr>
            <w:tcW w:type="dxa" w:w="3408"/>
            <w:shd w:fill="1F4E79"/>
            <w:tcMar>
              <w:top w:w="80" w:type="dxa"/>
              <w:start w:w="100" w:type="dxa"/>
              <w:bottom w:w="80" w:type="dxa"/>
              <w:end w:w="100" w:type="dxa"/>
            </w:tcMar>
            <w:vAlign w:val="center"/>
          </w:tcPr>
          <w:p>
            <w:pPr>
              <w:jc w:val="center"/>
            </w:pPr>
            <w:r>
              <w:rPr>
                <w:b/>
                <w:color w:val="FFFFFF"/>
              </w:rPr>
              <w:t>Key question</w:t>
            </w:r>
          </w:p>
        </w:tc>
      </w:tr>
      <w:tr>
        <w:tc>
          <w:tcPr>
            <w:tcW w:type="dxa" w:w="3408"/>
            <w:tcMar>
              <w:top w:w="80" w:type="dxa"/>
              <w:start w:w="100" w:type="dxa"/>
              <w:bottom w:w="80" w:type="dxa"/>
              <w:end w:w="100" w:type="dxa"/>
            </w:tcMar>
            <w:vAlign w:val="center"/>
          </w:tcPr>
          <w:p>
            <w:r>
              <w:t>1. Identify unmet demand</w:t>
            </w:r>
          </w:p>
        </w:tc>
        <w:tc>
          <w:tcPr>
            <w:tcW w:type="dxa" w:w="3408"/>
            <w:tcMar>
              <w:top w:w="80" w:type="dxa"/>
              <w:start w:w="100" w:type="dxa"/>
              <w:bottom w:w="80" w:type="dxa"/>
              <w:end w:w="100" w:type="dxa"/>
            </w:tcMar>
            <w:vAlign w:val="center"/>
          </w:tcPr>
          <w:p>
            <w:r>
              <w:t>Find a real customer need.</w:t>
            </w:r>
          </w:p>
        </w:tc>
        <w:tc>
          <w:tcPr>
            <w:tcW w:type="dxa" w:w="3408"/>
            <w:tcMar>
              <w:top w:w="80" w:type="dxa"/>
              <w:start w:w="100" w:type="dxa"/>
              <w:bottom w:w="80" w:type="dxa"/>
              <w:end w:w="100" w:type="dxa"/>
            </w:tcMar>
            <w:vAlign w:val="center"/>
          </w:tcPr>
          <w:p>
            <w:r>
              <w:t>Does demand exist?</w:t>
            </w:r>
          </w:p>
        </w:tc>
      </w:tr>
      <w:tr>
        <w:tc>
          <w:tcPr>
            <w:tcW w:type="dxa" w:w="3408"/>
            <w:tcMar>
              <w:top w:w="80" w:type="dxa"/>
              <w:start w:w="100" w:type="dxa"/>
              <w:bottom w:w="80" w:type="dxa"/>
              <w:end w:w="100" w:type="dxa"/>
            </w:tcMar>
            <w:vAlign w:val="center"/>
          </w:tcPr>
          <w:p>
            <w:r>
              <w:t>2. Screen countries</w:t>
            </w:r>
          </w:p>
        </w:tc>
        <w:tc>
          <w:tcPr>
            <w:tcW w:type="dxa" w:w="3408"/>
            <w:tcMar>
              <w:top w:w="80" w:type="dxa"/>
              <w:start w:w="100" w:type="dxa"/>
              <w:bottom w:w="80" w:type="dxa"/>
              <w:end w:w="100" w:type="dxa"/>
            </w:tcMar>
            <w:vAlign w:val="center"/>
          </w:tcPr>
          <w:p>
            <w:r>
              <w:t>Compare potential countries.</w:t>
            </w:r>
          </w:p>
        </w:tc>
        <w:tc>
          <w:tcPr>
            <w:tcW w:type="dxa" w:w="3408"/>
            <w:tcMar>
              <w:top w:w="80" w:type="dxa"/>
              <w:start w:w="100" w:type="dxa"/>
              <w:bottom w:w="80" w:type="dxa"/>
              <w:end w:w="100" w:type="dxa"/>
            </w:tcMar>
            <w:vAlign w:val="center"/>
          </w:tcPr>
          <w:p>
            <w:r>
              <w:t>Which markets are feasible?</w:t>
            </w:r>
          </w:p>
        </w:tc>
      </w:tr>
      <w:tr>
        <w:tc>
          <w:tcPr>
            <w:tcW w:type="dxa" w:w="3408"/>
            <w:tcMar>
              <w:top w:w="80" w:type="dxa"/>
              <w:start w:w="100" w:type="dxa"/>
              <w:bottom w:w="80" w:type="dxa"/>
              <w:end w:w="100" w:type="dxa"/>
            </w:tcMar>
            <w:vAlign w:val="center"/>
          </w:tcPr>
          <w:p>
            <w:r>
              <w:t>3. Adapt or standardize</w:t>
            </w:r>
          </w:p>
        </w:tc>
        <w:tc>
          <w:tcPr>
            <w:tcW w:type="dxa" w:w="3408"/>
            <w:tcMar>
              <w:top w:w="80" w:type="dxa"/>
              <w:start w:w="100" w:type="dxa"/>
              <w:bottom w:w="80" w:type="dxa"/>
              <w:end w:w="100" w:type="dxa"/>
            </w:tcMar>
            <w:vAlign w:val="center"/>
          </w:tcPr>
          <w:p>
            <w:r>
              <w:t>Choose product/marketing balance.</w:t>
            </w:r>
          </w:p>
        </w:tc>
        <w:tc>
          <w:tcPr>
            <w:tcW w:type="dxa" w:w="3408"/>
            <w:tcMar>
              <w:top w:w="80" w:type="dxa"/>
              <w:start w:w="100" w:type="dxa"/>
              <w:bottom w:w="80" w:type="dxa"/>
              <w:end w:w="100" w:type="dxa"/>
            </w:tcMar>
            <w:vAlign w:val="center"/>
          </w:tcPr>
          <w:p>
            <w:r>
              <w:t>What must change locally?</w:t>
            </w:r>
          </w:p>
        </w:tc>
      </w:tr>
      <w:tr>
        <w:tc>
          <w:tcPr>
            <w:tcW w:type="dxa" w:w="3408"/>
            <w:tcMar>
              <w:top w:w="80" w:type="dxa"/>
              <w:start w:w="100" w:type="dxa"/>
              <w:bottom w:w="80" w:type="dxa"/>
              <w:end w:w="100" w:type="dxa"/>
            </w:tcMar>
            <w:vAlign w:val="center"/>
          </w:tcPr>
          <w:p>
            <w:r>
              <w:t>4. Choose entry mode</w:t>
            </w:r>
          </w:p>
        </w:tc>
        <w:tc>
          <w:tcPr>
            <w:tcW w:type="dxa" w:w="3408"/>
            <w:tcMar>
              <w:top w:w="80" w:type="dxa"/>
              <w:start w:w="100" w:type="dxa"/>
              <w:bottom w:w="80" w:type="dxa"/>
              <w:end w:w="100" w:type="dxa"/>
            </w:tcMar>
            <w:vAlign w:val="center"/>
          </w:tcPr>
          <w:p>
            <w:r>
              <w:t>Export, license, franchise, JV or subsidiary.</w:t>
            </w:r>
          </w:p>
        </w:tc>
        <w:tc>
          <w:tcPr>
            <w:tcW w:type="dxa" w:w="3408"/>
            <w:tcMar>
              <w:top w:w="80" w:type="dxa"/>
              <w:start w:w="100" w:type="dxa"/>
              <w:bottom w:w="80" w:type="dxa"/>
              <w:end w:w="100" w:type="dxa"/>
            </w:tcMar>
            <w:vAlign w:val="center"/>
          </w:tcPr>
          <w:p>
            <w:r>
              <w:t>How much control and investment are needed?</w:t>
            </w:r>
          </w:p>
        </w:tc>
      </w:tr>
      <w:tr>
        <w:tc>
          <w:tcPr>
            <w:tcW w:type="dxa" w:w="3408"/>
            <w:tcMar>
              <w:top w:w="80" w:type="dxa"/>
              <w:start w:w="100" w:type="dxa"/>
              <w:bottom w:w="80" w:type="dxa"/>
              <w:end w:w="100" w:type="dxa"/>
            </w:tcMar>
            <w:vAlign w:val="center"/>
          </w:tcPr>
          <w:p>
            <w:r>
              <w:t>5. Build local capability</w:t>
            </w:r>
          </w:p>
        </w:tc>
        <w:tc>
          <w:tcPr>
            <w:tcW w:type="dxa" w:w="3408"/>
            <w:tcMar>
              <w:top w:w="80" w:type="dxa"/>
              <w:start w:w="100" w:type="dxa"/>
              <w:bottom w:w="80" w:type="dxa"/>
              <w:end w:w="100" w:type="dxa"/>
            </w:tcMar>
            <w:vAlign w:val="center"/>
          </w:tcPr>
          <w:p>
            <w:r>
              <w:t>Create sales, operations, people and compliance capacity.</w:t>
            </w:r>
          </w:p>
        </w:tc>
        <w:tc>
          <w:tcPr>
            <w:tcW w:type="dxa" w:w="3408"/>
            <w:tcMar>
              <w:top w:w="80" w:type="dxa"/>
              <w:start w:w="100" w:type="dxa"/>
              <w:bottom w:w="80" w:type="dxa"/>
              <w:end w:w="100" w:type="dxa"/>
            </w:tcMar>
            <w:vAlign w:val="center"/>
          </w:tcPr>
          <w:p>
            <w:r>
              <w:t>What capabilities must exist locally?</w:t>
            </w:r>
          </w:p>
        </w:tc>
      </w:tr>
      <w:tr>
        <w:tc>
          <w:tcPr>
            <w:tcW w:type="dxa" w:w="3408"/>
            <w:tcMar>
              <w:top w:w="80" w:type="dxa"/>
              <w:start w:w="100" w:type="dxa"/>
              <w:bottom w:w="80" w:type="dxa"/>
              <w:end w:w="100" w:type="dxa"/>
            </w:tcMar>
            <w:vAlign w:val="center"/>
          </w:tcPr>
          <w:p>
            <w:r>
              <w:t>6. Scale and learn</w:t>
            </w:r>
          </w:p>
        </w:tc>
        <w:tc>
          <w:tcPr>
            <w:tcW w:type="dxa" w:w="3408"/>
            <w:tcMar>
              <w:top w:w="80" w:type="dxa"/>
              <w:start w:w="100" w:type="dxa"/>
              <w:bottom w:w="80" w:type="dxa"/>
              <w:end w:w="100" w:type="dxa"/>
            </w:tcMar>
            <w:vAlign w:val="center"/>
          </w:tcPr>
          <w:p>
            <w:r>
              <w:t>Expand and adapt based on evidence.</w:t>
            </w:r>
          </w:p>
        </w:tc>
        <w:tc>
          <w:tcPr>
            <w:tcW w:type="dxa" w:w="3408"/>
            <w:tcMar>
              <w:top w:w="80" w:type="dxa"/>
              <w:start w:w="100" w:type="dxa"/>
              <w:bottom w:w="80" w:type="dxa"/>
              <w:end w:w="100" w:type="dxa"/>
            </w:tcMar>
            <w:vAlign w:val="center"/>
          </w:tcPr>
          <w:p>
            <w:r>
              <w:t>What is working and what must change?</w:t>
            </w:r>
          </w:p>
        </w:tc>
      </w:tr>
    </w:tbl>
    <w:p/>
    <w:tbl>
      <w:tblPr>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b/>
              </w:rPr>
              <w:t xml:space="preserve">Core tension: </w:t>
            </w:r>
            <w:r>
              <w:t>Global scale creates efficiency; local adaptation creates relevance. International strategy is largely about managing this tension.</w:t>
            </w:r>
          </w:p>
        </w:tc>
      </w:tr>
    </w:tbl>
    <w:p>
      <w:r>
        <w:rPr>
          <w:b/>
          <w:color w:val="1F4E79"/>
        </w:rPr>
        <w:t xml:space="preserve">Question: </w:t>
      </w:r>
      <w:r>
        <w:t>Why is market expansion not simply "start selling abroad"?</w:t>
      </w:r>
    </w:p>
    <w:p>
      <w:pPr>
        <w:pStyle w:val="Answer"/>
      </w:pPr>
      <w:r>
        <w:rPr>
          <w:b/>
        </w:rPr>
        <w:t xml:space="preserve">Answer: </w:t>
      </w:r>
      <w:r>
        <w:t>Because a viable foreign market requires country screening, regulatory analysis, product and marketing decisions, entry-mode choice, local capability and continuous learning. Selling is only one part of the decision.</w:t>
      </w:r>
    </w:p>
    <w:p>
      <w:pPr>
        <w:pStyle w:val="Heading1"/>
      </w:pPr>
      <w:r>
        <w:t>14. Global Supply Chains</w:t>
      </w:r>
    </w:p>
    <w:p>
      <w:r>
        <w:t>The presentation organizes the supply-chain flow as SOURCE -&gt; MAKE -&gt; MOVE -&gt; SELL. International supply chains can reduce cost or provide access to better capabilities, but they also increase exposure to disruption, logistics problems and supplier concentration.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tcMar>
              <w:top w:w="80" w:type="dxa"/>
              <w:start w:w="100" w:type="dxa"/>
              <w:bottom w:w="80" w:type="dxa"/>
              <w:end w:w="100" w:type="dxa"/>
            </w:tcMar>
            <w:vAlign w:val="center"/>
          </w:tcPr>
          <w:p>
            <w:pPr>
              <w:jc w:val="center"/>
            </w:pPr>
            <w:r>
              <w:rPr>
                <w:b/>
                <w:color w:val="FFFFFF"/>
              </w:rPr>
              <w:t>Objective</w:t>
            </w:r>
          </w:p>
        </w:tc>
        <w:tc>
          <w:tcPr>
            <w:tcW w:type="dxa" w:w="5112"/>
            <w:shd w:fill="1F4E79"/>
            <w:tcMar>
              <w:top w:w="80" w:type="dxa"/>
              <w:start w:w="100" w:type="dxa"/>
              <w:bottom w:w="80" w:type="dxa"/>
              <w:end w:w="100" w:type="dxa"/>
            </w:tcMar>
            <w:vAlign w:val="center"/>
          </w:tcPr>
          <w:p>
            <w:pPr>
              <w:jc w:val="center"/>
            </w:pPr>
            <w:r>
              <w:rPr>
                <w:b/>
                <w:color w:val="FFFFFF"/>
              </w:rPr>
              <w:t>Question</w:t>
            </w:r>
          </w:p>
        </w:tc>
      </w:tr>
      <w:tr>
        <w:tc>
          <w:tcPr>
            <w:tcW w:type="dxa" w:w="5112"/>
            <w:tcMar>
              <w:top w:w="80" w:type="dxa"/>
              <w:start w:w="100" w:type="dxa"/>
              <w:bottom w:w="80" w:type="dxa"/>
              <w:end w:w="100" w:type="dxa"/>
            </w:tcMar>
            <w:vAlign w:val="center"/>
          </w:tcPr>
          <w:p>
            <w:r>
              <w:t>Efficiency</w:t>
            </w:r>
          </w:p>
        </w:tc>
        <w:tc>
          <w:tcPr>
            <w:tcW w:type="dxa" w:w="5112"/>
            <w:tcMar>
              <w:top w:w="80" w:type="dxa"/>
              <w:start w:w="100" w:type="dxa"/>
              <w:bottom w:w="80" w:type="dxa"/>
              <w:end w:w="100" w:type="dxa"/>
            </w:tcMar>
            <w:vAlign w:val="center"/>
          </w:tcPr>
          <w:p>
            <w:r>
              <w:t>Can the chain lower cost or improve capability?</w:t>
            </w:r>
          </w:p>
        </w:tc>
      </w:tr>
      <w:tr>
        <w:tc>
          <w:tcPr>
            <w:tcW w:type="dxa" w:w="5112"/>
            <w:tcMar>
              <w:top w:w="80" w:type="dxa"/>
              <w:start w:w="100" w:type="dxa"/>
              <w:bottom w:w="80" w:type="dxa"/>
              <w:end w:w="100" w:type="dxa"/>
            </w:tcMar>
            <w:vAlign w:val="center"/>
          </w:tcPr>
          <w:p>
            <w:r>
              <w:t>Resilience</w:t>
            </w:r>
          </w:p>
        </w:tc>
        <w:tc>
          <w:tcPr>
            <w:tcW w:type="dxa" w:w="5112"/>
            <w:tcMar>
              <w:top w:w="80" w:type="dxa"/>
              <w:start w:w="100" w:type="dxa"/>
              <w:bottom w:w="80" w:type="dxa"/>
              <w:end w:w="100" w:type="dxa"/>
            </w:tcMar>
            <w:vAlign w:val="center"/>
          </w:tcPr>
          <w:p>
            <w:r>
              <w:t>Can the chain continue under disruption?</w:t>
            </w:r>
          </w:p>
        </w:tc>
      </w:tr>
      <w:tr>
        <w:tc>
          <w:tcPr>
            <w:tcW w:type="dxa" w:w="5112"/>
            <w:tcMar>
              <w:top w:w="80" w:type="dxa"/>
              <w:start w:w="100" w:type="dxa"/>
              <w:bottom w:w="80" w:type="dxa"/>
              <w:end w:w="100" w:type="dxa"/>
            </w:tcMar>
            <w:vAlign w:val="center"/>
          </w:tcPr>
          <w:p>
            <w:r>
              <w:t>Visibility</w:t>
            </w:r>
          </w:p>
        </w:tc>
        <w:tc>
          <w:tcPr>
            <w:tcW w:type="dxa" w:w="5112"/>
            <w:tcMar>
              <w:top w:w="80" w:type="dxa"/>
              <w:start w:w="100" w:type="dxa"/>
              <w:bottom w:w="80" w:type="dxa"/>
              <w:end w:w="100" w:type="dxa"/>
            </w:tcMar>
            <w:vAlign w:val="center"/>
          </w:tcPr>
          <w:p>
            <w:r>
              <w:t>Can management see suppliers and bottlenecks?</w:t>
            </w:r>
          </w:p>
        </w:tc>
      </w:tr>
      <w:tr>
        <w:tc>
          <w:tcPr>
            <w:tcW w:type="dxa" w:w="5112"/>
            <w:tcMar>
              <w:top w:w="80" w:type="dxa"/>
              <w:start w:w="100" w:type="dxa"/>
              <w:bottom w:w="80" w:type="dxa"/>
              <w:end w:w="100" w:type="dxa"/>
            </w:tcMar>
            <w:vAlign w:val="center"/>
          </w:tcPr>
          <w:p>
            <w:r>
              <w:t>Flexibility</w:t>
            </w:r>
          </w:p>
        </w:tc>
        <w:tc>
          <w:tcPr>
            <w:tcW w:type="dxa" w:w="5112"/>
            <w:tcMar>
              <w:top w:w="80" w:type="dxa"/>
              <w:start w:w="100" w:type="dxa"/>
              <w:bottom w:w="80" w:type="dxa"/>
              <w:end w:w="100" w:type="dxa"/>
            </w:tcMar>
            <w:vAlign w:val="center"/>
          </w:tcPr>
          <w:p>
            <w:r>
              <w:t>Can production or sourcing shift when conditions change?</w:t>
            </w:r>
          </w:p>
        </w:tc>
      </w:tr>
    </w:tbl>
    <w:p/>
    <w:p>
      <w:r>
        <w:rPr>
          <w:b/>
          <w:color w:val="1F4E79"/>
        </w:rPr>
        <w:t xml:space="preserve">Question: </w:t>
      </w:r>
      <w:r>
        <w:t>What is the strategic trade-off in global supply chains?</w:t>
      </w:r>
    </w:p>
    <w:p>
      <w:pPr>
        <w:pStyle w:val="Answer"/>
      </w:pPr>
      <w:r>
        <w:rPr>
          <w:b/>
        </w:rPr>
        <w:t xml:space="preserve">Answer: </w:t>
      </w:r>
      <w:r>
        <w:t>Managers must balance efficiency against resilience, visibility and flexibility. Concentrating production or sourcing can lower cost but may increase disruption risk.</w:t>
      </w:r>
    </w:p>
    <w:p>
      <w:pPr>
        <w:pStyle w:val="Heading1"/>
      </w:pPr>
      <w:r>
        <w:t>15. International Financial Management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tcMar>
              <w:top w:w="80" w:type="dxa"/>
              <w:start w:w="100" w:type="dxa"/>
              <w:bottom w:w="80" w:type="dxa"/>
              <w:end w:w="100" w:type="dxa"/>
            </w:tcMar>
            <w:vAlign w:val="center"/>
          </w:tcPr>
          <w:p>
            <w:pPr>
              <w:jc w:val="center"/>
            </w:pPr>
            <w:r>
              <w:rPr>
                <w:b/>
                <w:color w:val="FFFFFF"/>
              </w:rPr>
              <w:t>Area</w:t>
            </w:r>
          </w:p>
        </w:tc>
        <w:tc>
          <w:tcPr>
            <w:tcW w:type="dxa" w:w="5112"/>
            <w:shd w:fill="1F4E79"/>
            <w:tcMar>
              <w:top w:w="80" w:type="dxa"/>
              <w:start w:w="100" w:type="dxa"/>
              <w:bottom w:w="80" w:type="dxa"/>
              <w:end w:w="100" w:type="dxa"/>
            </w:tcMar>
            <w:vAlign w:val="center"/>
          </w:tcPr>
          <w:p>
            <w:pPr>
              <w:jc w:val="center"/>
            </w:pPr>
            <w:r>
              <w:rPr>
                <w:b/>
                <w:color w:val="FFFFFF"/>
              </w:rPr>
              <w:t>Explanation</w:t>
            </w:r>
          </w:p>
        </w:tc>
      </w:tr>
      <w:tr>
        <w:tc>
          <w:tcPr>
            <w:tcW w:type="dxa" w:w="5112"/>
            <w:tcMar>
              <w:top w:w="80" w:type="dxa"/>
              <w:start w:w="100" w:type="dxa"/>
              <w:bottom w:w="80" w:type="dxa"/>
              <w:end w:w="100" w:type="dxa"/>
            </w:tcMar>
            <w:vAlign w:val="center"/>
          </w:tcPr>
          <w:p>
            <w:r>
              <w:t>Foreign exchange</w:t>
            </w:r>
          </w:p>
        </w:tc>
        <w:tc>
          <w:tcPr>
            <w:tcW w:type="dxa" w:w="5112"/>
            <w:tcMar>
              <w:top w:w="80" w:type="dxa"/>
              <w:start w:w="100" w:type="dxa"/>
              <w:bottom w:w="80" w:type="dxa"/>
              <w:end w:w="100" w:type="dxa"/>
            </w:tcMar>
            <w:vAlign w:val="center"/>
          </w:tcPr>
          <w:p>
            <w:r>
              <w:t>Currency movements affect revenues, costs and margins.</w:t>
            </w:r>
          </w:p>
        </w:tc>
      </w:tr>
      <w:tr>
        <w:tc>
          <w:tcPr>
            <w:tcW w:type="dxa" w:w="5112"/>
            <w:tcMar>
              <w:top w:w="80" w:type="dxa"/>
              <w:start w:w="100" w:type="dxa"/>
              <w:bottom w:w="80" w:type="dxa"/>
              <w:end w:w="100" w:type="dxa"/>
            </w:tcMar>
            <w:vAlign w:val="center"/>
          </w:tcPr>
          <w:p>
            <w:r>
              <w:t>Payments</w:t>
            </w:r>
          </w:p>
        </w:tc>
        <w:tc>
          <w:tcPr>
            <w:tcW w:type="dxa" w:w="5112"/>
            <w:tcMar>
              <w:top w:w="80" w:type="dxa"/>
              <w:start w:w="100" w:type="dxa"/>
              <w:bottom w:w="80" w:type="dxa"/>
              <w:end w:w="100" w:type="dxa"/>
            </w:tcMar>
            <w:vAlign w:val="center"/>
          </w:tcPr>
          <w:p>
            <w:r>
              <w:t>Cross-border transactions need reliable payment mechanisms.</w:t>
            </w:r>
          </w:p>
        </w:tc>
      </w:tr>
      <w:tr>
        <w:tc>
          <w:tcPr>
            <w:tcW w:type="dxa" w:w="5112"/>
            <w:tcMar>
              <w:top w:w="80" w:type="dxa"/>
              <w:start w:w="100" w:type="dxa"/>
              <w:bottom w:w="80" w:type="dxa"/>
              <w:end w:w="100" w:type="dxa"/>
            </w:tcMar>
            <w:vAlign w:val="center"/>
          </w:tcPr>
          <w:p>
            <w:r>
              <w:t>Financing</w:t>
            </w:r>
          </w:p>
        </w:tc>
        <w:tc>
          <w:tcPr>
            <w:tcW w:type="dxa" w:w="5112"/>
            <w:tcMar>
              <w:top w:w="80" w:type="dxa"/>
              <w:start w:w="100" w:type="dxa"/>
              <w:bottom w:w="80" w:type="dxa"/>
              <w:end w:w="100" w:type="dxa"/>
            </w:tcMar>
            <w:vAlign w:val="center"/>
          </w:tcPr>
          <w:p>
            <w:r>
              <w:t>Firms compare domestic and international sources of capital.</w:t>
            </w:r>
          </w:p>
        </w:tc>
      </w:tr>
      <w:tr>
        <w:tc>
          <w:tcPr>
            <w:tcW w:type="dxa" w:w="5112"/>
            <w:tcMar>
              <w:top w:w="80" w:type="dxa"/>
              <w:start w:w="100" w:type="dxa"/>
              <w:bottom w:w="80" w:type="dxa"/>
              <w:end w:w="100" w:type="dxa"/>
            </w:tcMar>
            <w:vAlign w:val="center"/>
          </w:tcPr>
          <w:p>
            <w:r>
              <w:t>Risk management</w:t>
            </w:r>
          </w:p>
        </w:tc>
        <w:tc>
          <w:tcPr>
            <w:tcW w:type="dxa" w:w="5112"/>
            <w:tcMar>
              <w:top w:w="80" w:type="dxa"/>
              <w:start w:w="100" w:type="dxa"/>
              <w:bottom w:w="80" w:type="dxa"/>
              <w:end w:w="100" w:type="dxa"/>
            </w:tcMar>
            <w:vAlign w:val="center"/>
          </w:tcPr>
          <w:p>
            <w:r>
              <w:t>Exposure can be measured, monitored and hedged.</w:t>
            </w:r>
          </w:p>
        </w:tc>
      </w:tr>
      <w:tr>
        <w:tc>
          <w:tcPr>
            <w:tcW w:type="dxa" w:w="5112"/>
            <w:tcMar>
              <w:top w:w="80" w:type="dxa"/>
              <w:start w:w="100" w:type="dxa"/>
              <w:bottom w:w="80" w:type="dxa"/>
              <w:end w:w="100" w:type="dxa"/>
            </w:tcMar>
            <w:vAlign w:val="center"/>
          </w:tcPr>
          <w:p>
            <w:r>
              <w:t>Investment</w:t>
            </w:r>
          </w:p>
        </w:tc>
        <w:tc>
          <w:tcPr>
            <w:tcW w:type="dxa" w:w="5112"/>
            <w:tcMar>
              <w:top w:w="80" w:type="dxa"/>
              <w:start w:w="100" w:type="dxa"/>
              <w:bottom w:w="80" w:type="dxa"/>
              <w:end w:w="100" w:type="dxa"/>
            </w:tcMar>
            <w:vAlign w:val="center"/>
          </w:tcPr>
          <w:p>
            <w:r>
              <w:t>Country risk and expected return affect capital allocation.</w:t>
            </w:r>
          </w:p>
        </w:tc>
      </w:tr>
      <w:tr>
        <w:tc>
          <w:tcPr>
            <w:tcW w:type="dxa" w:w="5112"/>
            <w:tcMar>
              <w:top w:w="80" w:type="dxa"/>
              <w:start w:w="100" w:type="dxa"/>
              <w:bottom w:w="80" w:type="dxa"/>
              <w:end w:w="100" w:type="dxa"/>
            </w:tcMar>
            <w:vAlign w:val="center"/>
          </w:tcPr>
          <w:p>
            <w:r>
              <w:t>Cash management</w:t>
            </w:r>
          </w:p>
        </w:tc>
        <w:tc>
          <w:tcPr>
            <w:tcW w:type="dxa" w:w="5112"/>
            <w:tcMar>
              <w:top w:w="80" w:type="dxa"/>
              <w:start w:w="100" w:type="dxa"/>
              <w:bottom w:w="80" w:type="dxa"/>
              <w:end w:w="100" w:type="dxa"/>
            </w:tcMar>
            <w:vAlign w:val="center"/>
          </w:tcPr>
          <w:p>
            <w:r>
              <w:t>Liquidity must be coordinated across markets.</w:t>
            </w:r>
          </w:p>
        </w:tc>
      </w:tr>
    </w:tbl>
    <w:p/>
    <w:p>
      <w:r>
        <w:t>This topic connects directly to the FX and parity sections later in the document. An international manager needs to understand not only the exchange rate but also how firms use forward contracts and international parity relationships to manage currency risk.</w:t>
      </w:r>
    </w:p>
    <w:p>
      <w:pPr>
        <w:pStyle w:val="Heading1"/>
      </w:pPr>
      <w:r>
        <w:t>16. Global Economic and Political Environment</w:t>
      </w:r>
    </w:p>
    <w:p>
      <w:r>
        <w:t>Macroeconomic conditions influence demand, cost of capital and investment attractiveness. Political stability influences the predictability of business operations. Trade agreements may expand access, while tariffs or sanctions may restrict it. Geopolitical developments can change sourcing, technology access, logistics and market priorities.</w:t>
      </w:r>
    </w:p>
    <w:p>
      <w:r>
        <w:rPr>
          <w:b/>
          <w:color w:val="1F4E79"/>
        </w:rPr>
        <w:t xml:space="preserve">Question: </w:t>
      </w:r>
      <w:r>
        <w:t>Why should international managers continuously scan the external environment?</w:t>
      </w:r>
    </w:p>
    <w:p>
      <w:pPr>
        <w:pStyle w:val="Answer"/>
      </w:pPr>
      <w:r>
        <w:rPr>
          <w:b/>
        </w:rPr>
        <w:t xml:space="preserve">Answer: </w:t>
      </w:r>
      <w:r>
        <w:t>Country risk is not a one-time checklist. Macroeconomic conditions, policy, trade relations and geopolitics change over time, so an international strategy can become less attractive or require adaptation even after entry.</w:t>
      </w:r>
    </w:p>
    <w:p>
      <w:pPr>
        <w:pStyle w:val="Heading1"/>
      </w:pPr>
      <w:r>
        <w:t>17. Domestic Business vs International Business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100" w:type="dxa"/>
              <w:bottom w:w="80" w:type="dxa"/>
              <w:end w:w="100" w:type="dxa"/>
            </w:tcMar>
            <w:vAlign w:val="center"/>
          </w:tcPr>
          <w:p>
            <w:pPr>
              <w:jc w:val="center"/>
            </w:pPr>
            <w:r>
              <w:rPr>
                <w:b/>
                <w:color w:val="FFFFFF"/>
              </w:rPr>
              <w:t>Dimension</w:t>
            </w:r>
          </w:p>
        </w:tc>
        <w:tc>
          <w:tcPr>
            <w:tcW w:type="dxa" w:w="3408"/>
            <w:shd w:fill="1F4E79"/>
            <w:tcMar>
              <w:top w:w="80" w:type="dxa"/>
              <w:start w:w="100" w:type="dxa"/>
              <w:bottom w:w="80" w:type="dxa"/>
              <w:end w:w="100" w:type="dxa"/>
            </w:tcMar>
            <w:vAlign w:val="center"/>
          </w:tcPr>
          <w:p>
            <w:pPr>
              <w:jc w:val="center"/>
            </w:pPr>
            <w:r>
              <w:rPr>
                <w:b/>
                <w:color w:val="FFFFFF"/>
              </w:rPr>
              <w:t>Domestic business</w:t>
            </w:r>
          </w:p>
        </w:tc>
        <w:tc>
          <w:tcPr>
            <w:tcW w:type="dxa" w:w="3408"/>
            <w:shd w:fill="1F4E79"/>
            <w:tcMar>
              <w:top w:w="80" w:type="dxa"/>
              <w:start w:w="100" w:type="dxa"/>
              <w:bottom w:w="80" w:type="dxa"/>
              <w:end w:w="100" w:type="dxa"/>
            </w:tcMar>
            <w:vAlign w:val="center"/>
          </w:tcPr>
          <w:p>
            <w:pPr>
              <w:jc w:val="center"/>
            </w:pPr>
            <w:r>
              <w:rPr>
                <w:b/>
                <w:color w:val="FFFFFF"/>
              </w:rPr>
              <w:t>International business</w:t>
            </w:r>
          </w:p>
        </w:tc>
      </w:tr>
      <w:tr>
        <w:tc>
          <w:tcPr>
            <w:tcW w:type="dxa" w:w="3408"/>
            <w:tcMar>
              <w:top w:w="80" w:type="dxa"/>
              <w:start w:w="100" w:type="dxa"/>
              <w:bottom w:w="80" w:type="dxa"/>
              <w:end w:w="100" w:type="dxa"/>
            </w:tcMar>
            <w:vAlign w:val="center"/>
          </w:tcPr>
          <w:p>
            <w:r>
              <w:t>Geographic distance</w:t>
            </w:r>
          </w:p>
        </w:tc>
        <w:tc>
          <w:tcPr>
            <w:tcW w:type="dxa" w:w="3408"/>
            <w:tcMar>
              <w:top w:w="80" w:type="dxa"/>
              <w:start w:w="100" w:type="dxa"/>
              <w:bottom w:w="80" w:type="dxa"/>
              <w:end w:w="100" w:type="dxa"/>
            </w:tcMar>
            <w:vAlign w:val="center"/>
          </w:tcPr>
          <w:p>
            <w:r>
              <w:t>Usually lower</w:t>
            </w:r>
          </w:p>
        </w:tc>
        <w:tc>
          <w:tcPr>
            <w:tcW w:type="dxa" w:w="3408"/>
            <w:tcMar>
              <w:top w:w="80" w:type="dxa"/>
              <w:start w:w="100" w:type="dxa"/>
              <w:bottom w:w="80" w:type="dxa"/>
              <w:end w:w="100" w:type="dxa"/>
            </w:tcMar>
            <w:vAlign w:val="center"/>
          </w:tcPr>
          <w:p>
            <w:r>
              <w:t>Often higher</w:t>
            </w:r>
          </w:p>
        </w:tc>
      </w:tr>
      <w:tr>
        <w:tc>
          <w:tcPr>
            <w:tcW w:type="dxa" w:w="3408"/>
            <w:tcMar>
              <w:top w:w="80" w:type="dxa"/>
              <w:start w:w="100" w:type="dxa"/>
              <w:bottom w:w="80" w:type="dxa"/>
              <w:end w:w="100" w:type="dxa"/>
            </w:tcMar>
            <w:vAlign w:val="center"/>
          </w:tcPr>
          <w:p>
            <w:r>
              <w:t>Language and culture</w:t>
            </w:r>
          </w:p>
        </w:tc>
        <w:tc>
          <w:tcPr>
            <w:tcW w:type="dxa" w:w="3408"/>
            <w:tcMar>
              <w:top w:w="80" w:type="dxa"/>
              <w:start w:w="100" w:type="dxa"/>
              <w:bottom w:w="80" w:type="dxa"/>
              <w:end w:w="100" w:type="dxa"/>
            </w:tcMar>
            <w:vAlign w:val="center"/>
          </w:tcPr>
          <w:p>
            <w:r>
              <w:t>Relatively familiar</w:t>
            </w:r>
          </w:p>
        </w:tc>
        <w:tc>
          <w:tcPr>
            <w:tcW w:type="dxa" w:w="3408"/>
            <w:tcMar>
              <w:top w:w="80" w:type="dxa"/>
              <w:start w:w="100" w:type="dxa"/>
              <w:bottom w:w="80" w:type="dxa"/>
              <w:end w:w="100" w:type="dxa"/>
            </w:tcMar>
            <w:vAlign w:val="center"/>
          </w:tcPr>
          <w:p>
            <w:r>
              <w:t>May differ significantly</w:t>
            </w:r>
          </w:p>
        </w:tc>
      </w:tr>
      <w:tr>
        <w:tc>
          <w:tcPr>
            <w:tcW w:type="dxa" w:w="3408"/>
            <w:tcMar>
              <w:top w:w="80" w:type="dxa"/>
              <w:start w:w="100" w:type="dxa"/>
              <w:bottom w:w="80" w:type="dxa"/>
              <w:end w:w="100" w:type="dxa"/>
            </w:tcMar>
            <w:vAlign w:val="center"/>
          </w:tcPr>
          <w:p>
            <w:r>
              <w:t>Legal environment</w:t>
            </w:r>
          </w:p>
        </w:tc>
        <w:tc>
          <w:tcPr>
            <w:tcW w:type="dxa" w:w="3408"/>
            <w:tcMar>
              <w:top w:w="80" w:type="dxa"/>
              <w:start w:w="100" w:type="dxa"/>
              <w:bottom w:w="80" w:type="dxa"/>
              <w:end w:w="100" w:type="dxa"/>
            </w:tcMar>
            <w:vAlign w:val="center"/>
          </w:tcPr>
          <w:p>
            <w:r>
              <w:t>One primary national system</w:t>
            </w:r>
          </w:p>
        </w:tc>
        <w:tc>
          <w:tcPr>
            <w:tcW w:type="dxa" w:w="3408"/>
            <w:tcMar>
              <w:top w:w="80" w:type="dxa"/>
              <w:start w:w="100" w:type="dxa"/>
              <w:bottom w:w="80" w:type="dxa"/>
              <w:end w:w="100" w:type="dxa"/>
            </w:tcMar>
            <w:vAlign w:val="center"/>
          </w:tcPr>
          <w:p>
            <w:r>
              <w:t>Multiple legal/regulatory systems</w:t>
            </w:r>
          </w:p>
        </w:tc>
      </w:tr>
      <w:tr>
        <w:tc>
          <w:tcPr>
            <w:tcW w:type="dxa" w:w="3408"/>
            <w:tcMar>
              <w:top w:w="80" w:type="dxa"/>
              <w:start w:w="100" w:type="dxa"/>
              <w:bottom w:w="80" w:type="dxa"/>
              <w:end w:w="100" w:type="dxa"/>
            </w:tcMar>
            <w:vAlign w:val="center"/>
          </w:tcPr>
          <w:p>
            <w:r>
              <w:t>Currency</w:t>
            </w:r>
          </w:p>
        </w:tc>
        <w:tc>
          <w:tcPr>
            <w:tcW w:type="dxa" w:w="3408"/>
            <w:tcMar>
              <w:top w:w="80" w:type="dxa"/>
              <w:start w:w="100" w:type="dxa"/>
              <w:bottom w:w="80" w:type="dxa"/>
              <w:end w:w="100" w:type="dxa"/>
            </w:tcMar>
            <w:vAlign w:val="center"/>
          </w:tcPr>
          <w:p>
            <w:r>
              <w:t>Usually one currency</w:t>
            </w:r>
          </w:p>
        </w:tc>
        <w:tc>
          <w:tcPr>
            <w:tcW w:type="dxa" w:w="3408"/>
            <w:tcMar>
              <w:top w:w="80" w:type="dxa"/>
              <w:start w:w="100" w:type="dxa"/>
              <w:bottom w:w="80" w:type="dxa"/>
              <w:end w:w="100" w:type="dxa"/>
            </w:tcMar>
            <w:vAlign w:val="center"/>
          </w:tcPr>
          <w:p>
            <w:r>
              <w:t>Foreign-exchange exposure</w:t>
            </w:r>
          </w:p>
        </w:tc>
      </w:tr>
      <w:tr>
        <w:tc>
          <w:tcPr>
            <w:tcW w:type="dxa" w:w="3408"/>
            <w:tcMar>
              <w:top w:w="80" w:type="dxa"/>
              <w:start w:w="100" w:type="dxa"/>
              <w:bottom w:w="80" w:type="dxa"/>
              <w:end w:w="100" w:type="dxa"/>
            </w:tcMar>
            <w:vAlign w:val="center"/>
          </w:tcPr>
          <w:p>
            <w:r>
              <w:t>Trade barriers</w:t>
            </w:r>
          </w:p>
        </w:tc>
        <w:tc>
          <w:tcPr>
            <w:tcW w:type="dxa" w:w="3408"/>
            <w:tcMar>
              <w:top w:w="80" w:type="dxa"/>
              <w:start w:w="100" w:type="dxa"/>
              <w:bottom w:w="80" w:type="dxa"/>
              <w:end w:w="100" w:type="dxa"/>
            </w:tcMar>
            <w:vAlign w:val="center"/>
          </w:tcPr>
          <w:p>
            <w:r>
              <w:t>Limited internal barriers</w:t>
            </w:r>
          </w:p>
        </w:tc>
        <w:tc>
          <w:tcPr>
            <w:tcW w:type="dxa" w:w="3408"/>
            <w:tcMar>
              <w:top w:w="80" w:type="dxa"/>
              <w:start w:w="100" w:type="dxa"/>
              <w:bottom w:w="80" w:type="dxa"/>
              <w:end w:w="100" w:type="dxa"/>
            </w:tcMar>
            <w:vAlign w:val="center"/>
          </w:tcPr>
          <w:p>
            <w:r>
              <w:t>Tariffs, quotas, customs and non-tariff barriers may apply</w:t>
            </w:r>
          </w:p>
        </w:tc>
      </w:tr>
      <w:tr>
        <w:tc>
          <w:tcPr>
            <w:tcW w:type="dxa" w:w="3408"/>
            <w:tcMar>
              <w:top w:w="80" w:type="dxa"/>
              <w:start w:w="100" w:type="dxa"/>
              <w:bottom w:w="80" w:type="dxa"/>
              <w:end w:w="100" w:type="dxa"/>
            </w:tcMar>
            <w:vAlign w:val="center"/>
          </w:tcPr>
          <w:p>
            <w:r>
              <w:t>Documentation</w:t>
            </w:r>
          </w:p>
        </w:tc>
        <w:tc>
          <w:tcPr>
            <w:tcW w:type="dxa" w:w="3408"/>
            <w:tcMar>
              <w:top w:w="80" w:type="dxa"/>
              <w:start w:w="100" w:type="dxa"/>
              <w:bottom w:w="80" w:type="dxa"/>
              <w:end w:w="100" w:type="dxa"/>
            </w:tcMar>
            <w:vAlign w:val="center"/>
          </w:tcPr>
          <w:p>
            <w:r>
              <w:t>Relatively simpler</w:t>
            </w:r>
          </w:p>
        </w:tc>
        <w:tc>
          <w:tcPr>
            <w:tcW w:type="dxa" w:w="3408"/>
            <w:tcMar>
              <w:top w:w="80" w:type="dxa"/>
              <w:start w:w="100" w:type="dxa"/>
              <w:bottom w:w="80" w:type="dxa"/>
              <w:end w:w="100" w:type="dxa"/>
            </w:tcMar>
            <w:vAlign w:val="center"/>
          </w:tcPr>
          <w:p>
            <w:r>
              <w:t>More extensive cross-border documentation</w:t>
            </w:r>
          </w:p>
        </w:tc>
      </w:tr>
      <w:tr>
        <w:tc>
          <w:tcPr>
            <w:tcW w:type="dxa" w:w="3408"/>
            <w:tcMar>
              <w:top w:w="80" w:type="dxa"/>
              <w:start w:w="100" w:type="dxa"/>
              <w:bottom w:w="80" w:type="dxa"/>
              <w:end w:w="100" w:type="dxa"/>
            </w:tcMar>
            <w:vAlign w:val="center"/>
          </w:tcPr>
          <w:p>
            <w:r>
              <w:t>Risk</w:t>
            </w:r>
          </w:p>
        </w:tc>
        <w:tc>
          <w:tcPr>
            <w:tcW w:type="dxa" w:w="3408"/>
            <w:tcMar>
              <w:top w:w="80" w:type="dxa"/>
              <w:start w:w="100" w:type="dxa"/>
              <w:bottom w:w="80" w:type="dxa"/>
              <w:end w:w="100" w:type="dxa"/>
            </w:tcMar>
            <w:vAlign w:val="center"/>
          </w:tcPr>
          <w:p>
            <w:r>
              <w:t>Primarily domestic</w:t>
            </w:r>
          </w:p>
        </w:tc>
        <w:tc>
          <w:tcPr>
            <w:tcW w:type="dxa" w:w="3408"/>
            <w:tcMar>
              <w:top w:w="80" w:type="dxa"/>
              <w:start w:w="100" w:type="dxa"/>
              <w:bottom w:w="80" w:type="dxa"/>
              <w:end w:w="100" w:type="dxa"/>
            </w:tcMar>
            <w:vAlign w:val="center"/>
          </w:tcPr>
          <w:p>
            <w:r>
              <w:t>Country, political, FX and geopolitical risks added</w:t>
            </w:r>
          </w:p>
        </w:tc>
      </w:tr>
      <w:tr>
        <w:tc>
          <w:tcPr>
            <w:tcW w:type="dxa" w:w="3408"/>
            <w:tcMar>
              <w:top w:w="80" w:type="dxa"/>
              <w:start w:w="100" w:type="dxa"/>
              <w:bottom w:w="80" w:type="dxa"/>
              <w:end w:w="100" w:type="dxa"/>
            </w:tcMar>
            <w:vAlign w:val="center"/>
          </w:tcPr>
          <w:p>
            <w:r>
              <w:t>Managerial challenge</w:t>
            </w:r>
          </w:p>
        </w:tc>
        <w:tc>
          <w:tcPr>
            <w:tcW w:type="dxa" w:w="3408"/>
            <w:tcMar>
              <w:top w:w="80" w:type="dxa"/>
              <w:start w:w="100" w:type="dxa"/>
              <w:bottom w:w="80" w:type="dxa"/>
              <w:end w:w="100" w:type="dxa"/>
            </w:tcMar>
            <w:vAlign w:val="center"/>
          </w:tcPr>
          <w:p>
            <w:r>
              <w:t>Coordination within one environment</w:t>
            </w:r>
          </w:p>
        </w:tc>
        <w:tc>
          <w:tcPr>
            <w:tcW w:type="dxa" w:w="3408"/>
            <w:tcMar>
              <w:top w:w="80" w:type="dxa"/>
              <w:start w:w="100" w:type="dxa"/>
              <w:bottom w:w="80" w:type="dxa"/>
              <w:end w:w="100" w:type="dxa"/>
            </w:tcMar>
            <w:vAlign w:val="center"/>
          </w:tcPr>
          <w:p>
            <w:r>
              <w:t>Coordination across environments</w:t>
            </w:r>
          </w:p>
        </w:tc>
      </w:tr>
    </w:tbl>
    <w:p/>
    <w:p>
      <w:r>
        <w:rPr>
          <w:b/>
          <w:color w:val="1F4E79"/>
        </w:rPr>
        <w:t xml:space="preserve">Question: </w:t>
      </w:r>
      <w:r>
        <w:t>Differentiate domestic and international business using five dimensions.</w:t>
      </w:r>
    </w:p>
    <w:p>
      <w:pPr>
        <w:pStyle w:val="Answer"/>
      </w:pPr>
      <w:r>
        <w:rPr>
          <w:b/>
        </w:rPr>
        <w:t xml:space="preserve">Answer: </w:t>
      </w:r>
      <w:r>
        <w:t>A strong five-point answer is: legal environment (one vs multiple systems), currency (usually one vs FX exposure), culture/language (familiar vs potentially different), trade barriers/documentation (limited vs customs and cross-border requirements), and risk (primarily domestic vs country/political/FX/geopolitical risks).</w:t>
      </w:r>
    </w:p>
    <w:p>
      <w:pPr>
        <w:pStyle w:val="Heading1"/>
      </w:pPr>
      <w:r>
        <w:t>18. Why Do Firms Internationalize?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100" w:type="dxa"/>
              <w:bottom w:w="80" w:type="dxa"/>
              <w:end w:w="100" w:type="dxa"/>
            </w:tcMar>
            <w:vAlign w:val="center"/>
          </w:tcPr>
          <w:p>
            <w:pPr>
              <w:jc w:val="center"/>
            </w:pPr>
            <w:r>
              <w:rPr>
                <w:b/>
                <w:color w:val="FFFFFF"/>
              </w:rPr>
              <w:t>Motive</w:t>
            </w:r>
          </w:p>
        </w:tc>
        <w:tc>
          <w:tcPr>
            <w:tcW w:type="dxa" w:w="3408"/>
            <w:shd w:fill="1F4E79"/>
            <w:tcMar>
              <w:top w:w="80" w:type="dxa"/>
              <w:start w:w="100" w:type="dxa"/>
              <w:bottom w:w="80" w:type="dxa"/>
              <w:end w:w="100" w:type="dxa"/>
            </w:tcMar>
            <w:vAlign w:val="center"/>
          </w:tcPr>
          <w:p>
            <w:pPr>
              <w:jc w:val="center"/>
            </w:pPr>
            <w:r>
              <w:rPr>
                <w:b/>
                <w:color w:val="FFFFFF"/>
              </w:rPr>
              <w:t>Explanation</w:t>
            </w:r>
          </w:p>
        </w:tc>
        <w:tc>
          <w:tcPr>
            <w:tcW w:type="dxa" w:w="3408"/>
            <w:shd w:fill="1F4E79"/>
            <w:tcMar>
              <w:top w:w="80" w:type="dxa"/>
              <w:start w:w="100" w:type="dxa"/>
              <w:bottom w:w="80" w:type="dxa"/>
              <w:end w:w="100" w:type="dxa"/>
            </w:tcMar>
            <w:vAlign w:val="center"/>
          </w:tcPr>
          <w:p>
            <w:pPr>
              <w:jc w:val="center"/>
            </w:pPr>
            <w:r>
              <w:rPr>
                <w:b/>
                <w:color w:val="FFFFFF"/>
              </w:rPr>
              <w:t>Example</w:t>
            </w:r>
          </w:p>
        </w:tc>
      </w:tr>
      <w:tr>
        <w:tc>
          <w:tcPr>
            <w:tcW w:type="dxa" w:w="3408"/>
            <w:tcMar>
              <w:top w:w="80" w:type="dxa"/>
              <w:start w:w="100" w:type="dxa"/>
              <w:bottom w:w="80" w:type="dxa"/>
              <w:end w:w="100" w:type="dxa"/>
            </w:tcMar>
            <w:vAlign w:val="center"/>
          </w:tcPr>
          <w:p>
            <w:r>
              <w:t>Higher profits</w:t>
            </w:r>
          </w:p>
        </w:tc>
        <w:tc>
          <w:tcPr>
            <w:tcW w:type="dxa" w:w="3408"/>
            <w:tcMar>
              <w:top w:w="80" w:type="dxa"/>
              <w:start w:w="100" w:type="dxa"/>
              <w:bottom w:w="80" w:type="dxa"/>
              <w:end w:w="100" w:type="dxa"/>
            </w:tcMar>
            <w:vAlign w:val="center"/>
          </w:tcPr>
          <w:p>
            <w:r>
              <w:t>Foreign markets may provide stronger demand or margins.</w:t>
            </w:r>
          </w:p>
        </w:tc>
        <w:tc>
          <w:tcPr>
            <w:tcW w:type="dxa" w:w="3408"/>
            <w:tcMar>
              <w:top w:w="80" w:type="dxa"/>
              <w:start w:w="100" w:type="dxa"/>
              <w:bottom w:w="80" w:type="dxa"/>
              <w:end w:w="100" w:type="dxa"/>
            </w:tcMar>
            <w:vAlign w:val="center"/>
          </w:tcPr>
          <w:p>
            <w:r>
              <w:t>A mature home market but growing foreign demand.</w:t>
            </w:r>
          </w:p>
        </w:tc>
      </w:tr>
      <w:tr>
        <w:tc>
          <w:tcPr>
            <w:tcW w:type="dxa" w:w="3408"/>
            <w:tcMar>
              <w:top w:w="80" w:type="dxa"/>
              <w:start w:w="100" w:type="dxa"/>
              <w:bottom w:w="80" w:type="dxa"/>
              <w:end w:w="100" w:type="dxa"/>
            </w:tcMar>
            <w:vAlign w:val="center"/>
          </w:tcPr>
          <w:p>
            <w:r>
              <w:t>Excess capacity</w:t>
            </w:r>
          </w:p>
        </w:tc>
        <w:tc>
          <w:tcPr>
            <w:tcW w:type="dxa" w:w="3408"/>
            <w:tcMar>
              <w:top w:w="80" w:type="dxa"/>
              <w:start w:w="100" w:type="dxa"/>
              <w:bottom w:w="80" w:type="dxa"/>
              <w:end w:w="100" w:type="dxa"/>
            </w:tcMar>
            <w:vAlign w:val="center"/>
          </w:tcPr>
          <w:p>
            <w:r>
              <w:t>Foreign sales use production capacity beyond home-market demand.</w:t>
            </w:r>
          </w:p>
        </w:tc>
        <w:tc>
          <w:tcPr>
            <w:tcW w:type="dxa" w:w="3408"/>
            <w:tcMar>
              <w:top w:w="80" w:type="dxa"/>
              <w:start w:w="100" w:type="dxa"/>
              <w:bottom w:w="80" w:type="dxa"/>
              <w:end w:w="100" w:type="dxa"/>
            </w:tcMar>
            <w:vAlign w:val="center"/>
          </w:tcPr>
          <w:p>
            <w:r>
              <w:t>Factory has unused capacity.</w:t>
            </w:r>
          </w:p>
        </w:tc>
      </w:tr>
      <w:tr>
        <w:tc>
          <w:tcPr>
            <w:tcW w:type="dxa" w:w="3408"/>
            <w:tcMar>
              <w:top w:w="80" w:type="dxa"/>
              <w:start w:w="100" w:type="dxa"/>
              <w:bottom w:w="80" w:type="dxa"/>
              <w:end w:w="100" w:type="dxa"/>
            </w:tcMar>
            <w:vAlign w:val="center"/>
          </w:tcPr>
          <w:p>
            <w:r>
              <w:t>Home-market competition</w:t>
            </w:r>
          </w:p>
        </w:tc>
        <w:tc>
          <w:tcPr>
            <w:tcW w:type="dxa" w:w="3408"/>
            <w:tcMar>
              <w:top w:w="80" w:type="dxa"/>
              <w:start w:w="100" w:type="dxa"/>
              <w:bottom w:w="80" w:type="dxa"/>
              <w:end w:w="100" w:type="dxa"/>
            </w:tcMar>
            <w:vAlign w:val="center"/>
          </w:tcPr>
          <w:p>
            <w:r>
              <w:t>A foreign market may be less crowded.</w:t>
            </w:r>
          </w:p>
        </w:tc>
        <w:tc>
          <w:tcPr>
            <w:tcW w:type="dxa" w:w="3408"/>
            <w:tcMar>
              <w:top w:w="80" w:type="dxa"/>
              <w:start w:w="100" w:type="dxa"/>
              <w:bottom w:w="80" w:type="dxa"/>
              <w:end w:w="100" w:type="dxa"/>
            </w:tcMar>
            <w:vAlign w:val="center"/>
          </w:tcPr>
          <w:p>
            <w:r>
              <w:t>Enter a market with fewer established rivals.</w:t>
            </w:r>
          </w:p>
        </w:tc>
      </w:tr>
      <w:tr>
        <w:tc>
          <w:tcPr>
            <w:tcW w:type="dxa" w:w="3408"/>
            <w:tcMar>
              <w:top w:w="80" w:type="dxa"/>
              <w:start w:w="100" w:type="dxa"/>
              <w:bottom w:w="80" w:type="dxa"/>
              <w:end w:w="100" w:type="dxa"/>
            </w:tcMar>
            <w:vAlign w:val="center"/>
          </w:tcPr>
          <w:p>
            <w:r>
              <w:t>Limited home market</w:t>
            </w:r>
          </w:p>
        </w:tc>
        <w:tc>
          <w:tcPr>
            <w:tcW w:type="dxa" w:w="3408"/>
            <w:tcMar>
              <w:top w:w="80" w:type="dxa"/>
              <w:start w:w="100" w:type="dxa"/>
              <w:bottom w:w="80" w:type="dxa"/>
              <w:end w:w="100" w:type="dxa"/>
            </w:tcMar>
            <w:vAlign w:val="center"/>
          </w:tcPr>
          <w:p>
            <w:r>
              <w:t>Small market size encourages expansion.</w:t>
            </w:r>
          </w:p>
        </w:tc>
        <w:tc>
          <w:tcPr>
            <w:tcW w:type="dxa" w:w="3408"/>
            <w:tcMar>
              <w:top w:w="80" w:type="dxa"/>
              <w:start w:w="100" w:type="dxa"/>
              <w:bottom w:w="80" w:type="dxa"/>
              <w:end w:w="100" w:type="dxa"/>
            </w:tcMar>
            <w:vAlign w:val="center"/>
          </w:tcPr>
          <w:p>
            <w:r>
              <w:t>Seek more customers abroad.</w:t>
            </w:r>
          </w:p>
        </w:tc>
      </w:tr>
      <w:tr>
        <w:tc>
          <w:tcPr>
            <w:tcW w:type="dxa" w:w="3408"/>
            <w:tcMar>
              <w:top w:w="80" w:type="dxa"/>
              <w:start w:w="100" w:type="dxa"/>
              <w:bottom w:w="80" w:type="dxa"/>
              <w:end w:w="100" w:type="dxa"/>
            </w:tcMar>
            <w:vAlign w:val="center"/>
          </w:tcPr>
          <w:p>
            <w:r>
              <w:t>Resources &amp; capabilities</w:t>
            </w:r>
          </w:p>
        </w:tc>
        <w:tc>
          <w:tcPr>
            <w:tcW w:type="dxa" w:w="3408"/>
            <w:tcMar>
              <w:top w:w="80" w:type="dxa"/>
              <w:start w:w="100" w:type="dxa"/>
              <w:bottom w:w="80" w:type="dxa"/>
              <w:end w:w="100" w:type="dxa"/>
            </w:tcMar>
            <w:vAlign w:val="center"/>
          </w:tcPr>
          <w:p>
            <w:r>
              <w:t>Access raw materials, talent, technology or knowledge.</w:t>
            </w:r>
          </w:p>
        </w:tc>
        <w:tc>
          <w:tcPr>
            <w:tcW w:type="dxa" w:w="3408"/>
            <w:tcMar>
              <w:top w:w="80" w:type="dxa"/>
              <w:start w:w="100" w:type="dxa"/>
              <w:bottom w:w="80" w:type="dxa"/>
              <w:end w:w="100" w:type="dxa"/>
            </w:tcMar>
            <w:vAlign w:val="center"/>
          </w:tcPr>
          <w:p>
            <w:r>
              <w:t>Open an R&amp;D center near a specialized talent pool.</w:t>
            </w:r>
          </w:p>
        </w:tc>
      </w:tr>
      <w:tr>
        <w:tc>
          <w:tcPr>
            <w:tcW w:type="dxa" w:w="3408"/>
            <w:tcMar>
              <w:top w:w="80" w:type="dxa"/>
              <w:start w:w="100" w:type="dxa"/>
              <w:bottom w:w="80" w:type="dxa"/>
              <w:end w:w="100" w:type="dxa"/>
            </w:tcMar>
            <w:vAlign w:val="center"/>
          </w:tcPr>
          <w:p>
            <w:r>
              <w:t>Strategic learning</w:t>
            </w:r>
          </w:p>
        </w:tc>
        <w:tc>
          <w:tcPr>
            <w:tcW w:type="dxa" w:w="3408"/>
            <w:tcMar>
              <w:top w:w="80" w:type="dxa"/>
              <w:start w:w="100" w:type="dxa"/>
              <w:bottom w:w="80" w:type="dxa"/>
              <w:end w:w="100" w:type="dxa"/>
            </w:tcMar>
            <w:vAlign w:val="center"/>
          </w:tcPr>
          <w:p>
            <w:r>
              <w:t>Gain capabilities from international competition and operations.</w:t>
            </w:r>
          </w:p>
        </w:tc>
        <w:tc>
          <w:tcPr>
            <w:tcW w:type="dxa" w:w="3408"/>
            <w:tcMar>
              <w:top w:w="80" w:type="dxa"/>
              <w:start w:w="100" w:type="dxa"/>
              <w:bottom w:w="80" w:type="dxa"/>
              <w:end w:w="100" w:type="dxa"/>
            </w:tcMar>
            <w:vAlign w:val="center"/>
          </w:tcPr>
          <w:p>
            <w:r>
              <w:t>Learn from advanced foreign competitors.</w:t>
            </w:r>
          </w:p>
        </w:tc>
      </w:tr>
    </w:tbl>
    <w:p/>
    <w:p>
      <w:r>
        <w:rPr>
          <w:b/>
          <w:color w:val="1F4E79"/>
        </w:rPr>
        <w:t xml:space="preserve">Question: </w:t>
      </w:r>
      <w:r>
        <w:t>Why might a successful domestic firm still internationalize?</w:t>
      </w:r>
    </w:p>
    <w:p>
      <w:pPr>
        <w:pStyle w:val="Answer"/>
      </w:pPr>
      <w:r>
        <w:rPr>
          <w:b/>
        </w:rPr>
        <w:t xml:space="preserve">Answer: </w:t>
      </w:r>
      <w:r>
        <w:t>Because domestic success does not eliminate growth constraints. The firm may have excess capacity, stronger foreign demand, limited domestic market size, resource needs, lower competition abroad, or a strategic goal of learning and capability development.</w:t>
      </w:r>
    </w:p>
    <w:p>
      <w:pPr>
        <w:pStyle w:val="Heading1"/>
      </w:pPr>
      <w:r>
        <w:t>19. Stages of Internationalization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100" w:type="dxa"/>
              <w:bottom w:w="80" w:type="dxa"/>
              <w:end w:w="100" w:type="dxa"/>
            </w:tcMar>
            <w:vAlign w:val="center"/>
          </w:tcPr>
          <w:p>
            <w:pPr>
              <w:jc w:val="center"/>
            </w:pPr>
            <w:r>
              <w:rPr>
                <w:b/>
                <w:color w:val="FFFFFF"/>
              </w:rPr>
              <w:t>Stage</w:t>
            </w:r>
          </w:p>
        </w:tc>
        <w:tc>
          <w:tcPr>
            <w:tcW w:type="dxa" w:w="3408"/>
            <w:shd w:fill="1F4E79"/>
            <w:tcMar>
              <w:top w:w="80" w:type="dxa"/>
              <w:start w:w="100" w:type="dxa"/>
              <w:bottom w:w="80" w:type="dxa"/>
              <w:end w:w="100" w:type="dxa"/>
            </w:tcMar>
            <w:vAlign w:val="center"/>
          </w:tcPr>
          <w:p>
            <w:pPr>
              <w:jc w:val="center"/>
            </w:pPr>
            <w:r>
              <w:rPr>
                <w:b/>
                <w:color w:val="FFFFFF"/>
              </w:rPr>
              <w:t>Typical activity</w:t>
            </w:r>
          </w:p>
        </w:tc>
        <w:tc>
          <w:tcPr>
            <w:tcW w:type="dxa" w:w="3408"/>
            <w:shd w:fill="1F4E79"/>
            <w:tcMar>
              <w:top w:w="80" w:type="dxa"/>
              <w:start w:w="100" w:type="dxa"/>
              <w:bottom w:w="80" w:type="dxa"/>
              <w:end w:w="100" w:type="dxa"/>
            </w:tcMar>
            <w:vAlign w:val="center"/>
          </w:tcPr>
          <w:p>
            <w:pPr>
              <w:jc w:val="center"/>
            </w:pPr>
            <w:r>
              <w:rPr>
                <w:b/>
                <w:color w:val="FFFFFF"/>
              </w:rPr>
              <w:t>Commitment/control</w:t>
            </w:r>
          </w:p>
        </w:tc>
      </w:tr>
      <w:tr>
        <w:tc>
          <w:tcPr>
            <w:tcW w:type="dxa" w:w="3408"/>
            <w:tcMar>
              <w:top w:w="80" w:type="dxa"/>
              <w:start w:w="100" w:type="dxa"/>
              <w:bottom w:w="80" w:type="dxa"/>
              <w:end w:w="100" w:type="dxa"/>
            </w:tcMar>
            <w:vAlign w:val="center"/>
          </w:tcPr>
          <w:p>
            <w:r>
              <w:t>Domestic</w:t>
            </w:r>
          </w:p>
        </w:tc>
        <w:tc>
          <w:tcPr>
            <w:tcW w:type="dxa" w:w="3408"/>
            <w:tcMar>
              <w:top w:w="80" w:type="dxa"/>
              <w:start w:w="100" w:type="dxa"/>
              <w:bottom w:w="80" w:type="dxa"/>
              <w:end w:w="100" w:type="dxa"/>
            </w:tcMar>
            <w:vAlign w:val="center"/>
          </w:tcPr>
          <w:p>
            <w:r>
              <w:t>Home-market focus</w:t>
            </w:r>
          </w:p>
        </w:tc>
        <w:tc>
          <w:tcPr>
            <w:tcW w:type="dxa" w:w="3408"/>
            <w:tcMar>
              <w:top w:w="80" w:type="dxa"/>
              <w:start w:w="100" w:type="dxa"/>
              <w:bottom w:w="80" w:type="dxa"/>
              <w:end w:w="100" w:type="dxa"/>
            </w:tcMar>
            <w:vAlign w:val="center"/>
          </w:tcPr>
          <w:p>
            <w:r>
              <w:t>Low foreign commitment</w:t>
            </w:r>
          </w:p>
        </w:tc>
      </w:tr>
      <w:tr>
        <w:tc>
          <w:tcPr>
            <w:tcW w:type="dxa" w:w="3408"/>
            <w:tcMar>
              <w:top w:w="80" w:type="dxa"/>
              <w:start w:w="100" w:type="dxa"/>
              <w:bottom w:w="80" w:type="dxa"/>
              <w:end w:w="100" w:type="dxa"/>
            </w:tcMar>
            <w:vAlign w:val="center"/>
          </w:tcPr>
          <w:p>
            <w:r>
              <w:t>Export</w:t>
            </w:r>
          </w:p>
        </w:tc>
        <w:tc>
          <w:tcPr>
            <w:tcW w:type="dxa" w:w="3408"/>
            <w:tcMar>
              <w:top w:w="80" w:type="dxa"/>
              <w:start w:w="100" w:type="dxa"/>
              <w:bottom w:w="80" w:type="dxa"/>
              <w:end w:w="100" w:type="dxa"/>
            </w:tcMar>
            <w:vAlign w:val="center"/>
          </w:tcPr>
          <w:p>
            <w:r>
              <w:t>Occasional or regular foreign sales</w:t>
            </w:r>
          </w:p>
        </w:tc>
        <w:tc>
          <w:tcPr>
            <w:tcW w:type="dxa" w:w="3408"/>
            <w:tcMar>
              <w:top w:w="80" w:type="dxa"/>
              <w:start w:w="100" w:type="dxa"/>
              <w:bottom w:w="80" w:type="dxa"/>
              <w:end w:w="100" w:type="dxa"/>
            </w:tcMar>
            <w:vAlign w:val="center"/>
          </w:tcPr>
          <w:p>
            <w:r>
              <w:t>More exposure, limited foreign control</w:t>
            </w:r>
          </w:p>
        </w:tc>
      </w:tr>
      <w:tr>
        <w:tc>
          <w:tcPr>
            <w:tcW w:type="dxa" w:w="3408"/>
            <w:tcMar>
              <w:top w:w="80" w:type="dxa"/>
              <w:start w:w="100" w:type="dxa"/>
              <w:bottom w:w="80" w:type="dxa"/>
              <w:end w:w="100" w:type="dxa"/>
            </w:tcMar>
            <w:vAlign w:val="center"/>
          </w:tcPr>
          <w:p>
            <w:r>
              <w:t>Market presence</w:t>
            </w:r>
          </w:p>
        </w:tc>
        <w:tc>
          <w:tcPr>
            <w:tcW w:type="dxa" w:w="3408"/>
            <w:tcMar>
              <w:top w:w="80" w:type="dxa"/>
              <w:start w:w="100" w:type="dxa"/>
              <w:bottom w:w="80" w:type="dxa"/>
              <w:end w:w="100" w:type="dxa"/>
            </w:tcMar>
            <w:vAlign w:val="center"/>
          </w:tcPr>
          <w:p>
            <w:r>
              <w:t>Agents, distributors, licensing, franchising</w:t>
            </w:r>
          </w:p>
        </w:tc>
        <w:tc>
          <w:tcPr>
            <w:tcW w:type="dxa" w:w="3408"/>
            <w:tcMar>
              <w:top w:w="80" w:type="dxa"/>
              <w:start w:w="100" w:type="dxa"/>
              <w:bottom w:w="80" w:type="dxa"/>
              <w:end w:w="100" w:type="dxa"/>
            </w:tcMar>
            <w:vAlign w:val="center"/>
          </w:tcPr>
          <w:p>
            <w:r>
              <w:t>Moderate commitment and local presence</w:t>
            </w:r>
          </w:p>
        </w:tc>
      </w:tr>
      <w:tr>
        <w:tc>
          <w:tcPr>
            <w:tcW w:type="dxa" w:w="3408"/>
            <w:tcMar>
              <w:top w:w="80" w:type="dxa"/>
              <w:start w:w="100" w:type="dxa"/>
              <w:bottom w:w="80" w:type="dxa"/>
              <w:end w:w="100" w:type="dxa"/>
            </w:tcMar>
            <w:vAlign w:val="center"/>
          </w:tcPr>
          <w:p>
            <w:r>
              <w:t>Foreign operations</w:t>
            </w:r>
          </w:p>
        </w:tc>
        <w:tc>
          <w:tcPr>
            <w:tcW w:type="dxa" w:w="3408"/>
            <w:tcMar>
              <w:top w:w="80" w:type="dxa"/>
              <w:start w:w="100" w:type="dxa"/>
              <w:bottom w:w="80" w:type="dxa"/>
              <w:end w:w="100" w:type="dxa"/>
            </w:tcMar>
            <w:vAlign w:val="center"/>
          </w:tcPr>
          <w:p>
            <w:r>
              <w:t>Subsidiary, JV or local production</w:t>
            </w:r>
          </w:p>
        </w:tc>
        <w:tc>
          <w:tcPr>
            <w:tcW w:type="dxa" w:w="3408"/>
            <w:tcMar>
              <w:top w:w="80" w:type="dxa"/>
              <w:start w:w="100" w:type="dxa"/>
              <w:bottom w:w="80" w:type="dxa"/>
              <w:end w:w="100" w:type="dxa"/>
            </w:tcMar>
            <w:vAlign w:val="center"/>
          </w:tcPr>
          <w:p>
            <w:r>
              <w:t>Higher investment and control</w:t>
            </w:r>
          </w:p>
        </w:tc>
      </w:tr>
      <w:tr>
        <w:tc>
          <w:tcPr>
            <w:tcW w:type="dxa" w:w="3408"/>
            <w:tcMar>
              <w:top w:w="80" w:type="dxa"/>
              <w:start w:w="100" w:type="dxa"/>
              <w:bottom w:w="80" w:type="dxa"/>
              <w:end w:w="100" w:type="dxa"/>
            </w:tcMar>
            <w:vAlign w:val="center"/>
          </w:tcPr>
          <w:p>
            <w:r>
              <w:t>Integrated global firm</w:t>
            </w:r>
          </w:p>
        </w:tc>
        <w:tc>
          <w:tcPr>
            <w:tcW w:type="dxa" w:w="3408"/>
            <w:tcMar>
              <w:top w:w="80" w:type="dxa"/>
              <w:start w:w="100" w:type="dxa"/>
              <w:bottom w:w="80" w:type="dxa"/>
              <w:end w:w="100" w:type="dxa"/>
            </w:tcMar>
            <w:vAlign w:val="center"/>
          </w:tcPr>
          <w:p>
            <w:r>
              <w:t>Multiple countries with coordinated value chain</w:t>
            </w:r>
          </w:p>
        </w:tc>
        <w:tc>
          <w:tcPr>
            <w:tcW w:type="dxa" w:w="3408"/>
            <w:tcMar>
              <w:top w:w="80" w:type="dxa"/>
              <w:start w:w="100" w:type="dxa"/>
              <w:bottom w:w="80" w:type="dxa"/>
              <w:end w:w="100" w:type="dxa"/>
            </w:tcMar>
            <w:vAlign w:val="center"/>
          </w:tcPr>
          <w:p>
            <w:r>
              <w:t>High coordination and global integration</w:t>
            </w:r>
          </w:p>
        </w:tc>
      </w:tr>
    </w:tbl>
    <w:p/>
    <w:p>
      <w:r>
        <w:t>The presentation explicitly warns that internationalization is not always linear. Firms may accelerate, pause, reverse or redesign their foreign footprint. A useful exam sentence is: "Internationalization should match commitment to uncertainty and opportunity."</w:t>
      </w:r>
    </w:p>
    <w:p>
      <w:r>
        <w:rPr>
          <w:b/>
          <w:color w:val="1F4E79"/>
        </w:rPr>
        <w:t xml:space="preserve">Question: </w:t>
      </w:r>
      <w:r>
        <w:t>What generally happens to commitment as a firm moves from exporter to local production?</w:t>
      </w:r>
    </w:p>
    <w:p>
      <w:pPr>
        <w:pStyle w:val="Answer"/>
      </w:pPr>
      <w:r>
        <w:rPr>
          <w:b/>
        </w:rPr>
        <w:t xml:space="preserve">Answer: </w:t>
      </w:r>
      <w:r>
        <w:t>Investment, control and exposure to country risk usually increase. At the same time, local market knowledge and responsiveness can improve.</w:t>
      </w:r>
    </w:p>
    <w:p>
      <w:pPr>
        <w:pStyle w:val="Heading1"/>
      </w:pPr>
      <w:r>
        <w:t>20. EPRG Framework</w:t>
      </w:r>
    </w:p>
    <w:p>
      <w:r>
        <w:t>The EPRG framework describes four managerial orientations: Ethnocentric, Polycentric, Regiocentric and Geocentric. It is associated in the presentation with the Howard V. Perlmutter / Wind-Perlmutter tradition.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tcMar>
              <w:top w:w="80" w:type="dxa"/>
              <w:start w:w="100" w:type="dxa"/>
              <w:bottom w:w="80" w:type="dxa"/>
              <w:end w:w="100" w:type="dxa"/>
            </w:tcMar>
            <w:vAlign w:val="center"/>
          </w:tcPr>
          <w:p>
            <w:pPr>
              <w:jc w:val="center"/>
            </w:pPr>
            <w:r>
              <w:rPr>
                <w:b/>
                <w:color w:val="FFFFFF"/>
              </w:rPr>
              <w:t>Orientation</w:t>
            </w:r>
          </w:p>
        </w:tc>
        <w:tc>
          <w:tcPr>
            <w:tcW w:type="dxa" w:w="2556"/>
            <w:shd w:fill="1F4E79"/>
            <w:tcMar>
              <w:top w:w="80" w:type="dxa"/>
              <w:start w:w="100" w:type="dxa"/>
              <w:bottom w:w="80" w:type="dxa"/>
              <w:end w:w="100" w:type="dxa"/>
            </w:tcMar>
            <w:vAlign w:val="center"/>
          </w:tcPr>
          <w:p>
            <w:pPr>
              <w:jc w:val="center"/>
            </w:pPr>
            <w:r>
              <w:rPr>
                <w:b/>
                <w:color w:val="FFFFFF"/>
              </w:rPr>
              <w:t>Basic logic</w:t>
            </w:r>
          </w:p>
        </w:tc>
        <w:tc>
          <w:tcPr>
            <w:tcW w:type="dxa" w:w="2556"/>
            <w:shd w:fill="1F4E79"/>
            <w:tcMar>
              <w:top w:w="80" w:type="dxa"/>
              <w:start w:w="100" w:type="dxa"/>
              <w:bottom w:w="80" w:type="dxa"/>
              <w:end w:w="100" w:type="dxa"/>
            </w:tcMar>
            <w:vAlign w:val="center"/>
          </w:tcPr>
          <w:p>
            <w:pPr>
              <w:jc w:val="center"/>
            </w:pPr>
            <w:r>
              <w:rPr>
                <w:b/>
                <w:color w:val="FFFFFF"/>
              </w:rPr>
              <w:t>Key advantage</w:t>
            </w:r>
          </w:p>
        </w:tc>
        <w:tc>
          <w:tcPr>
            <w:tcW w:type="dxa" w:w="2556"/>
            <w:shd w:fill="1F4E79"/>
            <w:tcMar>
              <w:top w:w="80" w:type="dxa"/>
              <w:start w:w="100" w:type="dxa"/>
              <w:bottom w:w="80" w:type="dxa"/>
              <w:end w:w="100" w:type="dxa"/>
            </w:tcMar>
            <w:vAlign w:val="center"/>
          </w:tcPr>
          <w:p>
            <w:pPr>
              <w:jc w:val="center"/>
            </w:pPr>
            <w:r>
              <w:rPr>
                <w:b/>
                <w:color w:val="FFFFFF"/>
              </w:rPr>
              <w:t>Key risk</w:t>
            </w:r>
          </w:p>
        </w:tc>
      </w:tr>
      <w:tr>
        <w:tc>
          <w:tcPr>
            <w:tcW w:type="dxa" w:w="2556"/>
            <w:tcMar>
              <w:top w:w="80" w:type="dxa"/>
              <w:start w:w="100" w:type="dxa"/>
              <w:bottom w:w="80" w:type="dxa"/>
              <w:end w:w="100" w:type="dxa"/>
            </w:tcMar>
            <w:vAlign w:val="center"/>
          </w:tcPr>
          <w:p>
            <w:r>
              <w:t>Ethnocentric</w:t>
            </w:r>
          </w:p>
        </w:tc>
        <w:tc>
          <w:tcPr>
            <w:tcW w:type="dxa" w:w="2556"/>
            <w:tcMar>
              <w:top w:w="80" w:type="dxa"/>
              <w:start w:w="100" w:type="dxa"/>
              <w:bottom w:w="80" w:type="dxa"/>
              <w:end w:w="100" w:type="dxa"/>
            </w:tcMar>
            <w:vAlign w:val="center"/>
          </w:tcPr>
          <w:p>
            <w:r>
              <w:t>Home-country logic dominates.</w:t>
            </w:r>
          </w:p>
        </w:tc>
        <w:tc>
          <w:tcPr>
            <w:tcW w:type="dxa" w:w="2556"/>
            <w:tcMar>
              <w:top w:w="80" w:type="dxa"/>
              <w:start w:w="100" w:type="dxa"/>
              <w:bottom w:w="80" w:type="dxa"/>
              <w:end w:w="100" w:type="dxa"/>
            </w:tcMar>
            <w:vAlign w:val="center"/>
          </w:tcPr>
          <w:p>
            <w:r>
              <w:t>Consistency, speed, lower adaptation cost.</w:t>
            </w:r>
          </w:p>
        </w:tc>
        <w:tc>
          <w:tcPr>
            <w:tcW w:type="dxa" w:w="2556"/>
            <w:tcMar>
              <w:top w:w="80" w:type="dxa"/>
              <w:start w:w="100" w:type="dxa"/>
              <w:bottom w:w="80" w:type="dxa"/>
              <w:end w:w="100" w:type="dxa"/>
            </w:tcMar>
            <w:vAlign w:val="center"/>
          </w:tcPr>
          <w:p>
            <w:r>
              <w:t>Home assumptions may not fit local conditions.</w:t>
            </w:r>
          </w:p>
        </w:tc>
      </w:tr>
      <w:tr>
        <w:tc>
          <w:tcPr>
            <w:tcW w:type="dxa" w:w="2556"/>
            <w:tcMar>
              <w:top w:w="80" w:type="dxa"/>
              <w:start w:w="100" w:type="dxa"/>
              <w:bottom w:w="80" w:type="dxa"/>
              <w:end w:w="100" w:type="dxa"/>
            </w:tcMar>
            <w:vAlign w:val="center"/>
          </w:tcPr>
          <w:p>
            <w:r>
              <w:t>Polycentric</w:t>
            </w:r>
          </w:p>
        </w:tc>
        <w:tc>
          <w:tcPr>
            <w:tcW w:type="dxa" w:w="2556"/>
            <w:tcMar>
              <w:top w:w="80" w:type="dxa"/>
              <w:start w:w="100" w:type="dxa"/>
              <w:bottom w:w="80" w:type="dxa"/>
              <w:end w:w="100" w:type="dxa"/>
            </w:tcMar>
            <w:vAlign w:val="center"/>
          </w:tcPr>
          <w:p>
            <w:r>
              <w:t>Each host country gets substantial autonomy.</w:t>
            </w:r>
          </w:p>
        </w:tc>
        <w:tc>
          <w:tcPr>
            <w:tcW w:type="dxa" w:w="2556"/>
            <w:tcMar>
              <w:top w:w="80" w:type="dxa"/>
              <w:start w:w="100" w:type="dxa"/>
              <w:bottom w:w="80" w:type="dxa"/>
              <w:end w:w="100" w:type="dxa"/>
            </w:tcMar>
            <w:vAlign w:val="center"/>
          </w:tcPr>
          <w:p>
            <w:r>
              <w:t>Strong local responsiveness.</w:t>
            </w:r>
          </w:p>
        </w:tc>
        <w:tc>
          <w:tcPr>
            <w:tcW w:type="dxa" w:w="2556"/>
            <w:tcMar>
              <w:top w:w="80" w:type="dxa"/>
              <w:start w:w="100" w:type="dxa"/>
              <w:bottom w:w="80" w:type="dxa"/>
              <w:end w:w="100" w:type="dxa"/>
            </w:tcMar>
            <w:vAlign w:val="center"/>
          </w:tcPr>
          <w:p>
            <w:r>
              <w:t>Duplication and weaker global coordination.</w:t>
            </w:r>
          </w:p>
        </w:tc>
      </w:tr>
      <w:tr>
        <w:tc>
          <w:tcPr>
            <w:tcW w:type="dxa" w:w="2556"/>
            <w:tcMar>
              <w:top w:w="80" w:type="dxa"/>
              <w:start w:w="100" w:type="dxa"/>
              <w:bottom w:w="80" w:type="dxa"/>
              <w:end w:w="100" w:type="dxa"/>
            </w:tcMar>
            <w:vAlign w:val="center"/>
          </w:tcPr>
          <w:p>
            <w:r>
              <w:t>Regiocentric</w:t>
            </w:r>
          </w:p>
        </w:tc>
        <w:tc>
          <w:tcPr>
            <w:tcW w:type="dxa" w:w="2556"/>
            <w:tcMar>
              <w:top w:w="80" w:type="dxa"/>
              <w:start w:w="100" w:type="dxa"/>
              <w:bottom w:w="80" w:type="dxa"/>
              <w:end w:w="100" w:type="dxa"/>
            </w:tcMar>
            <w:vAlign w:val="center"/>
          </w:tcPr>
          <w:p>
            <w:r>
              <w:t>Strategy organized around regions.</w:t>
            </w:r>
          </w:p>
        </w:tc>
        <w:tc>
          <w:tcPr>
            <w:tcW w:type="dxa" w:w="2556"/>
            <w:tcMar>
              <w:top w:w="80" w:type="dxa"/>
              <w:start w:w="100" w:type="dxa"/>
              <w:bottom w:w="80" w:type="dxa"/>
              <w:end w:w="100" w:type="dxa"/>
            </w:tcMar>
            <w:vAlign w:val="center"/>
          </w:tcPr>
          <w:p>
            <w:r>
              <w:t>Balance between scale and local responsiveness.</w:t>
            </w:r>
          </w:p>
        </w:tc>
        <w:tc>
          <w:tcPr>
            <w:tcW w:type="dxa" w:w="2556"/>
            <w:tcMar>
              <w:top w:w="80" w:type="dxa"/>
              <w:start w:w="100" w:type="dxa"/>
              <w:bottom w:w="80" w:type="dxa"/>
              <w:end w:w="100" w:type="dxa"/>
            </w:tcMar>
            <w:vAlign w:val="center"/>
          </w:tcPr>
          <w:p>
            <w:r>
              <w:t>Country differences within a region may be overlooked.</w:t>
            </w:r>
          </w:p>
        </w:tc>
      </w:tr>
      <w:tr>
        <w:tc>
          <w:tcPr>
            <w:tcW w:type="dxa" w:w="2556"/>
            <w:tcMar>
              <w:top w:w="80" w:type="dxa"/>
              <w:start w:w="100" w:type="dxa"/>
              <w:bottom w:w="80" w:type="dxa"/>
              <w:end w:w="100" w:type="dxa"/>
            </w:tcMar>
            <w:vAlign w:val="center"/>
          </w:tcPr>
          <w:p>
            <w:r>
              <w:t>Geocentric</w:t>
            </w:r>
          </w:p>
        </w:tc>
        <w:tc>
          <w:tcPr>
            <w:tcW w:type="dxa" w:w="2556"/>
            <w:tcMar>
              <w:top w:w="80" w:type="dxa"/>
              <w:start w:w="100" w:type="dxa"/>
              <w:bottom w:w="80" w:type="dxa"/>
              <w:end w:w="100" w:type="dxa"/>
            </w:tcMar>
            <w:vAlign w:val="center"/>
          </w:tcPr>
          <w:p>
            <w:r>
              <w:t>World viewed as an integrated talent and market system.</w:t>
            </w:r>
          </w:p>
        </w:tc>
        <w:tc>
          <w:tcPr>
            <w:tcW w:type="dxa" w:w="2556"/>
            <w:tcMar>
              <w:top w:w="80" w:type="dxa"/>
              <w:start w:w="100" w:type="dxa"/>
              <w:bottom w:w="80" w:type="dxa"/>
              <w:end w:w="100" w:type="dxa"/>
            </w:tcMar>
            <w:vAlign w:val="center"/>
          </w:tcPr>
          <w:p>
            <w:r>
              <w:t>Global learning and capability sharing.</w:t>
            </w:r>
          </w:p>
        </w:tc>
        <w:tc>
          <w:tcPr>
            <w:tcW w:type="dxa" w:w="2556"/>
            <w:tcMar>
              <w:top w:w="80" w:type="dxa"/>
              <w:start w:w="100" w:type="dxa"/>
              <w:bottom w:w="80" w:type="dxa"/>
              <w:end w:w="100" w:type="dxa"/>
            </w:tcMar>
            <w:vAlign w:val="center"/>
          </w:tcPr>
          <w:p>
            <w:r>
              <w:t>Higher coordination and governance complexity.</w:t>
            </w:r>
          </w:p>
        </w:tc>
      </w:tr>
    </w:tbl>
    <w:p/>
    <w:p>
      <w:pPr>
        <w:pStyle w:val="Heading2"/>
      </w:pPr>
      <w:r>
        <w:t>20.1 Ethnocentric Orientation</w:t>
      </w:r>
    </w:p>
    <w:p>
      <w:r>
        <w:t>The logic is: "Our home-market way is the default." Product design, marketing, staffing and decision-making are strongly influenced by home-country assumptions. Foreign markets are often treated as extensions of the domestic market.</w:t>
      </w:r>
    </w:p>
    <w:tbl>
      <w:tblPr>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b/>
              </w:rPr>
              <w:t xml:space="preserve">Presentation case - early Nissan exports: </w:t>
            </w:r>
            <w:r>
              <w:t>The presentation uses an example in which vehicles exported to the United States were difficult to start in cold winters because Japanese winter practices did not transfer directly. The lesson is about transferring assumptions from one environment to another without sufficient local adaptation. [IB Unit 1, Slides 28-29]</w:t>
            </w:r>
          </w:p>
        </w:tc>
      </w:tr>
    </w:tbl>
    <w:p>
      <w:r>
        <w:rPr>
          <w:b/>
          <w:color w:val="1F4E79"/>
        </w:rPr>
        <w:t xml:space="preserve">Question: </w:t>
      </w:r>
      <w:r>
        <w:t>What is the key risk of ethnocentricity?</w:t>
      </w:r>
    </w:p>
    <w:p>
      <w:pPr>
        <w:pStyle w:val="Answer"/>
      </w:pPr>
      <w:r>
        <w:rPr>
          <w:b/>
        </w:rPr>
        <w:t xml:space="preserve">Answer: </w:t>
      </w:r>
      <w:r>
        <w:t>Managers may mistake practices that work in the home market for universal practices. This can cause product, marketing or operational failure abroad.</w:t>
      </w:r>
    </w:p>
    <w:p>
      <w:pPr>
        <w:pStyle w:val="Heading2"/>
      </w:pPr>
      <w:r>
        <w:t>20.2 Polycentric Orientation</w:t>
      </w:r>
    </w:p>
    <w:p>
      <w:r>
        <w:t>The logic is: "Let each country adapt to its own market." Foreign subsidiaries receive substantial decision-making autonomy. Local managers use host-country knowledge to design policies and strategies.</w:t>
      </w:r>
    </w:p>
    <w:p>
      <w:r>
        <w:rPr>
          <w:b/>
          <w:color w:val="1F4E79"/>
        </w:rPr>
        <w:t xml:space="preserve">Question: </w:t>
      </w:r>
      <w:r>
        <w:t>When is a polycentric orientation useful?</w:t>
      </w:r>
    </w:p>
    <w:p>
      <w:pPr>
        <w:pStyle w:val="Answer"/>
      </w:pPr>
      <w:r>
        <w:rPr>
          <w:b/>
        </w:rPr>
        <w:t xml:space="preserve">Answer: </w:t>
      </w:r>
      <w:r>
        <w:t>When customer preferences, regulations and cultural conditions differ sharply across countries and local responsiveness is important.</w:t>
      </w:r>
    </w:p>
    <w:p>
      <w:pPr>
        <w:pStyle w:val="Heading2"/>
      </w:pPr>
      <w:r>
        <w:t>20.3 Regiocentric Orientation</w:t>
      </w:r>
    </w:p>
    <w:p>
      <w:r>
        <w:t>Countries are grouped into regions with related market or institutional characteristics. The firm may create a regional strategy while allowing local execution.</w:t>
      </w:r>
    </w:p>
    <w:p>
      <w:r>
        <w:rPr>
          <w:b/>
          <w:color w:val="1F4E79"/>
        </w:rPr>
        <w:t xml:space="preserve">Question: </w:t>
      </w:r>
      <w:r>
        <w:t>What is the main strength of regiocentric management?</w:t>
      </w:r>
    </w:p>
    <w:p>
      <w:pPr>
        <w:pStyle w:val="Answer"/>
      </w:pPr>
      <w:r>
        <w:rPr>
          <w:b/>
        </w:rPr>
        <w:t xml:space="preserve">Answer: </w:t>
      </w:r>
      <w:r>
        <w:t>It can capture regional economies of scale while retaining some local responsiveness.</w:t>
      </w:r>
    </w:p>
    <w:p>
      <w:pPr>
        <w:pStyle w:val="Heading2"/>
      </w:pPr>
      <w:r>
        <w:t>20.4 Geocentric Orientation</w:t>
      </w:r>
    </w:p>
    <w:p>
      <w:r>
        <w:t>The world is treated as an interconnected system. Talent, knowledge and capabilities can be sourced globally. Both headquarters and subsidiaries can contribute to strategy and innovation.</w:t>
      </w:r>
    </w:p>
    <w:p>
      <w:r>
        <w:rPr>
          <w:b/>
          <w:color w:val="1F4E79"/>
        </w:rPr>
        <w:t xml:space="preserve">Question: </w:t>
      </w:r>
      <w:r>
        <w:t>What is the main challenge of geocentric management?</w:t>
      </w:r>
    </w:p>
    <w:p>
      <w:pPr>
        <w:pStyle w:val="Answer"/>
      </w:pPr>
      <w:r>
        <w:rPr>
          <w:b/>
        </w:rPr>
        <w:t xml:space="preserve">Answer: </w:t>
      </w:r>
      <w:r>
        <w:t>It requires sophisticated coordination and governance because the organization must integrate knowledge, talent and decisions across many locations.</w:t>
      </w:r>
    </w:p>
    <w:p>
      <w:pPr>
        <w:pStyle w:val="Heading2"/>
      </w:pPr>
      <w:r>
        <w:t>20.5 EPRG Memory Table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100" w:type="dxa"/>
              <w:bottom w:w="80" w:type="dxa"/>
              <w:end w:w="100" w:type="dxa"/>
            </w:tcMar>
            <w:vAlign w:val="center"/>
          </w:tcPr>
          <w:p>
            <w:pPr>
              <w:jc w:val="center"/>
            </w:pPr>
            <w:r>
              <w:rPr>
                <w:b/>
                <w:color w:val="FFFFFF"/>
              </w:rPr>
              <w:t>Letter</w:t>
            </w:r>
          </w:p>
        </w:tc>
        <w:tc>
          <w:tcPr>
            <w:tcW w:type="dxa" w:w="3408"/>
            <w:shd w:fill="1F4E79"/>
            <w:tcMar>
              <w:top w:w="80" w:type="dxa"/>
              <w:start w:w="100" w:type="dxa"/>
              <w:bottom w:w="80" w:type="dxa"/>
              <w:end w:w="100" w:type="dxa"/>
            </w:tcMar>
            <w:vAlign w:val="center"/>
          </w:tcPr>
          <w:p>
            <w:pPr>
              <w:jc w:val="center"/>
            </w:pPr>
            <w:r>
              <w:rPr>
                <w:b/>
                <w:color w:val="FFFFFF"/>
              </w:rPr>
              <w:t>Remember it as</w:t>
            </w:r>
          </w:p>
        </w:tc>
        <w:tc>
          <w:tcPr>
            <w:tcW w:type="dxa" w:w="3408"/>
            <w:shd w:fill="1F4E79"/>
            <w:tcMar>
              <w:top w:w="80" w:type="dxa"/>
              <w:start w:w="100" w:type="dxa"/>
              <w:bottom w:w="80" w:type="dxa"/>
              <w:end w:w="100" w:type="dxa"/>
            </w:tcMar>
            <w:vAlign w:val="center"/>
          </w:tcPr>
          <w:p>
            <w:pPr>
              <w:jc w:val="center"/>
            </w:pPr>
            <w:r>
              <w:rPr>
                <w:b/>
                <w:color w:val="FFFFFF"/>
              </w:rPr>
              <w:t>Typical managerial logic</w:t>
            </w:r>
          </w:p>
        </w:tc>
      </w:tr>
      <w:tr>
        <w:tc>
          <w:tcPr>
            <w:tcW w:type="dxa" w:w="3408"/>
            <w:tcMar>
              <w:top w:w="80" w:type="dxa"/>
              <w:start w:w="100" w:type="dxa"/>
              <w:bottom w:w="80" w:type="dxa"/>
              <w:end w:w="100" w:type="dxa"/>
            </w:tcMar>
            <w:vAlign w:val="center"/>
          </w:tcPr>
          <w:p>
            <w:r>
              <w:t>E</w:t>
            </w:r>
          </w:p>
        </w:tc>
        <w:tc>
          <w:tcPr>
            <w:tcW w:type="dxa" w:w="3408"/>
            <w:tcMar>
              <w:top w:w="80" w:type="dxa"/>
              <w:start w:w="100" w:type="dxa"/>
              <w:bottom w:w="80" w:type="dxa"/>
              <w:end w:w="100" w:type="dxa"/>
            </w:tcMar>
            <w:vAlign w:val="center"/>
          </w:tcPr>
          <w:p>
            <w:r>
              <w:t>Home</w:t>
            </w:r>
          </w:p>
        </w:tc>
        <w:tc>
          <w:tcPr>
            <w:tcW w:type="dxa" w:w="3408"/>
            <w:tcMar>
              <w:top w:w="80" w:type="dxa"/>
              <w:start w:w="100" w:type="dxa"/>
              <w:bottom w:w="80" w:type="dxa"/>
              <w:end w:w="100" w:type="dxa"/>
            </w:tcMar>
            <w:vAlign w:val="center"/>
          </w:tcPr>
          <w:p>
            <w:r>
              <w:t>Home-country standard dominates.</w:t>
            </w:r>
          </w:p>
        </w:tc>
      </w:tr>
      <w:tr>
        <w:tc>
          <w:tcPr>
            <w:tcW w:type="dxa" w:w="3408"/>
            <w:tcMar>
              <w:top w:w="80" w:type="dxa"/>
              <w:start w:w="100" w:type="dxa"/>
              <w:bottom w:w="80" w:type="dxa"/>
              <w:end w:w="100" w:type="dxa"/>
            </w:tcMar>
            <w:vAlign w:val="center"/>
          </w:tcPr>
          <w:p>
            <w:r>
              <w:t>P</w:t>
            </w:r>
          </w:p>
        </w:tc>
        <w:tc>
          <w:tcPr>
            <w:tcW w:type="dxa" w:w="3408"/>
            <w:tcMar>
              <w:top w:w="80" w:type="dxa"/>
              <w:start w:w="100" w:type="dxa"/>
              <w:bottom w:w="80" w:type="dxa"/>
              <w:end w:w="100" w:type="dxa"/>
            </w:tcMar>
            <w:vAlign w:val="center"/>
          </w:tcPr>
          <w:p>
            <w:r>
              <w:t>Country</w:t>
            </w:r>
          </w:p>
        </w:tc>
        <w:tc>
          <w:tcPr>
            <w:tcW w:type="dxa" w:w="3408"/>
            <w:tcMar>
              <w:top w:w="80" w:type="dxa"/>
              <w:start w:w="100" w:type="dxa"/>
              <w:bottom w:w="80" w:type="dxa"/>
              <w:end w:w="100" w:type="dxa"/>
            </w:tcMar>
            <w:vAlign w:val="center"/>
          </w:tcPr>
          <w:p>
            <w:r>
              <w:t>Each country adapts.</w:t>
            </w:r>
          </w:p>
        </w:tc>
      </w:tr>
      <w:tr>
        <w:tc>
          <w:tcPr>
            <w:tcW w:type="dxa" w:w="3408"/>
            <w:tcMar>
              <w:top w:w="80" w:type="dxa"/>
              <w:start w:w="100" w:type="dxa"/>
              <w:bottom w:w="80" w:type="dxa"/>
              <w:end w:w="100" w:type="dxa"/>
            </w:tcMar>
            <w:vAlign w:val="center"/>
          </w:tcPr>
          <w:p>
            <w:r>
              <w:t>R</w:t>
            </w:r>
          </w:p>
        </w:tc>
        <w:tc>
          <w:tcPr>
            <w:tcW w:type="dxa" w:w="3408"/>
            <w:tcMar>
              <w:top w:w="80" w:type="dxa"/>
              <w:start w:w="100" w:type="dxa"/>
              <w:bottom w:w="80" w:type="dxa"/>
              <w:end w:w="100" w:type="dxa"/>
            </w:tcMar>
            <w:vAlign w:val="center"/>
          </w:tcPr>
          <w:p>
            <w:r>
              <w:t>Region</w:t>
            </w:r>
          </w:p>
        </w:tc>
        <w:tc>
          <w:tcPr>
            <w:tcW w:type="dxa" w:w="3408"/>
            <w:tcMar>
              <w:top w:w="80" w:type="dxa"/>
              <w:start w:w="100" w:type="dxa"/>
              <w:bottom w:w="80" w:type="dxa"/>
              <w:end w:w="100" w:type="dxa"/>
            </w:tcMar>
            <w:vAlign w:val="center"/>
          </w:tcPr>
          <w:p>
            <w:r>
              <w:t>Countries grouped into regional strategies.</w:t>
            </w:r>
          </w:p>
        </w:tc>
      </w:tr>
      <w:tr>
        <w:tc>
          <w:tcPr>
            <w:tcW w:type="dxa" w:w="3408"/>
            <w:tcMar>
              <w:top w:w="80" w:type="dxa"/>
              <w:start w:w="100" w:type="dxa"/>
              <w:bottom w:w="80" w:type="dxa"/>
              <w:end w:w="100" w:type="dxa"/>
            </w:tcMar>
            <w:vAlign w:val="center"/>
          </w:tcPr>
          <w:p>
            <w:r>
              <w:t>G</w:t>
            </w:r>
          </w:p>
        </w:tc>
        <w:tc>
          <w:tcPr>
            <w:tcW w:type="dxa" w:w="3408"/>
            <w:tcMar>
              <w:top w:w="80" w:type="dxa"/>
              <w:start w:w="100" w:type="dxa"/>
              <w:bottom w:w="80" w:type="dxa"/>
              <w:end w:w="100" w:type="dxa"/>
            </w:tcMar>
            <w:vAlign w:val="center"/>
          </w:tcPr>
          <w:p>
            <w:r>
              <w:t>Global</w:t>
            </w:r>
          </w:p>
        </w:tc>
        <w:tc>
          <w:tcPr>
            <w:tcW w:type="dxa" w:w="3408"/>
            <w:tcMar>
              <w:top w:w="80" w:type="dxa"/>
              <w:start w:w="100" w:type="dxa"/>
              <w:bottom w:w="80" w:type="dxa"/>
              <w:end w:w="100" w:type="dxa"/>
            </w:tcMar>
            <w:vAlign w:val="center"/>
          </w:tcPr>
          <w:p>
            <w:r>
              <w:t>Best ideas and talent from anywhere.</w:t>
            </w:r>
          </w:p>
        </w:tc>
      </w:tr>
    </w:tbl>
    <w:p/>
    <w:p>
      <w:r>
        <w:rPr>
          <w:b/>
          <w:color w:val="1F4E79"/>
        </w:rPr>
        <w:t xml:space="preserve">Question: </w:t>
      </w:r>
      <w:r>
        <w:t>Explain EPRG in one paragraph.</w:t>
      </w:r>
    </w:p>
    <w:p>
      <w:pPr>
        <w:pStyle w:val="Answer"/>
      </w:pPr>
      <w:r>
        <w:rPr>
          <w:b/>
        </w:rPr>
        <w:t xml:space="preserve">Answer: </w:t>
      </w:r>
      <w:r>
        <w:t>EPRG describes four ways managers can view foreign markets. Ethnocentric managers emphasize the home-country model; polycentric managers give host-country units substantial autonomy; regiocentric managers coordinate markets at a regional level; and geocentric managers treat the world as an integrated system of markets, talent and capabilities.</w:t>
      </w:r>
    </w:p>
    <w:p>
      <w:pPr>
        <w:pStyle w:val="Heading1"/>
      </w:pPr>
      <w:r>
        <w:t>21. Multinational Corporation (MNC)</w:t>
      </w:r>
    </w:p>
    <w:p>
      <w:r>
        <w:t>The presentation defines an MNC as a firm with business operations in countries beyond its home country and commonly coordinated through a global management structure.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tcMar>
              <w:top w:w="80" w:type="dxa"/>
              <w:start w:w="100" w:type="dxa"/>
              <w:bottom w:w="80" w:type="dxa"/>
              <w:end w:w="100" w:type="dxa"/>
            </w:tcMar>
            <w:vAlign w:val="center"/>
          </w:tcPr>
          <w:p>
            <w:pPr>
              <w:jc w:val="center"/>
            </w:pPr>
            <w:r>
              <w:rPr>
                <w:b/>
                <w:color w:val="FFFFFF"/>
              </w:rPr>
              <w:t>Characteristic</w:t>
            </w:r>
          </w:p>
        </w:tc>
        <w:tc>
          <w:tcPr>
            <w:tcW w:type="dxa" w:w="5112"/>
            <w:shd w:fill="1F4E79"/>
            <w:tcMar>
              <w:top w:w="80" w:type="dxa"/>
              <w:start w:w="100" w:type="dxa"/>
              <w:bottom w:w="80" w:type="dxa"/>
              <w:end w:w="100" w:type="dxa"/>
            </w:tcMar>
            <w:vAlign w:val="center"/>
          </w:tcPr>
          <w:p>
            <w:pPr>
              <w:jc w:val="center"/>
            </w:pPr>
            <w:r>
              <w:rPr>
                <w:b/>
                <w:color w:val="FFFFFF"/>
              </w:rPr>
              <w:t>Meaning</w:t>
            </w:r>
          </w:p>
        </w:tc>
      </w:tr>
      <w:tr>
        <w:tc>
          <w:tcPr>
            <w:tcW w:type="dxa" w:w="5112"/>
            <w:tcMar>
              <w:top w:w="80" w:type="dxa"/>
              <w:start w:w="100" w:type="dxa"/>
              <w:bottom w:w="80" w:type="dxa"/>
              <w:end w:w="100" w:type="dxa"/>
            </w:tcMar>
            <w:vAlign w:val="center"/>
          </w:tcPr>
          <w:p>
            <w:r>
              <w:t>Global footprint</w:t>
            </w:r>
          </w:p>
        </w:tc>
        <w:tc>
          <w:tcPr>
            <w:tcW w:type="dxa" w:w="5112"/>
            <w:tcMar>
              <w:top w:w="80" w:type="dxa"/>
              <w:start w:w="100" w:type="dxa"/>
              <w:bottom w:w="80" w:type="dxa"/>
              <w:end w:w="100" w:type="dxa"/>
            </w:tcMar>
            <w:vAlign w:val="center"/>
          </w:tcPr>
          <w:p>
            <w:r>
              <w:t>Operations or business activity in multiple countries.</w:t>
            </w:r>
          </w:p>
        </w:tc>
      </w:tr>
      <w:tr>
        <w:tc>
          <w:tcPr>
            <w:tcW w:type="dxa" w:w="5112"/>
            <w:tcMar>
              <w:top w:w="80" w:type="dxa"/>
              <w:start w:w="100" w:type="dxa"/>
              <w:bottom w:w="80" w:type="dxa"/>
              <w:end w:w="100" w:type="dxa"/>
            </w:tcMar>
            <w:vAlign w:val="center"/>
          </w:tcPr>
          <w:p>
            <w:r>
              <w:t>Substantial assets</w:t>
            </w:r>
          </w:p>
        </w:tc>
        <w:tc>
          <w:tcPr>
            <w:tcW w:type="dxa" w:w="5112"/>
            <w:tcMar>
              <w:top w:w="80" w:type="dxa"/>
              <w:start w:w="100" w:type="dxa"/>
              <w:bottom w:w="80" w:type="dxa"/>
              <w:end w:w="100" w:type="dxa"/>
            </w:tcMar>
            <w:vAlign w:val="center"/>
          </w:tcPr>
          <w:p>
            <w:r>
              <w:t>Significant resources are deployed internationally.</w:t>
            </w:r>
          </w:p>
        </w:tc>
      </w:tr>
      <w:tr>
        <w:tc>
          <w:tcPr>
            <w:tcW w:type="dxa" w:w="5112"/>
            <w:tcMar>
              <w:top w:w="80" w:type="dxa"/>
              <w:start w:w="100" w:type="dxa"/>
              <w:bottom w:w="80" w:type="dxa"/>
              <w:end w:w="100" w:type="dxa"/>
            </w:tcMar>
            <w:vAlign w:val="center"/>
          </w:tcPr>
          <w:p>
            <w:r>
              <w:t>Professional management</w:t>
            </w:r>
          </w:p>
        </w:tc>
        <w:tc>
          <w:tcPr>
            <w:tcW w:type="dxa" w:w="5112"/>
            <w:tcMar>
              <w:top w:w="80" w:type="dxa"/>
              <w:start w:w="100" w:type="dxa"/>
              <w:bottom w:w="80" w:type="dxa"/>
              <w:end w:w="100" w:type="dxa"/>
            </w:tcMar>
            <w:vAlign w:val="center"/>
          </w:tcPr>
          <w:p>
            <w:r>
              <w:t>Specialized managers coordinate dispersed activities.</w:t>
            </w:r>
          </w:p>
        </w:tc>
      </w:tr>
      <w:tr>
        <w:tc>
          <w:tcPr>
            <w:tcW w:type="dxa" w:w="5112"/>
            <w:tcMar>
              <w:top w:w="80" w:type="dxa"/>
              <w:start w:w="100" w:type="dxa"/>
              <w:bottom w:w="80" w:type="dxa"/>
              <w:end w:w="100" w:type="dxa"/>
            </w:tcMar>
            <w:vAlign w:val="center"/>
          </w:tcPr>
          <w:p>
            <w:r>
              <w:t>Technology/R&amp;D</w:t>
            </w:r>
          </w:p>
        </w:tc>
        <w:tc>
          <w:tcPr>
            <w:tcW w:type="dxa" w:w="5112"/>
            <w:tcMar>
              <w:top w:w="80" w:type="dxa"/>
              <w:start w:w="100" w:type="dxa"/>
              <w:bottom w:w="80" w:type="dxa"/>
              <w:end w:w="100" w:type="dxa"/>
            </w:tcMar>
            <w:vAlign w:val="center"/>
          </w:tcPr>
          <w:p>
            <w:r>
              <w:t>Innovation and technical capabilities may be distributed across countries.</w:t>
            </w:r>
          </w:p>
        </w:tc>
      </w:tr>
      <w:tr>
        <w:tc>
          <w:tcPr>
            <w:tcW w:type="dxa" w:w="5112"/>
            <w:tcMar>
              <w:top w:w="80" w:type="dxa"/>
              <w:start w:w="100" w:type="dxa"/>
              <w:bottom w:w="80" w:type="dxa"/>
              <w:end w:w="100" w:type="dxa"/>
            </w:tcMar>
            <w:vAlign w:val="center"/>
          </w:tcPr>
          <w:p>
            <w:r>
              <w:t>International marketing</w:t>
            </w:r>
          </w:p>
        </w:tc>
        <w:tc>
          <w:tcPr>
            <w:tcW w:type="dxa" w:w="5112"/>
            <w:tcMar>
              <w:top w:w="80" w:type="dxa"/>
              <w:start w:w="100" w:type="dxa"/>
              <w:bottom w:w="80" w:type="dxa"/>
              <w:end w:w="100" w:type="dxa"/>
            </w:tcMar>
            <w:vAlign w:val="center"/>
          </w:tcPr>
          <w:p>
            <w:r>
              <w:t>Customers and markets exist in multiple countries.</w:t>
            </w:r>
          </w:p>
        </w:tc>
      </w:tr>
      <w:tr>
        <w:tc>
          <w:tcPr>
            <w:tcW w:type="dxa" w:w="5112"/>
            <w:tcMar>
              <w:top w:w="80" w:type="dxa"/>
              <w:start w:w="100" w:type="dxa"/>
              <w:bottom w:w="80" w:type="dxa"/>
              <w:end w:w="100" w:type="dxa"/>
            </w:tcMar>
            <w:vAlign w:val="center"/>
          </w:tcPr>
          <w:p>
            <w:r>
              <w:t>Coordination/control</w:t>
            </w:r>
          </w:p>
        </w:tc>
        <w:tc>
          <w:tcPr>
            <w:tcW w:type="dxa" w:w="5112"/>
            <w:tcMar>
              <w:top w:w="80" w:type="dxa"/>
              <w:start w:w="100" w:type="dxa"/>
              <w:bottom w:w="80" w:type="dxa"/>
              <w:end w:w="100" w:type="dxa"/>
            </w:tcMar>
            <w:vAlign w:val="center"/>
          </w:tcPr>
          <w:p>
            <w:r>
              <w:t>HQ and subsidiaries must allocate decision rights and integrate activities.</w:t>
            </w:r>
          </w:p>
        </w:tc>
      </w:tr>
      <w:tr>
        <w:tc>
          <w:tcPr>
            <w:tcW w:type="dxa" w:w="5112"/>
            <w:tcMar>
              <w:top w:w="80" w:type="dxa"/>
              <w:start w:w="100" w:type="dxa"/>
              <w:bottom w:w="80" w:type="dxa"/>
              <w:end w:w="100" w:type="dxa"/>
            </w:tcMar>
            <w:vAlign w:val="center"/>
          </w:tcPr>
          <w:p>
            <w:r>
              <w:t>Global resource access</w:t>
            </w:r>
          </w:p>
        </w:tc>
        <w:tc>
          <w:tcPr>
            <w:tcW w:type="dxa" w:w="5112"/>
            <w:tcMar>
              <w:top w:w="80" w:type="dxa"/>
              <w:start w:w="100" w:type="dxa"/>
              <w:bottom w:w="80" w:type="dxa"/>
              <w:end w:w="100" w:type="dxa"/>
            </w:tcMar>
            <w:vAlign w:val="center"/>
          </w:tcPr>
          <w:p>
            <w:r>
              <w:t>The firm can access talent, capital, suppliers and knowledge across countries.</w:t>
            </w:r>
          </w:p>
        </w:tc>
      </w:tr>
    </w:tbl>
    <w:p/>
    <w:p>
      <w:r>
        <w:rPr>
          <w:b/>
          <w:color w:val="1F4E79"/>
        </w:rPr>
        <w:t xml:space="preserve">Question: </w:t>
      </w:r>
      <w:r>
        <w:t>What is the central management problem of an MNC?</w:t>
      </w:r>
    </w:p>
    <w:p>
      <w:pPr>
        <w:pStyle w:val="Answer"/>
      </w:pPr>
      <w:r>
        <w:rPr>
          <w:b/>
        </w:rPr>
        <w:t xml:space="preserve">Answer: </w:t>
      </w:r>
      <w:r>
        <w:t>Balancing global coordination with local responsiveness. Excessive centralization may ignore local needs; excessive decentralization may create duplication and fragment the organization.</w:t>
      </w:r>
    </w:p>
    <w:p>
      <w:pPr>
        <w:pStyle w:val="Heading1"/>
      </w:pPr>
      <w:r>
        <w:t>22. International Manager's Toolkit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100" w:type="dxa"/>
              <w:bottom w:w="80" w:type="dxa"/>
              <w:end w:w="100" w:type="dxa"/>
            </w:tcMar>
            <w:vAlign w:val="center"/>
          </w:tcPr>
          <w:p>
            <w:pPr>
              <w:jc w:val="center"/>
            </w:pPr>
            <w:r>
              <w:rPr>
                <w:b/>
                <w:color w:val="FFFFFF"/>
              </w:rPr>
              <w:t>Tool</w:t>
            </w:r>
          </w:p>
        </w:tc>
        <w:tc>
          <w:tcPr>
            <w:tcW w:type="dxa" w:w="3408"/>
            <w:shd w:fill="1F4E79"/>
            <w:tcMar>
              <w:top w:w="80" w:type="dxa"/>
              <w:start w:w="100" w:type="dxa"/>
              <w:bottom w:w="80" w:type="dxa"/>
              <w:end w:w="100" w:type="dxa"/>
            </w:tcMar>
            <w:vAlign w:val="center"/>
          </w:tcPr>
          <w:p>
            <w:pPr>
              <w:jc w:val="center"/>
            </w:pPr>
            <w:r>
              <w:rPr>
                <w:b/>
                <w:color w:val="FFFFFF"/>
              </w:rPr>
              <w:t>What to analyze</w:t>
            </w:r>
          </w:p>
        </w:tc>
        <w:tc>
          <w:tcPr>
            <w:tcW w:type="dxa" w:w="3408"/>
            <w:shd w:fill="1F4E79"/>
            <w:tcMar>
              <w:top w:w="80" w:type="dxa"/>
              <w:start w:w="100" w:type="dxa"/>
              <w:bottom w:w="80" w:type="dxa"/>
              <w:end w:w="100" w:type="dxa"/>
            </w:tcMar>
            <w:vAlign w:val="center"/>
          </w:tcPr>
          <w:p>
            <w:pPr>
              <w:jc w:val="center"/>
            </w:pPr>
            <w:r>
              <w:rPr>
                <w:b/>
                <w:color w:val="FFFFFF"/>
              </w:rPr>
              <w:t>Output</w:t>
            </w:r>
          </w:p>
        </w:tc>
      </w:tr>
      <w:tr>
        <w:tc>
          <w:tcPr>
            <w:tcW w:type="dxa" w:w="3408"/>
            <w:tcMar>
              <w:top w:w="80" w:type="dxa"/>
              <w:start w:w="100" w:type="dxa"/>
              <w:bottom w:w="80" w:type="dxa"/>
              <w:end w:w="100" w:type="dxa"/>
            </w:tcMar>
            <w:vAlign w:val="center"/>
          </w:tcPr>
          <w:p>
            <w:r>
              <w:t>Country screening</w:t>
            </w:r>
          </w:p>
        </w:tc>
        <w:tc>
          <w:tcPr>
            <w:tcW w:type="dxa" w:w="3408"/>
            <w:tcMar>
              <w:top w:w="80" w:type="dxa"/>
              <w:start w:w="100" w:type="dxa"/>
              <w:bottom w:w="80" w:type="dxa"/>
              <w:end w:w="100" w:type="dxa"/>
            </w:tcMar>
            <w:vAlign w:val="center"/>
          </w:tcPr>
          <w:p>
            <w:r>
              <w:t>PESTLE, market size, institutions, risk</w:t>
            </w:r>
          </w:p>
        </w:tc>
        <w:tc>
          <w:tcPr>
            <w:tcW w:type="dxa" w:w="3408"/>
            <w:tcMar>
              <w:top w:w="80" w:type="dxa"/>
              <w:start w:w="100" w:type="dxa"/>
              <w:bottom w:w="80" w:type="dxa"/>
              <w:end w:w="100" w:type="dxa"/>
            </w:tcMar>
            <w:vAlign w:val="center"/>
          </w:tcPr>
          <w:p>
            <w:r>
              <w:t>Shortlist of feasible countries</w:t>
            </w:r>
          </w:p>
        </w:tc>
      </w:tr>
      <w:tr>
        <w:tc>
          <w:tcPr>
            <w:tcW w:type="dxa" w:w="3408"/>
            <w:tcMar>
              <w:top w:w="80" w:type="dxa"/>
              <w:start w:w="100" w:type="dxa"/>
              <w:bottom w:w="80" w:type="dxa"/>
              <w:end w:w="100" w:type="dxa"/>
            </w:tcMar>
            <w:vAlign w:val="center"/>
          </w:tcPr>
          <w:p>
            <w:r>
              <w:t>Distance analysis</w:t>
            </w:r>
          </w:p>
        </w:tc>
        <w:tc>
          <w:tcPr>
            <w:tcW w:type="dxa" w:w="3408"/>
            <w:tcMar>
              <w:top w:w="80" w:type="dxa"/>
              <w:start w:w="100" w:type="dxa"/>
              <w:bottom w:w="80" w:type="dxa"/>
              <w:end w:w="100" w:type="dxa"/>
            </w:tcMar>
            <w:vAlign w:val="center"/>
          </w:tcPr>
          <w:p>
            <w:r>
              <w:t>Culture, administration, geography, economics</w:t>
            </w:r>
          </w:p>
        </w:tc>
        <w:tc>
          <w:tcPr>
            <w:tcW w:type="dxa" w:w="3408"/>
            <w:tcMar>
              <w:top w:w="80" w:type="dxa"/>
              <w:start w:w="100" w:type="dxa"/>
              <w:bottom w:w="80" w:type="dxa"/>
              <w:end w:w="100" w:type="dxa"/>
            </w:tcMar>
            <w:vAlign w:val="center"/>
          </w:tcPr>
          <w:p>
            <w:r>
              <w:t>Understanding of barriers</w:t>
            </w:r>
          </w:p>
        </w:tc>
      </w:tr>
      <w:tr>
        <w:tc>
          <w:tcPr>
            <w:tcW w:type="dxa" w:w="3408"/>
            <w:tcMar>
              <w:top w:w="80" w:type="dxa"/>
              <w:start w:w="100" w:type="dxa"/>
              <w:bottom w:w="80" w:type="dxa"/>
              <w:end w:w="100" w:type="dxa"/>
            </w:tcMar>
            <w:vAlign w:val="center"/>
          </w:tcPr>
          <w:p>
            <w:r>
              <w:t>Entry mode</w:t>
            </w:r>
          </w:p>
        </w:tc>
        <w:tc>
          <w:tcPr>
            <w:tcW w:type="dxa" w:w="3408"/>
            <w:tcMar>
              <w:top w:w="80" w:type="dxa"/>
              <w:start w:w="100" w:type="dxa"/>
              <w:bottom w:w="80" w:type="dxa"/>
              <w:end w:w="100" w:type="dxa"/>
            </w:tcMar>
            <w:vAlign w:val="center"/>
          </w:tcPr>
          <w:p>
            <w:r>
              <w:t>Export, license, franchise, JV, subsidiary</w:t>
            </w:r>
          </w:p>
        </w:tc>
        <w:tc>
          <w:tcPr>
            <w:tcW w:type="dxa" w:w="3408"/>
            <w:tcMar>
              <w:top w:w="80" w:type="dxa"/>
              <w:start w:w="100" w:type="dxa"/>
              <w:bottom w:w="80" w:type="dxa"/>
              <w:end w:w="100" w:type="dxa"/>
            </w:tcMar>
            <w:vAlign w:val="center"/>
          </w:tcPr>
          <w:p>
            <w:r>
              <w:t>Level of control and commitment</w:t>
            </w:r>
          </w:p>
        </w:tc>
      </w:tr>
      <w:tr>
        <w:tc>
          <w:tcPr>
            <w:tcW w:type="dxa" w:w="3408"/>
            <w:tcMar>
              <w:top w:w="80" w:type="dxa"/>
              <w:start w:w="100" w:type="dxa"/>
              <w:bottom w:w="80" w:type="dxa"/>
              <w:end w:w="100" w:type="dxa"/>
            </w:tcMar>
            <w:vAlign w:val="center"/>
          </w:tcPr>
          <w:p>
            <w:r>
              <w:t>Global-local balance</w:t>
            </w:r>
          </w:p>
        </w:tc>
        <w:tc>
          <w:tcPr>
            <w:tcW w:type="dxa" w:w="3408"/>
            <w:tcMar>
              <w:top w:w="80" w:type="dxa"/>
              <w:start w:w="100" w:type="dxa"/>
              <w:bottom w:w="80" w:type="dxa"/>
              <w:end w:w="100" w:type="dxa"/>
            </w:tcMar>
            <w:vAlign w:val="center"/>
          </w:tcPr>
          <w:p>
            <w:r>
              <w:t>EPRG; standardization vs adaptation</w:t>
            </w:r>
          </w:p>
        </w:tc>
        <w:tc>
          <w:tcPr>
            <w:tcW w:type="dxa" w:w="3408"/>
            <w:tcMar>
              <w:top w:w="80" w:type="dxa"/>
              <w:start w:w="100" w:type="dxa"/>
              <w:bottom w:w="80" w:type="dxa"/>
              <w:end w:w="100" w:type="dxa"/>
            </w:tcMar>
            <w:vAlign w:val="center"/>
          </w:tcPr>
          <w:p>
            <w:r>
              <w:t>What to centralize and localize</w:t>
            </w:r>
          </w:p>
        </w:tc>
      </w:tr>
      <w:tr>
        <w:tc>
          <w:tcPr>
            <w:tcW w:type="dxa" w:w="3408"/>
            <w:tcMar>
              <w:top w:w="80" w:type="dxa"/>
              <w:start w:w="100" w:type="dxa"/>
              <w:bottom w:w="80" w:type="dxa"/>
              <w:end w:w="100" w:type="dxa"/>
            </w:tcMar>
            <w:vAlign w:val="center"/>
          </w:tcPr>
          <w:p>
            <w:r>
              <w:t>Risk design</w:t>
            </w:r>
          </w:p>
        </w:tc>
        <w:tc>
          <w:tcPr>
            <w:tcW w:type="dxa" w:w="3408"/>
            <w:tcMar>
              <w:top w:w="80" w:type="dxa"/>
              <w:start w:w="100" w:type="dxa"/>
              <w:bottom w:w="80" w:type="dxa"/>
              <w:end w:w="100" w:type="dxa"/>
            </w:tcMar>
            <w:vAlign w:val="center"/>
          </w:tcPr>
          <w:p>
            <w:r>
              <w:t>FX, political, supply chain, compliance</w:t>
            </w:r>
          </w:p>
        </w:tc>
        <w:tc>
          <w:tcPr>
            <w:tcW w:type="dxa" w:w="3408"/>
            <w:tcMar>
              <w:top w:w="80" w:type="dxa"/>
              <w:start w:w="100" w:type="dxa"/>
              <w:bottom w:w="80" w:type="dxa"/>
              <w:end w:w="100" w:type="dxa"/>
            </w:tcMar>
            <w:vAlign w:val="center"/>
          </w:tcPr>
          <w:p>
            <w:r>
              <w:t>Mitigations and controls</w:t>
            </w:r>
          </w:p>
        </w:tc>
      </w:tr>
      <w:tr>
        <w:tc>
          <w:tcPr>
            <w:tcW w:type="dxa" w:w="3408"/>
            <w:tcMar>
              <w:top w:w="80" w:type="dxa"/>
              <w:start w:w="100" w:type="dxa"/>
              <w:bottom w:w="80" w:type="dxa"/>
              <w:end w:w="100" w:type="dxa"/>
            </w:tcMar>
            <w:vAlign w:val="center"/>
          </w:tcPr>
          <w:p>
            <w:r>
              <w:t>Performance</w:t>
            </w:r>
          </w:p>
        </w:tc>
        <w:tc>
          <w:tcPr>
            <w:tcW w:type="dxa" w:w="3408"/>
            <w:tcMar>
              <w:top w:w="80" w:type="dxa"/>
              <w:start w:w="100" w:type="dxa"/>
              <w:bottom w:w="80" w:type="dxa"/>
              <w:end w:w="100" w:type="dxa"/>
            </w:tcMar>
            <w:vAlign w:val="center"/>
          </w:tcPr>
          <w:p>
            <w:r>
              <w:t>ROI, market share, learning, resilience</w:t>
            </w:r>
          </w:p>
        </w:tc>
        <w:tc>
          <w:tcPr>
            <w:tcW w:type="dxa" w:w="3408"/>
            <w:tcMar>
              <w:top w:w="80" w:type="dxa"/>
              <w:start w:w="100" w:type="dxa"/>
              <w:bottom w:w="80" w:type="dxa"/>
              <w:end w:w="100" w:type="dxa"/>
            </w:tcMar>
            <w:vAlign w:val="center"/>
          </w:tcPr>
          <w:p>
            <w:r>
              <w:t>Whether strategy is producing intended outcomes</w:t>
            </w:r>
          </w:p>
        </w:tc>
      </w:tr>
    </w:tbl>
    <w:p/>
    <w:p>
      <w:pPr>
        <w:pStyle w:val="Heading1"/>
      </w:pPr>
      <w:r>
        <w:t>23. Unit 1 Caselets - Model Answers</w:t>
      </w:r>
    </w:p>
    <w:p>
      <w:pPr>
        <w:pStyle w:val="Heading2"/>
      </w:pPr>
      <w:r>
        <w:t>Case: Indian EV startup entering Southeast Asia</w:t>
      </w:r>
    </w:p>
    <w:p>
      <w:r>
        <w:t>The case asks for country screening, standardization/adaptation, EPRG, entry mode, and risk mitigation. Because the presentation does not specify a single "correct" country, the answer should be a decision framework rather than an arbitrary country winner.</w:t>
      </w:r>
    </w:p>
    <w:p>
      <w:pPr>
        <w:ind w:left="115" w:hanging="115"/>
      </w:pPr>
      <w:r>
        <w:rPr>
          <w:b/>
        </w:rPr>
        <w:t xml:space="preserve">1. </w:t>
      </w:r>
      <w:r>
        <w:t>Screen countries using urban mobility demand, regulatory openness, charging infrastructure, competitive intensity, logistics, local partners, FX stability and market growth potential.</w:t>
      </w:r>
    </w:p>
    <w:p>
      <w:pPr>
        <w:ind w:left="115" w:hanging="115"/>
      </w:pPr>
      <w:r>
        <w:rPr>
          <w:b/>
        </w:rPr>
        <w:t xml:space="preserve">2. </w:t>
      </w:r>
      <w:r>
        <w:t>Standardize core technology, safety architecture, software platform, quality systems and brand identity; adapt regulatory compliance, pricing, financing offers, vehicle features and marketing to local conditions.</w:t>
      </w:r>
    </w:p>
    <w:p>
      <w:pPr>
        <w:ind w:left="115" w:hanging="115"/>
      </w:pPr>
      <w:r>
        <w:rPr>
          <w:b/>
        </w:rPr>
        <w:t xml:space="preserve">3. </w:t>
      </w:r>
      <w:r>
        <w:t>A geocentric orientation can fit a multi-country growth strategy when the company intends to combine global technology with local market knowledge; however, country and organizational conditions determine the actual orientation.</w:t>
      </w:r>
    </w:p>
    <w:p>
      <w:pPr>
        <w:ind w:left="115" w:hanging="115"/>
      </w:pPr>
      <w:r>
        <w:rPr>
          <w:b/>
        </w:rPr>
        <w:t xml:space="preserve">4. </w:t>
      </w:r>
      <w:r>
        <w:t>Export can minimize initial commitment; a JV can add local distribution/regulatory knowledge; a wholly owned subsidiary gives greater control but requires more capital and exposes the firm to more country risk.</w:t>
      </w:r>
    </w:p>
    <w:p>
      <w:pPr>
        <w:ind w:left="115" w:hanging="115"/>
      </w:pPr>
      <w:r>
        <w:rPr>
          <w:b/>
        </w:rPr>
        <w:t xml:space="preserve">5. </w:t>
      </w:r>
      <w:r>
        <w:t>Typical risks: regulation/approval, FX volatility and supply-chain/logistics disruption. Mitigations include local regulatory expertise, hedging or natural matching of currency exposure, multiple suppliers and local inventory buffers.</w:t>
      </w:r>
    </w:p>
    <w:p>
      <w:pPr>
        <w:pStyle w:val="Heading2"/>
      </w:pPr>
      <w:r>
        <w:t>Case: Indian food-processing company entering Southeast Asia</w:t>
      </w:r>
    </w:p>
    <w:p>
      <w:pPr>
        <w:ind w:left="115" w:hanging="115"/>
      </w:pPr>
      <w:r>
        <w:rPr>
          <w:b/>
        </w:rPr>
        <w:t xml:space="preserve">1. </w:t>
      </w:r>
      <w:r>
        <w:t>Country selection should be based on demand, regulation, local tastes, distribution access, competitive intensity, logistics and FX risk; the presentation does not provide enough evidence to name one country as objectively correct.</w:t>
      </w:r>
    </w:p>
    <w:p>
      <w:pPr>
        <w:ind w:left="115" w:hanging="115"/>
      </w:pPr>
      <w:r>
        <w:rPr>
          <w:b/>
        </w:rPr>
        <w:t xml:space="preserve">2. </w:t>
      </w:r>
      <w:r>
        <w:t>Choose an EPRG orientation after analyzing how much local adaptation is required. If multiple countries will share technology and talent, a geocentric or regiocentric logic may be considered; if each market is highly different, polycentric elements may be needed.</w:t>
      </w:r>
    </w:p>
    <w:p>
      <w:pPr>
        <w:ind w:left="115" w:hanging="115"/>
      </w:pPr>
      <w:r>
        <w:rPr>
          <w:b/>
        </w:rPr>
        <w:t xml:space="preserve">3. </w:t>
      </w:r>
      <w:r>
        <w:t>Choose export when testing demand, licensing/franchising when brand/know-how can be transferred, JV when local distribution or regulatory knowledge matters, and wholly owned entry when control justifies higher commitment.</w:t>
      </w:r>
    </w:p>
    <w:p>
      <w:pPr>
        <w:ind w:left="115" w:hanging="115"/>
      </w:pPr>
      <w:r>
        <w:rPr>
          <w:b/>
        </w:rPr>
        <w:t xml:space="preserve">4. </w:t>
      </w:r>
      <w:r>
        <w:t>Major risks: food regulation/compliance, local taste mismatch and currency/supply-chain risk. Mitigate through local compliance teams, product testing, local partners, supplier diversification and FX risk management.</w:t>
      </w:r>
    </w:p>
    <w:p>
      <w:pPr>
        <w:ind w:left="115" w:hanging="115"/>
      </w:pPr>
      <w:r>
        <w:rPr>
          <w:b/>
        </w:rPr>
        <w:t xml:space="preserve">5. </w:t>
      </w:r>
      <w:r>
        <w:t>Standardize food-safety systems, core brand identity and selected processes; adapt flavors, packaging, labeling, promotion and distribution to local markets.</w:t>
      </w:r>
    </w:p>
    <w:p>
      <w:r>
        <w:br w:type="page"/>
      </w:r>
    </w:p>
    <w:p>
      <w:pPr>
        <w:pStyle w:val="Title"/>
      </w:pPr>
      <w:r>
        <w:t>PART II - FOREIGN EXCHANGE MARKETS</w:t>
      </w:r>
    </w:p>
    <w:p>
      <w:r>
        <w:t>Presentation coverage: Foreign Exchange Markets, Chapter Five presentation, slides 1-48.</w:t>
      </w:r>
    </w:p>
    <w:p>
      <w:pPr>
        <w:pStyle w:val="Heading1"/>
      </w:pPr>
      <w:r>
        <w:t>24. Function and Structure of the FX Market</w:t>
      </w:r>
    </w:p>
    <w:p>
      <w:r>
        <w:t>The foreign exchange (FX) market allows currencies to be exchanged. Firms use it for trade payments, investment, financing, hedging and speculation. Banks act as dealers and facilitate transactions between market participants.</w:t>
      </w:r>
    </w:p>
    <w:p>
      <w:pPr>
        <w:pStyle w:val="Heading2"/>
      </w:pPr>
      <w:r>
        <w:t>24.1 FX Market Participants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tcMar>
              <w:top w:w="80" w:type="dxa"/>
              <w:start w:w="100" w:type="dxa"/>
              <w:bottom w:w="80" w:type="dxa"/>
              <w:end w:w="100" w:type="dxa"/>
            </w:tcMar>
            <w:vAlign w:val="center"/>
          </w:tcPr>
          <w:p>
            <w:pPr>
              <w:jc w:val="center"/>
            </w:pPr>
            <w:r>
              <w:rPr>
                <w:b/>
                <w:color w:val="FFFFFF"/>
              </w:rPr>
              <w:t>Participant</w:t>
            </w:r>
          </w:p>
        </w:tc>
        <w:tc>
          <w:tcPr>
            <w:tcW w:type="dxa" w:w="5112"/>
            <w:shd w:fill="1F4E79"/>
            <w:tcMar>
              <w:top w:w="80" w:type="dxa"/>
              <w:start w:w="100" w:type="dxa"/>
              <w:bottom w:w="80" w:type="dxa"/>
              <w:end w:w="100" w:type="dxa"/>
            </w:tcMar>
            <w:vAlign w:val="center"/>
          </w:tcPr>
          <w:p>
            <w:pPr>
              <w:jc w:val="center"/>
            </w:pPr>
            <w:r>
              <w:rPr>
                <w:b/>
                <w:color w:val="FFFFFF"/>
              </w:rPr>
              <w:t>Role</w:t>
            </w:r>
          </w:p>
        </w:tc>
      </w:tr>
      <w:tr>
        <w:tc>
          <w:tcPr>
            <w:tcW w:type="dxa" w:w="5112"/>
            <w:tcMar>
              <w:top w:w="80" w:type="dxa"/>
              <w:start w:w="100" w:type="dxa"/>
              <w:bottom w:w="80" w:type="dxa"/>
              <w:end w:w="100" w:type="dxa"/>
            </w:tcMar>
            <w:vAlign w:val="center"/>
          </w:tcPr>
          <w:p>
            <w:r>
              <w:t>International banks</w:t>
            </w:r>
          </w:p>
        </w:tc>
        <w:tc>
          <w:tcPr>
            <w:tcW w:type="dxa" w:w="5112"/>
            <w:tcMar>
              <w:top w:w="80" w:type="dxa"/>
              <w:start w:w="100" w:type="dxa"/>
              <w:bottom w:w="80" w:type="dxa"/>
              <w:end w:w="100" w:type="dxa"/>
            </w:tcMar>
            <w:vAlign w:val="center"/>
          </w:tcPr>
          <w:p>
            <w:r>
              <w:t>Make markets, quote buy/sell prices and intermediate transactions.</w:t>
            </w:r>
          </w:p>
        </w:tc>
      </w:tr>
      <w:tr>
        <w:tc>
          <w:tcPr>
            <w:tcW w:type="dxa" w:w="5112"/>
            <w:tcMar>
              <w:top w:w="80" w:type="dxa"/>
              <w:start w:w="100" w:type="dxa"/>
              <w:bottom w:w="80" w:type="dxa"/>
              <w:end w:w="100" w:type="dxa"/>
            </w:tcMar>
            <w:vAlign w:val="center"/>
          </w:tcPr>
          <w:p>
            <w:r>
              <w:t>Nonbank dealers</w:t>
            </w:r>
          </w:p>
        </w:tc>
        <w:tc>
          <w:tcPr>
            <w:tcW w:type="dxa" w:w="5112"/>
            <w:tcMar>
              <w:top w:w="80" w:type="dxa"/>
              <w:start w:w="100" w:type="dxa"/>
              <w:bottom w:w="80" w:type="dxa"/>
              <w:end w:w="100" w:type="dxa"/>
            </w:tcMar>
            <w:vAlign w:val="center"/>
          </w:tcPr>
          <w:p>
            <w:r>
              <w:t>Deal in FX outside traditional commercial banks.</w:t>
            </w:r>
          </w:p>
        </w:tc>
      </w:tr>
      <w:tr>
        <w:tc>
          <w:tcPr>
            <w:tcW w:type="dxa" w:w="5112"/>
            <w:tcMar>
              <w:top w:w="80" w:type="dxa"/>
              <w:start w:w="100" w:type="dxa"/>
              <w:bottom w:w="80" w:type="dxa"/>
              <w:end w:w="100" w:type="dxa"/>
            </w:tcMar>
            <w:vAlign w:val="center"/>
          </w:tcPr>
          <w:p>
            <w:r>
              <w:t>FX brokers</w:t>
            </w:r>
          </w:p>
        </w:tc>
        <w:tc>
          <w:tcPr>
            <w:tcW w:type="dxa" w:w="5112"/>
            <w:tcMar>
              <w:top w:w="80" w:type="dxa"/>
              <w:start w:w="100" w:type="dxa"/>
              <w:bottom w:w="80" w:type="dxa"/>
              <w:end w:w="100" w:type="dxa"/>
            </w:tcMar>
            <w:vAlign w:val="center"/>
          </w:tcPr>
          <w:p>
            <w:r>
              <w:t>Match buyers and sellers; traditionally do not need to hold large currency inventories.</w:t>
            </w:r>
          </w:p>
        </w:tc>
      </w:tr>
      <w:tr>
        <w:tc>
          <w:tcPr>
            <w:tcW w:type="dxa" w:w="5112"/>
            <w:tcMar>
              <w:top w:w="80" w:type="dxa"/>
              <w:start w:w="100" w:type="dxa"/>
              <w:bottom w:w="80" w:type="dxa"/>
              <w:end w:w="100" w:type="dxa"/>
            </w:tcMar>
            <w:vAlign w:val="center"/>
          </w:tcPr>
          <w:p>
            <w:r>
              <w:t>FX specialists</w:t>
            </w:r>
          </w:p>
        </w:tc>
        <w:tc>
          <w:tcPr>
            <w:tcW w:type="dxa" w:w="5112"/>
            <w:tcMar>
              <w:top w:w="80" w:type="dxa"/>
              <w:start w:w="100" w:type="dxa"/>
              <w:bottom w:w="80" w:type="dxa"/>
              <w:end w:w="100" w:type="dxa"/>
            </w:tcMar>
            <w:vAlign w:val="center"/>
          </w:tcPr>
          <w:p>
            <w:r>
              <w:t>Provide specialized dealing/market-making functions.</w:t>
            </w:r>
          </w:p>
        </w:tc>
      </w:tr>
      <w:tr>
        <w:tc>
          <w:tcPr>
            <w:tcW w:type="dxa" w:w="5112"/>
            <w:tcMar>
              <w:top w:w="80" w:type="dxa"/>
              <w:start w:w="100" w:type="dxa"/>
              <w:bottom w:w="80" w:type="dxa"/>
              <w:end w:w="100" w:type="dxa"/>
            </w:tcMar>
            <w:vAlign w:val="center"/>
          </w:tcPr>
          <w:p>
            <w:r>
              <w:t>Corporations/customers</w:t>
            </w:r>
          </w:p>
        </w:tc>
        <w:tc>
          <w:tcPr>
            <w:tcW w:type="dxa" w:w="5112"/>
            <w:tcMar>
              <w:top w:w="80" w:type="dxa"/>
              <w:start w:w="100" w:type="dxa"/>
              <w:bottom w:w="80" w:type="dxa"/>
              <w:end w:w="100" w:type="dxa"/>
            </w:tcMar>
            <w:vAlign w:val="center"/>
          </w:tcPr>
          <w:p>
            <w:r>
              <w:t>Need foreign currency for trade, investment and operations.</w:t>
            </w:r>
          </w:p>
        </w:tc>
      </w:tr>
      <w:tr>
        <w:tc>
          <w:tcPr>
            <w:tcW w:type="dxa" w:w="5112"/>
            <w:tcMar>
              <w:top w:w="80" w:type="dxa"/>
              <w:start w:w="100" w:type="dxa"/>
              <w:bottom w:w="80" w:type="dxa"/>
              <w:end w:w="100" w:type="dxa"/>
            </w:tcMar>
            <w:vAlign w:val="center"/>
          </w:tcPr>
          <w:p>
            <w:r>
              <w:t>Central banks</w:t>
            </w:r>
          </w:p>
        </w:tc>
        <w:tc>
          <w:tcPr>
            <w:tcW w:type="dxa" w:w="5112"/>
            <w:tcMar>
              <w:top w:w="80" w:type="dxa"/>
              <w:start w:w="100" w:type="dxa"/>
              <w:bottom w:w="80" w:type="dxa"/>
              <w:end w:w="100" w:type="dxa"/>
            </w:tcMar>
            <w:vAlign w:val="center"/>
          </w:tcPr>
          <w:p>
            <w:r>
              <w:t>Manage reserves, monetary policy operations and sometimes intervene in FX markets.</w:t>
            </w:r>
          </w:p>
        </w:tc>
      </w:tr>
    </w:tbl>
    <w:p/>
    <w:p>
      <w:r>
        <w:t>The presentation describes the FX market as two-tiered: the interbank wholesale market and the client/retail market. Historical figures in the slides, such as the approximate number of banks and nonbank-dealer share, are presentation-era figures and should be treated as course examples rather than current market statistics.</w:t>
      </w:r>
    </w:p>
    <w:p>
      <w:pPr>
        <w:pStyle w:val="Heading2"/>
      </w:pPr>
      <w:r>
        <w:t>24.2 Circadian Rhythms of the FX Market</w:t>
      </w:r>
    </w:p>
    <w:p>
      <w:r>
        <w:t>The slide presents the global FX market as following the opening hours of major financial centers across time zones. As one center closes, another opens, so FX activity moves around the globe. The exam idea is that foreign exchange is a global market whose trading activity follows international time zones rather than one local business day.</w:t>
      </w:r>
    </w:p>
    <w:p>
      <w:r>
        <w:rPr>
          <w:b/>
          <w:color w:val="1F4E79"/>
        </w:rPr>
        <w:t xml:space="preserve">Question: </w:t>
      </w:r>
      <w:r>
        <w:t>What does the circadian-rhythm idea mean in the FX market?</w:t>
      </w:r>
    </w:p>
    <w:p>
      <w:pPr>
        <w:pStyle w:val="Answer"/>
      </w:pPr>
      <w:r>
        <w:rPr>
          <w:b/>
        </w:rPr>
        <w:t xml:space="preserve">Answer: </w:t>
      </w:r>
      <w:r>
        <w:t>FX trading activity follows the sequence of global financial centers and time zones, creating a market that operates across the international day rather than being confined to one country's trading hours.</w:t>
      </w:r>
    </w:p>
    <w:p>
      <w:pPr>
        <w:pStyle w:val="Heading1"/>
      </w:pPr>
      <w:r>
        <w:t>25. Correspondent Banking Relationships</w:t>
      </w:r>
    </w:p>
    <w:p>
      <w:r>
        <w:t>Large commercial banks maintain demand-deposit accounts with other banks. These correspondent relationships make international settlement possible without requiring every bank to maintain a physical presence in every country.</w:t>
      </w:r>
    </w:p>
    <w:p>
      <w:r>
        <w:t>Presentation example: Bank A is in London and Bank B is in New York. If GBP1 = USD2 and Bank A buys GBP100 million, the dollar value is:</w:t>
      </w:r>
    </w:p>
    <w:p>
      <w:pPr>
        <w:pStyle w:val="Formula"/>
        <w:jc w:val="center"/>
      </w:pPr>
      <w:r>
        <w:rPr>
          <w:b/>
        </w:rPr>
        <w:t>USD payment = GBP 100,000,000 x USD 2/GBP = USD 200,000,000</w:t>
      </w:r>
    </w:p>
    <w:p>
      <w:r>
        <w:t>The transaction can be settled using correspondent accounts rather than physically moving banknotes.</w:t>
      </w:r>
    </w:p>
    <w:p>
      <w:r>
        <w:rPr>
          <w:b/>
          <w:color w:val="1F4E79"/>
        </w:rPr>
        <w:t xml:space="preserve">Question: </w:t>
      </w:r>
      <w:r>
        <w:t>What is correspondent banking?</w:t>
      </w:r>
    </w:p>
    <w:p>
      <w:pPr>
        <w:pStyle w:val="Answer"/>
      </w:pPr>
      <w:r>
        <w:rPr>
          <w:b/>
        </w:rPr>
        <w:t xml:space="preserve">Answer: </w:t>
      </w:r>
      <w:r>
        <w:t>It is a relationship in which one bank holds an account or provides banking services for another bank, facilitating cross-border payments and settlement.</w:t>
      </w:r>
    </w:p>
    <w:p>
      <w:pPr>
        <w:pStyle w:val="Heading1"/>
      </w:pPr>
      <w:r>
        <w:t>26. SWIFT, CHIPS and ECHO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100" w:type="dxa"/>
              <w:bottom w:w="80" w:type="dxa"/>
              <w:end w:w="100" w:type="dxa"/>
            </w:tcMar>
            <w:vAlign w:val="center"/>
          </w:tcPr>
          <w:p>
            <w:pPr>
              <w:jc w:val="center"/>
            </w:pPr>
            <w:r>
              <w:rPr>
                <w:b/>
                <w:color w:val="FFFFFF"/>
              </w:rPr>
              <w:t>System</w:t>
            </w:r>
          </w:p>
        </w:tc>
        <w:tc>
          <w:tcPr>
            <w:tcW w:type="dxa" w:w="3408"/>
            <w:shd w:fill="1F4E79"/>
            <w:tcMar>
              <w:top w:w="80" w:type="dxa"/>
              <w:start w:w="100" w:type="dxa"/>
              <w:bottom w:w="80" w:type="dxa"/>
              <w:end w:w="100" w:type="dxa"/>
            </w:tcMar>
            <w:vAlign w:val="center"/>
          </w:tcPr>
          <w:p>
            <w:pPr>
              <w:jc w:val="center"/>
            </w:pPr>
            <w:r>
              <w:rPr>
                <w:b/>
                <w:color w:val="FFFFFF"/>
              </w:rPr>
              <w:t>Presentation description</w:t>
            </w:r>
          </w:p>
        </w:tc>
        <w:tc>
          <w:tcPr>
            <w:tcW w:type="dxa" w:w="3408"/>
            <w:shd w:fill="1F4E79"/>
            <w:tcMar>
              <w:top w:w="80" w:type="dxa"/>
              <w:start w:w="100" w:type="dxa"/>
              <w:bottom w:w="80" w:type="dxa"/>
              <w:end w:w="100" w:type="dxa"/>
            </w:tcMar>
            <w:vAlign w:val="center"/>
          </w:tcPr>
          <w:p>
            <w:pPr>
              <w:jc w:val="center"/>
            </w:pPr>
            <w:r>
              <w:rPr>
                <w:b/>
                <w:color w:val="FFFFFF"/>
              </w:rPr>
              <w:t>Exam point</w:t>
            </w:r>
          </w:p>
        </w:tc>
      </w:tr>
      <w:tr>
        <w:tc>
          <w:tcPr>
            <w:tcW w:type="dxa" w:w="3408"/>
            <w:tcMar>
              <w:top w:w="80" w:type="dxa"/>
              <w:start w:w="100" w:type="dxa"/>
              <w:bottom w:w="80" w:type="dxa"/>
              <w:end w:w="100" w:type="dxa"/>
            </w:tcMar>
            <w:vAlign w:val="center"/>
          </w:tcPr>
          <w:p>
            <w:r>
              <w:t>SWIFT</w:t>
            </w:r>
          </w:p>
        </w:tc>
        <w:tc>
          <w:tcPr>
            <w:tcW w:type="dxa" w:w="3408"/>
            <w:tcMar>
              <w:top w:w="80" w:type="dxa"/>
              <w:start w:w="100" w:type="dxa"/>
              <w:bottom w:w="80" w:type="dxa"/>
              <w:end w:w="100" w:type="dxa"/>
            </w:tcMar>
            <w:vAlign w:val="center"/>
          </w:tcPr>
          <w:p>
            <w:r>
              <w:t>Society for Worldwide Interbank Financial Telecommunications.</w:t>
            </w:r>
          </w:p>
        </w:tc>
        <w:tc>
          <w:tcPr>
            <w:tcW w:type="dxa" w:w="3408"/>
            <w:tcMar>
              <w:top w:w="80" w:type="dxa"/>
              <w:start w:w="100" w:type="dxa"/>
              <w:bottom w:w="80" w:type="dxa"/>
              <w:end w:w="100" w:type="dxa"/>
            </w:tcMar>
            <w:vAlign w:val="center"/>
          </w:tcPr>
          <w:p>
            <w:r>
              <w:t>Financial messaging/communication network.</w:t>
            </w:r>
          </w:p>
        </w:tc>
      </w:tr>
      <w:tr>
        <w:tc>
          <w:tcPr>
            <w:tcW w:type="dxa" w:w="3408"/>
            <w:tcMar>
              <w:top w:w="80" w:type="dxa"/>
              <w:start w:w="100" w:type="dxa"/>
              <w:bottom w:w="80" w:type="dxa"/>
              <w:end w:w="100" w:type="dxa"/>
            </w:tcMar>
            <w:vAlign w:val="center"/>
          </w:tcPr>
          <w:p>
            <w:r>
              <w:t>CHIPS</w:t>
            </w:r>
          </w:p>
        </w:tc>
        <w:tc>
          <w:tcPr>
            <w:tcW w:type="dxa" w:w="3408"/>
            <w:tcMar>
              <w:top w:w="80" w:type="dxa"/>
              <w:start w:w="100" w:type="dxa"/>
              <w:bottom w:w="80" w:type="dxa"/>
              <w:end w:w="100" w:type="dxa"/>
            </w:tcMar>
            <w:vAlign w:val="center"/>
          </w:tcPr>
          <w:p>
            <w:r>
              <w:t>Clearing House Interbank Payments System.</w:t>
            </w:r>
          </w:p>
        </w:tc>
        <w:tc>
          <w:tcPr>
            <w:tcW w:type="dxa" w:w="3408"/>
            <w:tcMar>
              <w:top w:w="80" w:type="dxa"/>
              <w:start w:w="100" w:type="dxa"/>
              <w:bottom w:w="80" w:type="dxa"/>
              <w:end w:w="100" w:type="dxa"/>
            </w:tcMar>
            <w:vAlign w:val="center"/>
          </w:tcPr>
          <w:p>
            <w:r>
              <w:t>Payment clearing/settlement infrastructure in the US dollar system.</w:t>
            </w:r>
          </w:p>
        </w:tc>
      </w:tr>
      <w:tr>
        <w:tc>
          <w:tcPr>
            <w:tcW w:type="dxa" w:w="3408"/>
            <w:tcMar>
              <w:top w:w="80" w:type="dxa"/>
              <w:start w:w="100" w:type="dxa"/>
              <w:bottom w:w="80" w:type="dxa"/>
              <w:end w:w="100" w:type="dxa"/>
            </w:tcMar>
            <w:vAlign w:val="center"/>
          </w:tcPr>
          <w:p>
            <w:r>
              <w:t>ECHO</w:t>
            </w:r>
          </w:p>
        </w:tc>
        <w:tc>
          <w:tcPr>
            <w:tcW w:type="dxa" w:w="3408"/>
            <w:tcMar>
              <w:top w:w="80" w:type="dxa"/>
              <w:start w:w="100" w:type="dxa"/>
              <w:bottom w:w="80" w:type="dxa"/>
              <w:end w:w="100" w:type="dxa"/>
            </w:tcMar>
            <w:vAlign w:val="center"/>
          </w:tcPr>
          <w:p>
            <w:r>
              <w:t>Exchange Clearing House Limited, described in the deck as a global clearinghouse for interbank FX settlement.</w:t>
            </w:r>
          </w:p>
        </w:tc>
        <w:tc>
          <w:tcPr>
            <w:tcW w:type="dxa" w:w="3408"/>
            <w:tcMar>
              <w:top w:w="80" w:type="dxa"/>
              <w:start w:w="100" w:type="dxa"/>
              <w:bottom w:w="80" w:type="dxa"/>
              <w:end w:w="100" w:type="dxa"/>
            </w:tcMar>
            <w:vAlign w:val="center"/>
          </w:tcPr>
          <w:p>
            <w:r>
              <w:t>Understand its settlement role as presented in the deck.</w:t>
            </w:r>
          </w:p>
        </w:tc>
      </w:tr>
    </w:tbl>
    <w:p/>
    <w:p>
      <w:pPr>
        <w:pStyle w:val="Heading1"/>
      </w:pPr>
      <w:r>
        <w:t>27. Spot Market</w:t>
      </w:r>
    </w:p>
    <w:p>
      <w:r>
        <w:t>The spot FX market concerns currency exchange at the current spot rate. The presentation covers quotations, bid-ask spreads, spot trading, cross rates, triangular arbitrage and market microstructure.</w:t>
      </w:r>
    </w:p>
    <w:p>
      <w:pPr>
        <w:pStyle w:val="Heading1"/>
      </w:pPr>
      <w:r>
        <w:t>28. Direct and Indirect Quotations</w:t>
      </w:r>
    </w:p>
    <w:p>
      <w:r>
        <w:t>A direct quote expresses the domestic-currency value of one unit of foreign currency. An indirect quote expresses the foreign-currency value of one unit of domestic currency. In the presentation, the US dollar is the domestic/reference currency for its examples.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100" w:type="dxa"/>
              <w:bottom w:w="80" w:type="dxa"/>
              <w:end w:w="100" w:type="dxa"/>
            </w:tcMar>
            <w:vAlign w:val="center"/>
          </w:tcPr>
          <w:p>
            <w:pPr>
              <w:jc w:val="center"/>
            </w:pPr>
            <w:r>
              <w:rPr>
                <w:b/>
                <w:color w:val="FFFFFF"/>
              </w:rPr>
              <w:t>Quote</w:t>
            </w:r>
          </w:p>
        </w:tc>
        <w:tc>
          <w:tcPr>
            <w:tcW w:type="dxa" w:w="3408"/>
            <w:shd w:fill="1F4E79"/>
            <w:tcMar>
              <w:top w:w="80" w:type="dxa"/>
              <w:start w:w="100" w:type="dxa"/>
              <w:bottom w:w="80" w:type="dxa"/>
              <w:end w:w="100" w:type="dxa"/>
            </w:tcMar>
            <w:vAlign w:val="center"/>
          </w:tcPr>
          <w:p>
            <w:pPr>
              <w:jc w:val="center"/>
            </w:pPr>
            <w:r>
              <w:rPr>
                <w:b/>
                <w:color w:val="FFFFFF"/>
              </w:rPr>
              <w:t>Meaning</w:t>
            </w:r>
          </w:p>
        </w:tc>
        <w:tc>
          <w:tcPr>
            <w:tcW w:type="dxa" w:w="3408"/>
            <w:shd w:fill="1F4E79"/>
            <w:tcMar>
              <w:top w:w="80" w:type="dxa"/>
              <w:start w:w="100" w:type="dxa"/>
              <w:bottom w:w="80" w:type="dxa"/>
              <w:end w:w="100" w:type="dxa"/>
            </w:tcMar>
            <w:vAlign w:val="center"/>
          </w:tcPr>
          <w:p>
            <w:pPr>
              <w:jc w:val="center"/>
            </w:pPr>
            <w:r>
              <w:rPr>
                <w:b/>
                <w:color w:val="FFFFFF"/>
              </w:rPr>
              <w:t>Presentation example</w:t>
            </w:r>
          </w:p>
        </w:tc>
      </w:tr>
      <w:tr>
        <w:tc>
          <w:tcPr>
            <w:tcW w:type="dxa" w:w="3408"/>
            <w:tcMar>
              <w:top w:w="80" w:type="dxa"/>
              <w:start w:w="100" w:type="dxa"/>
              <w:bottom w:w="80" w:type="dxa"/>
              <w:end w:w="100" w:type="dxa"/>
            </w:tcMar>
            <w:vAlign w:val="center"/>
          </w:tcPr>
          <w:p>
            <w:r>
              <w:t>Direct</w:t>
            </w:r>
          </w:p>
        </w:tc>
        <w:tc>
          <w:tcPr>
            <w:tcW w:type="dxa" w:w="3408"/>
            <w:tcMar>
              <w:top w:w="80" w:type="dxa"/>
              <w:start w:w="100" w:type="dxa"/>
              <w:bottom w:w="80" w:type="dxa"/>
              <w:end w:w="100" w:type="dxa"/>
            </w:tcMar>
            <w:vAlign w:val="center"/>
          </w:tcPr>
          <w:p>
            <w:r>
              <w:t>USD value of one unit of foreign currency.</w:t>
            </w:r>
          </w:p>
        </w:tc>
        <w:tc>
          <w:tcPr>
            <w:tcW w:type="dxa" w:w="3408"/>
            <w:tcMar>
              <w:top w:w="80" w:type="dxa"/>
              <w:start w:w="100" w:type="dxa"/>
              <w:bottom w:w="80" w:type="dxa"/>
              <w:end w:w="100" w:type="dxa"/>
            </w:tcMar>
            <w:vAlign w:val="center"/>
          </w:tcPr>
          <w:p>
            <w:r>
              <w:t>GBP 1 = USD 1.9077</w:t>
            </w:r>
          </w:p>
        </w:tc>
      </w:tr>
      <w:tr>
        <w:tc>
          <w:tcPr>
            <w:tcW w:type="dxa" w:w="3408"/>
            <w:tcMar>
              <w:top w:w="80" w:type="dxa"/>
              <w:start w:w="100" w:type="dxa"/>
              <w:bottom w:w="80" w:type="dxa"/>
              <w:end w:w="100" w:type="dxa"/>
            </w:tcMar>
            <w:vAlign w:val="center"/>
          </w:tcPr>
          <w:p>
            <w:r>
              <w:t>Indirect</w:t>
            </w:r>
          </w:p>
        </w:tc>
        <w:tc>
          <w:tcPr>
            <w:tcW w:type="dxa" w:w="3408"/>
            <w:tcMar>
              <w:top w:w="80" w:type="dxa"/>
              <w:start w:w="100" w:type="dxa"/>
              <w:bottom w:w="80" w:type="dxa"/>
              <w:end w:w="100" w:type="dxa"/>
            </w:tcMar>
            <w:vAlign w:val="center"/>
          </w:tcPr>
          <w:p>
            <w:r>
              <w:t>Foreign-currency value of one USD.</w:t>
            </w:r>
          </w:p>
        </w:tc>
        <w:tc>
          <w:tcPr>
            <w:tcW w:type="dxa" w:w="3408"/>
            <w:tcMar>
              <w:top w:w="80" w:type="dxa"/>
              <w:start w:w="100" w:type="dxa"/>
              <w:bottom w:w="80" w:type="dxa"/>
              <w:end w:w="100" w:type="dxa"/>
            </w:tcMar>
            <w:vAlign w:val="center"/>
          </w:tcPr>
          <w:p>
            <w:r>
              <w:t>USD 1 = GBP 0.5242</w:t>
            </w:r>
          </w:p>
        </w:tc>
      </w:tr>
    </w:tbl>
    <w:p/>
    <w:p>
      <w:pPr>
        <w:pStyle w:val="Formula"/>
        <w:jc w:val="center"/>
      </w:pPr>
      <w:r>
        <w:rPr>
          <w:b/>
        </w:rPr>
        <w:t>Direct quote = 1 / Indirect quote</w:t>
      </w:r>
    </w:p>
    <w:p>
      <w:r>
        <w:rPr>
          <w:b/>
          <w:color w:val="1F4E79"/>
        </w:rPr>
        <w:t xml:space="preserve">Question: </w:t>
      </w:r>
      <w:r>
        <w:t>If the direct quote is USD 1.9077/GBP, what is the indirect quote?</w:t>
      </w:r>
    </w:p>
    <w:p>
      <w:pPr>
        <w:pStyle w:val="Answer"/>
      </w:pPr>
      <w:r>
        <w:rPr>
          <w:b/>
        </w:rPr>
        <w:t xml:space="preserve">Answer: </w:t>
      </w:r>
      <w:r>
        <w:t>1 / 1.9077 = GBP 0.5242/USD, approximately.</w:t>
      </w:r>
    </w:p>
    <w:p>
      <w:pPr>
        <w:pStyle w:val="Heading1"/>
      </w:pPr>
      <w:r>
        <w:t>29. Bid-Ask Spread</w:t>
      </w:r>
    </w:p>
    <w:p>
      <w:r>
        <w:t>The bid is the price the dealer is willing to pay for the currency. The ask is the price at which the dealer is willing to sell the currency. The bid-ask spread is the difference between the ask and bid.</w:t>
      </w:r>
    </w:p>
    <w:p>
      <w:pPr>
        <w:pStyle w:val="Formula"/>
        <w:jc w:val="center"/>
      </w:pPr>
      <w:r>
        <w:rPr>
          <w:b/>
        </w:rPr>
        <w:t>Spread = Ask - Bid</w:t>
      </w:r>
    </w:p>
    <w:p>
      <w:r>
        <w:rPr>
          <w:b/>
          <w:color w:val="1F4E79"/>
        </w:rPr>
        <w:t xml:space="preserve">Question: </w:t>
      </w:r>
      <w:r>
        <w:t>A dealer quotes bid USD 1.25/EUR and ask USD 1.26/EUR. What is the spread?</w:t>
      </w:r>
    </w:p>
    <w:p>
      <w:pPr>
        <w:pStyle w:val="Answer"/>
      </w:pPr>
      <w:r>
        <w:rPr>
          <w:b/>
        </w:rPr>
        <w:t xml:space="preserve">Answer: </w:t>
      </w:r>
      <w:r>
        <w:t>Spread = 1.26 - 1.25 = USD 0.01/EUR.</w:t>
      </w:r>
    </w:p>
    <w:p>
      <w:r>
        <w:t>Memory rule: if you BUY foreign currency from the dealer, you normally transact at the ask. If you SELL foreign currency to the dealer, you normally transact at the bid.</w:t>
      </w:r>
    </w:p>
    <w:p>
      <w:pPr>
        <w:pStyle w:val="Heading2"/>
      </w:pPr>
      <w:r>
        <w:t>Bid-Ask Numerical</w:t>
      </w:r>
    </w:p>
    <w:p>
      <w:r>
        <w:t>Quote: USD 1.25-1.26/EUR. You want EUR10,000.</w:t>
      </w:r>
    </w:p>
    <w:p>
      <w:pPr>
        <w:pStyle w:val="Formula"/>
        <w:jc w:val="center"/>
      </w:pPr>
      <w:r>
        <w:rPr>
          <w:b/>
        </w:rPr>
        <w:t>Cost to buy EUR 10,000 = 10,000 x USD 1.26 = USD 12,600</w:t>
      </w:r>
    </w:p>
    <w:p>
      <w:r>
        <w:t>If instead you sell EUR10,000 to the dealer, the dealer pays at 1.25:</w:t>
      </w:r>
    </w:p>
    <w:p>
      <w:pPr>
        <w:pStyle w:val="Formula"/>
        <w:jc w:val="center"/>
      </w:pPr>
      <w:r>
        <w:rPr>
          <w:b/>
        </w:rPr>
        <w:t>USD received = 10,000 x 1.25 = USD 12,500</w:t>
      </w:r>
    </w:p>
    <w:p>
      <w:pPr>
        <w:pStyle w:val="Heading1"/>
      </w:pPr>
      <w:r>
        <w:t>30. Spot FX Trading</w:t>
      </w:r>
    </w:p>
    <w:p>
      <w:r>
        <w:t>The presentation notes that interbank trades are very large and that bank dealing rooms operate at high speed. The practical lesson for an exam is that FX is a dealer market in which quoted prices, liquidity, information and risk management matter.</w:t>
      </w:r>
    </w:p>
    <w:p>
      <w:pPr>
        <w:pStyle w:val="Heading1"/>
      </w:pPr>
      <w:r>
        <w:t>31. Cross Exchange Rates</w:t>
      </w:r>
    </w:p>
    <w:p>
      <w:r>
        <w:t>A cross rate is an exchange rate between two currencies derived using exchange rates involving a third currency. The safest method is dimensional analysis: write the rates so that the unwanted currency cancels.</w:t>
      </w:r>
    </w:p>
    <w:p>
      <w:r>
        <w:t>Presentation example:</w:t>
      </w:r>
    </w:p>
    <w:p>
      <w:pPr>
        <w:pStyle w:val="Formula"/>
        <w:jc w:val="center"/>
      </w:pPr>
      <w:r>
        <w:rPr>
          <w:b/>
        </w:rPr>
        <w:t>S(USD/EUR) = 1.50    and    S(JPY/EUR) = 50</w:t>
      </w:r>
    </w:p>
    <w:p>
      <w:r>
        <w:t>We need USD/JPY. Since both rates have EUR in the denominator, divide:</w:t>
      </w:r>
    </w:p>
    <w:p>
      <w:pPr>
        <w:pStyle w:val="Formula"/>
        <w:jc w:val="center"/>
      </w:pPr>
      <w:r>
        <w:rPr>
          <w:b/>
        </w:rPr>
        <w:t>S(USD/JPY) = 1.50 / 50 = USD 0.03/JPY</w:t>
      </w:r>
    </w:p>
    <w:p>
      <w:r>
        <w:t>Equivalently: USD1 = JPY33.33.</w:t>
      </w:r>
    </w:p>
    <w:p>
      <w:r>
        <w:rPr>
          <w:b/>
          <w:color w:val="1F4E79"/>
        </w:rPr>
        <w:t xml:space="preserve">Question: </w:t>
      </w:r>
      <w:r>
        <w:t>What is the safest method for cross-rate problems?</w:t>
      </w:r>
    </w:p>
    <w:p>
      <w:pPr>
        <w:pStyle w:val="Answer"/>
      </w:pPr>
      <w:r>
        <w:rPr>
          <w:b/>
        </w:rPr>
        <w:t xml:space="preserve">Answer: </w:t>
      </w:r>
      <w:r>
        <w:t>Write each exchange rate with its units and multiply/divide until the unwanted currency cancels and the desired quotation remains.</w:t>
      </w:r>
    </w:p>
    <w:p>
      <w:pPr>
        <w:pStyle w:val="Heading1"/>
      </w:pPr>
      <w:r>
        <w:t>32. Triangular Arbitrage</w:t>
      </w:r>
    </w:p>
    <w:p>
      <w:r>
        <w:t>Triangular arbitrage occurs when three exchange rates are inconsistent. A trader can move through three currencies and return to the original currency with more money.</w:t>
      </w:r>
    </w:p>
    <w:p>
      <w:r>
        <w:t>Presentation rates: S(GBP/USD)=1.50, S(JPY/GBP)=85 and S(JPY/USD)=120. The first two imply:</w:t>
      </w:r>
    </w:p>
    <w:p>
      <w:pPr>
        <w:pStyle w:val="Formula"/>
        <w:jc w:val="center"/>
      </w:pPr>
      <w:r>
        <w:rPr>
          <w:b/>
        </w:rPr>
        <w:t>Implied JPY/GBP = 120 / 1.50 = 80 JPY/GBP</w:t>
      </w:r>
    </w:p>
    <w:p>
      <w:r>
        <w:t>But the market quote is 85 JPY/GBP. Therefore one can buy GBP at 80 JPY and sell it at 85 JPY, creating an arbitrage opportunity.</w:t>
      </w:r>
    </w:p>
    <w:p>
      <w:pPr>
        <w:pStyle w:val="Heading2"/>
      </w:pPr>
      <w:r>
        <w:t>Triangular Arbitrage - Full Numerical</w:t>
      </w:r>
    </w:p>
    <w:p>
      <w:r>
        <w:t>Start with USD100,000. Follow the presentation route USD -&gt; GBP -&gt; JPY -&gt; USD.</w:t>
      </w:r>
    </w:p>
    <w:p>
      <w:pPr>
        <w:ind w:left="115" w:hanging="115"/>
      </w:pPr>
      <w:r>
        <w:rPr>
          <w:b/>
        </w:rPr>
        <w:t xml:space="preserve">1. </w:t>
      </w:r>
      <w:r>
        <w:t>USD -&gt; GBP: USD100,000 x 1.50 GBP/USD = GBP150,000.</w:t>
      </w:r>
    </w:p>
    <w:p>
      <w:pPr>
        <w:ind w:left="115" w:hanging="115"/>
      </w:pPr>
      <w:r>
        <w:rPr>
          <w:b/>
        </w:rPr>
        <w:t xml:space="preserve">2. </w:t>
      </w:r>
      <w:r>
        <w:t>GBP -&gt; JPY: GBP150,000 x 85 JPY/GBP = JPY12,750,000.</w:t>
      </w:r>
    </w:p>
    <w:p>
      <w:pPr>
        <w:ind w:left="115" w:hanging="115"/>
      </w:pPr>
      <w:r>
        <w:rPr>
          <w:b/>
        </w:rPr>
        <w:t xml:space="preserve">3. </w:t>
      </w:r>
      <w:r>
        <w:t>JPY -&gt; USD: JPY12,750,000 / 120 JPY/USD = USD106,250.</w:t>
      </w:r>
    </w:p>
    <w:p>
      <w:pPr>
        <w:ind w:left="115" w:hanging="115"/>
      </w:pPr>
      <w:r>
        <w:rPr>
          <w:b/>
        </w:rPr>
        <w:t xml:space="preserve">4. </w:t>
      </w:r>
      <w:r>
        <w:t>Profit = USD106,250 - USD100,000 = USD6,250.</w:t>
      </w:r>
    </w:p>
    <w:p>
      <w:pPr>
        <w:pStyle w:val="Formula"/>
        <w:jc w:val="center"/>
      </w:pPr>
      <w:r>
        <w:rPr>
          <w:b/>
        </w:rPr>
        <w:t>Arbitrage profit = USD 6,250</w:t>
      </w:r>
    </w:p>
    <w:p>
      <w:r>
        <w:rPr>
          <w:b/>
          <w:color w:val="1F4E79"/>
        </w:rPr>
        <w:t xml:space="preserve">Question: </w:t>
      </w:r>
      <w:r>
        <w:t>How do you know an arbitrage opportunity exists before doing the full trade?</w:t>
      </w:r>
    </w:p>
    <w:p>
      <w:pPr>
        <w:pStyle w:val="Answer"/>
      </w:pPr>
      <w:r>
        <w:rPr>
          <w:b/>
        </w:rPr>
        <w:t xml:space="preserve">Answer: </w:t>
      </w:r>
      <w:r>
        <w:t>Calculate the implied cross rate from two quotes and compare it with the directly quoted third rate. If the implied and quoted rates differ enough after transaction costs, a profitable round trip may exist.</w:t>
      </w:r>
    </w:p>
    <w:p>
      <w:pPr>
        <w:pStyle w:val="Heading1"/>
      </w:pPr>
      <w:r>
        <w:t>33. Spot FX Market Microstructure</w:t>
      </w:r>
    </w:p>
    <w:p>
      <w:r>
        <w:t>Market microstructure refers to the mechanics of how a marketplace operates. The presentation gives two determinants of the bid-ask spread:</w:t>
      </w:r>
    </w:p>
    <w:p>
      <w:pPr>
        <w:pStyle w:val="ListBullet"/>
      </w:pPr>
      <w:r>
        <w:t>FX exchange-rate volatility: higher volatility increases dealer risk and tends to widen spreads.</w:t>
      </w:r>
    </w:p>
    <w:p>
      <w:pPr>
        <w:pStyle w:val="ListBullet"/>
      </w:pPr>
      <w:r>
        <w:t>Dealer competition: stronger competition tends to narrow spreads.</w:t>
      </w:r>
    </w:p>
    <w:p>
      <w:r>
        <w:t>The presentation also notes that private information is an important determinant of spot exchange rates.</w:t>
      </w:r>
    </w:p>
    <w:p>
      <w:pPr>
        <w:pStyle w:val="Heading1"/>
      </w:pPr>
      <w:r>
        <w:t>34. Forward Market</w:t>
      </w:r>
    </w:p>
    <w:p>
      <w:r>
        <w:t>A forward contract is an agreement made today to buy or sell an asset in the future at a price agreed today. In FX, the asset is a foreign currency. The forward market is primarily useful for managing exchange-rate risk, although it can also be used for speculation.</w:t>
      </w:r>
    </w:p>
    <w:p>
      <w:r>
        <w:rPr>
          <w:b/>
          <w:color w:val="1F4E79"/>
        </w:rPr>
        <w:t xml:space="preserve">Question: </w:t>
      </w:r>
      <w:r>
        <w:t>What is the key difference between spot and forward FX?</w:t>
      </w:r>
    </w:p>
    <w:p>
      <w:pPr>
        <w:pStyle w:val="Answer"/>
      </w:pPr>
      <w:r>
        <w:rPr>
          <w:b/>
        </w:rPr>
        <w:t xml:space="preserve">Answer: </w:t>
      </w:r>
      <w:r>
        <w:t>Spot FX concerns exchange at the current spot rate, while a forward transaction fixes an exchange rate today for settlement at a future date.</w:t>
      </w:r>
    </w:p>
    <w:p>
      <w:pPr>
        <w:pStyle w:val="Heading1"/>
      </w:pPr>
      <w:r>
        <w:t>35. Forward Rate Quotations</w:t>
      </w:r>
    </w:p>
    <w:p>
      <w:r>
        <w:t>The presentation notes that banks readily quote 1-, 3-, 6-, 9- and 12-month forward maturities and that longer-term swaps are available. A forward quote should always be read with its maturity and currency units.</w:t>
      </w:r>
    </w:p>
    <w:p>
      <w:r>
        <w:rPr>
          <w:b/>
          <w:color w:val="1F4E79"/>
        </w:rPr>
        <w:t xml:space="preserve">Question: </w:t>
      </w:r>
      <w:r>
        <w:t>If a bank quotes F180(USD/GBP)=1.8904, what does it mean?</w:t>
      </w:r>
    </w:p>
    <w:p>
      <w:pPr>
        <w:pStyle w:val="Answer"/>
      </w:pPr>
      <w:r>
        <w:rPr>
          <w:b/>
        </w:rPr>
        <w:t xml:space="preserve">Answer: </w:t>
      </w:r>
      <w:r>
        <w:t>It means the bank has quoted a six-month forward exchange rate of USD1.8904 per GBP1 for settlement at the 180-day maturity.</w:t>
      </w:r>
    </w:p>
    <w:p>
      <w:pPr>
        <w:pStyle w:val="Heading2"/>
      </w:pPr>
      <w:r>
        <w:t>35.2 Forward Holding-Period Return and Forward Points</w:t>
      </w:r>
    </w:p>
    <w:p>
      <w:r>
        <w:t>The presentation also considers the dollar holding-period return for an investor who buys foreign currency at the spot rate and sells it forward. If the investor buys one unit of foreign currency at S and sells it forward at F, the dollar holding-period return is:</w:t>
      </w:r>
    </w:p>
    <w:p>
      <w:pPr>
        <w:pStyle w:val="Formula"/>
        <w:jc w:val="center"/>
      </w:pPr>
      <w:r>
        <w:rPr>
          <w:b/>
        </w:rPr>
        <w:t>Dollar HPR = (F / S) - 1</w:t>
      </w:r>
    </w:p>
    <w:p>
      <w:r>
        <w:t>For the presentation's GBP example, S=USD1.9077/GBP and F180=USD1.8904/GBP:</w:t>
      </w:r>
    </w:p>
    <w:p>
      <w:pPr>
        <w:pStyle w:val="Formula"/>
        <w:jc w:val="center"/>
      </w:pPr>
      <w:r>
        <w:rPr>
          <w:b/>
        </w:rPr>
        <w:t>HPR = 1.8904 / 1.9077 - 1 = -0.0091 = -0.91%</w:t>
      </w:r>
    </w:p>
    <w:p>
      <w:pPr>
        <w:pStyle w:val="Formula"/>
        <w:jc w:val="center"/>
      </w:pPr>
      <w:r>
        <w:rPr>
          <w:b/>
        </w:rPr>
        <w:t>Annualized HPR approx -0.91% x 2 = -1.81%</w:t>
      </w:r>
    </w:p>
    <w:p>
      <w:r>
        <w:t>Forward points are the numerical difference between the forward and spot quotation. They can be quoted as positive or negative points before being translated into a percentage premium/discount.</w:t>
      </w:r>
    </w:p>
    <w:p>
      <w:pPr>
        <w:pStyle w:val="Formula"/>
        <w:jc w:val="center"/>
      </w:pPr>
      <w:r>
        <w:rPr>
          <w:b/>
        </w:rPr>
        <w:t>Forward points = F - S</w:t>
      </w:r>
    </w:p>
    <w:p>
      <w:r>
        <w:rPr>
          <w:b/>
          <w:color w:val="1F4E79"/>
        </w:rPr>
        <w:t xml:space="preserve">Question: </w:t>
      </w:r>
      <w:r>
        <w:t>What does a negative forward HPR mean in this example?</w:t>
      </w:r>
    </w:p>
    <w:p>
      <w:pPr>
        <w:pStyle w:val="Answer"/>
      </w:pPr>
      <w:r>
        <w:rPr>
          <w:b/>
        </w:rPr>
        <w:t xml:space="preserve">Answer: </w:t>
      </w:r>
      <w:r>
        <w:t>The investor receives fewer dollars per pound when selling the pound forward than the amount paid at spot, so the covered dollar holding-period return over 180 days is negative.</w:t>
      </w:r>
    </w:p>
    <w:p>
      <w:pPr>
        <w:pStyle w:val="Heading1"/>
      </w:pPr>
      <w:r>
        <w:t>36. Forward Premium and Discount</w:t>
      </w:r>
    </w:p>
    <w:p>
      <w:r>
        <w:t>The forward premium/discount measures how far the forward rate differs from the spot rate, commonly expressed as an annualized percentage.</w:t>
      </w:r>
    </w:p>
    <w:p>
      <w:pPr>
        <w:pStyle w:val="Formula"/>
        <w:jc w:val="center"/>
      </w:pPr>
      <w:r>
        <w:rPr>
          <w:b/>
        </w:rPr>
        <w:t>Forward premium/discount = ((F - S) / S) x (360 / n)</w:t>
      </w:r>
    </w:p>
    <w:p>
      <w:r>
        <w:t>If the result is positive, the foreign currency is at a forward premium under the chosen quotation. If negative, it is at a forward discount.</w:t>
      </w:r>
    </w:p>
    <w:p>
      <w:pPr>
        <w:pStyle w:val="Heading2"/>
      </w:pPr>
      <w:r>
        <w:t>Solved Numerical - Forward Premium</w:t>
      </w:r>
    </w:p>
    <w:p>
      <w:r>
        <w:t>Given S(USD/EUR)=1.25 and F180(USD/EUR)=1.30:</w:t>
      </w:r>
    </w:p>
    <w:p>
      <w:pPr>
        <w:pStyle w:val="Formula"/>
        <w:jc w:val="center"/>
      </w:pPr>
      <w:r>
        <w:rPr>
          <w:b/>
        </w:rPr>
        <w:t>[(1.30 - 1.25) / 1.25] x (360 / 180) = 0.08 = 8%</w:t>
      </w:r>
    </w:p>
    <w:p>
      <w:r>
        <w:rPr>
          <w:b/>
          <w:color w:val="1F4E79"/>
        </w:rPr>
        <w:t xml:space="preserve">Question: </w:t>
      </w:r>
      <w:r>
        <w:t>Why annualize the forward premium?</w:t>
      </w:r>
    </w:p>
    <w:p>
      <w:pPr>
        <w:pStyle w:val="Answer"/>
      </w:pPr>
      <w:r>
        <w:rPr>
          <w:b/>
        </w:rPr>
        <w:t xml:space="preserve">Answer: </w:t>
      </w:r>
      <w:r>
        <w:t>A six-month or three-month difference is made comparable with annual interest rates by multiplying by the appropriate day-count factor, such as 360/n in the presentation.</w:t>
      </w:r>
    </w:p>
    <w:p>
      <w:pPr>
        <w:pStyle w:val="Heading1"/>
      </w:pPr>
      <w:r>
        <w:t>37. Long and Short Forward Positions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100" w:type="dxa"/>
              <w:bottom w:w="80" w:type="dxa"/>
              <w:end w:w="100" w:type="dxa"/>
            </w:tcMar>
            <w:vAlign w:val="center"/>
          </w:tcPr>
          <w:p>
            <w:pPr>
              <w:jc w:val="center"/>
            </w:pPr>
            <w:r>
              <w:rPr>
                <w:b/>
                <w:color w:val="FFFFFF"/>
              </w:rPr>
              <w:t>Position</w:t>
            </w:r>
          </w:p>
        </w:tc>
        <w:tc>
          <w:tcPr>
            <w:tcW w:type="dxa" w:w="3408"/>
            <w:shd w:fill="1F4E79"/>
            <w:tcMar>
              <w:top w:w="80" w:type="dxa"/>
              <w:start w:w="100" w:type="dxa"/>
              <w:bottom w:w="80" w:type="dxa"/>
              <w:end w:w="100" w:type="dxa"/>
            </w:tcMar>
            <w:vAlign w:val="center"/>
          </w:tcPr>
          <w:p>
            <w:pPr>
              <w:jc w:val="center"/>
            </w:pPr>
            <w:r>
              <w:rPr>
                <w:b/>
                <w:color w:val="FFFFFF"/>
              </w:rPr>
              <w:t>Meaning</w:t>
            </w:r>
          </w:p>
        </w:tc>
        <w:tc>
          <w:tcPr>
            <w:tcW w:type="dxa" w:w="3408"/>
            <w:shd w:fill="1F4E79"/>
            <w:tcMar>
              <w:top w:w="80" w:type="dxa"/>
              <w:start w:w="100" w:type="dxa"/>
              <w:bottom w:w="80" w:type="dxa"/>
              <w:end w:w="100" w:type="dxa"/>
            </w:tcMar>
            <w:vAlign w:val="center"/>
          </w:tcPr>
          <w:p>
            <w:pPr>
              <w:jc w:val="center"/>
            </w:pPr>
            <w:r>
              <w:rPr>
                <w:b/>
                <w:color w:val="FFFFFF"/>
              </w:rPr>
              <w:t>Profit when</w:t>
            </w:r>
          </w:p>
        </w:tc>
      </w:tr>
      <w:tr>
        <w:tc>
          <w:tcPr>
            <w:tcW w:type="dxa" w:w="3408"/>
            <w:tcMar>
              <w:top w:w="80" w:type="dxa"/>
              <w:start w:w="100" w:type="dxa"/>
              <w:bottom w:w="80" w:type="dxa"/>
              <w:end w:w="100" w:type="dxa"/>
            </w:tcMar>
            <w:vAlign w:val="center"/>
          </w:tcPr>
          <w:p>
            <w:r>
              <w:t>Long forward</w:t>
            </w:r>
          </w:p>
        </w:tc>
        <w:tc>
          <w:tcPr>
            <w:tcW w:type="dxa" w:w="3408"/>
            <w:tcMar>
              <w:top w:w="80" w:type="dxa"/>
              <w:start w:w="100" w:type="dxa"/>
              <w:bottom w:w="80" w:type="dxa"/>
              <w:end w:w="100" w:type="dxa"/>
            </w:tcMar>
            <w:vAlign w:val="center"/>
          </w:tcPr>
          <w:p>
            <w:r>
              <w:t>You agree to buy the currency in the future.</w:t>
            </w:r>
          </w:p>
        </w:tc>
        <w:tc>
          <w:tcPr>
            <w:tcW w:type="dxa" w:w="3408"/>
            <w:tcMar>
              <w:top w:w="80" w:type="dxa"/>
              <w:start w:w="100" w:type="dxa"/>
              <w:bottom w:w="80" w:type="dxa"/>
              <w:end w:w="100" w:type="dxa"/>
            </w:tcMar>
            <w:vAlign w:val="center"/>
          </w:tcPr>
          <w:p>
            <w:r>
              <w:t>Future spot price is above the forward price.</w:t>
            </w:r>
          </w:p>
        </w:tc>
      </w:tr>
      <w:tr>
        <w:tc>
          <w:tcPr>
            <w:tcW w:type="dxa" w:w="3408"/>
            <w:tcMar>
              <w:top w:w="80" w:type="dxa"/>
              <w:start w:w="100" w:type="dxa"/>
              <w:bottom w:w="80" w:type="dxa"/>
              <w:end w:w="100" w:type="dxa"/>
            </w:tcMar>
            <w:vAlign w:val="center"/>
          </w:tcPr>
          <w:p>
            <w:r>
              <w:t>Short forward</w:t>
            </w:r>
          </w:p>
        </w:tc>
        <w:tc>
          <w:tcPr>
            <w:tcW w:type="dxa" w:w="3408"/>
            <w:tcMar>
              <w:top w:w="80" w:type="dxa"/>
              <w:start w:w="100" w:type="dxa"/>
              <w:bottom w:w="80" w:type="dxa"/>
              <w:end w:w="100" w:type="dxa"/>
            </w:tcMar>
            <w:vAlign w:val="center"/>
          </w:tcPr>
          <w:p>
            <w:r>
              <w:t>You agree to sell the currency in the future.</w:t>
            </w:r>
          </w:p>
        </w:tc>
        <w:tc>
          <w:tcPr>
            <w:tcW w:type="dxa" w:w="3408"/>
            <w:tcMar>
              <w:top w:w="80" w:type="dxa"/>
              <w:start w:w="100" w:type="dxa"/>
              <w:bottom w:w="80" w:type="dxa"/>
              <w:end w:w="100" w:type="dxa"/>
            </w:tcMar>
            <w:vAlign w:val="center"/>
          </w:tcPr>
          <w:p>
            <w:r>
              <w:t>Future spot price is below the forward price.</w:t>
            </w:r>
          </w:p>
        </w:tc>
      </w:tr>
    </w:tbl>
    <w:p/>
    <w:p>
      <w:pPr>
        <w:pStyle w:val="Formula"/>
        <w:jc w:val="center"/>
      </w:pPr>
      <w:r>
        <w:rPr>
          <w:b/>
        </w:rPr>
        <w:t>Long payoff = N x (S_T - F)</w:t>
      </w:r>
    </w:p>
    <w:p>
      <w:pPr>
        <w:pStyle w:val="Formula"/>
        <w:jc w:val="center"/>
      </w:pPr>
      <w:r>
        <w:rPr>
          <w:b/>
        </w:rPr>
        <w:t>Short payoff = N x (F - S_T)</w:t>
      </w:r>
    </w:p>
    <w:p>
      <w:r>
        <w:rPr>
          <w:b/>
          <w:color w:val="1F4E79"/>
        </w:rPr>
        <w:t xml:space="preserve">Question: </w:t>
      </w:r>
      <w:r>
        <w:t>Why is a long forward profitable when S_T &gt; F?</w:t>
      </w:r>
    </w:p>
    <w:p>
      <w:pPr>
        <w:pStyle w:val="Answer"/>
      </w:pPr>
      <w:r>
        <w:rPr>
          <w:b/>
        </w:rPr>
        <w:t xml:space="preserve">Answer: </w:t>
      </w:r>
      <w:r>
        <w:t>The long has the right/obligation to buy at the locked rate F. If the market rate S_T is higher, the long buys at a below-market rate, creating a gain.</w:t>
      </w:r>
    </w:p>
    <w:p>
      <w:pPr>
        <w:pStyle w:val="Heading1"/>
      </w:pPr>
      <w:r>
        <w:t>38. Forward Payoff Examples</w:t>
      </w:r>
    </w:p>
    <w:p>
      <w:r>
        <w:t>Long example: buy GBP1,000,000 at F=USD1.10/GBP. If S_T=USD1.14/GBP:</w:t>
      </w:r>
    </w:p>
    <w:p>
      <w:pPr>
        <w:pStyle w:val="Formula"/>
        <w:jc w:val="center"/>
      </w:pPr>
      <w:r>
        <w:rPr>
          <w:b/>
        </w:rPr>
        <w:t>Profit = 1,000,000 x (1.14 - 1.10) = USD 40,000</w:t>
      </w:r>
    </w:p>
    <w:p>
      <w:r>
        <w:t>If instead S_T=USD1.05/GBP:</w:t>
      </w:r>
    </w:p>
    <w:p>
      <w:pPr>
        <w:pStyle w:val="Formula"/>
        <w:jc w:val="center"/>
      </w:pPr>
      <w:r>
        <w:rPr>
          <w:b/>
        </w:rPr>
        <w:t>Profit = 1,000,000 x (1.05 - 1.10) = -USD 50,000</w:t>
      </w:r>
    </w:p>
    <w:p>
      <w:r>
        <w:t>Short example: sell GBP1,000,000 at F=USD1.10/GBP. If S_T=USD1.05/GBP:</w:t>
      </w:r>
    </w:p>
    <w:p>
      <w:pPr>
        <w:pStyle w:val="Formula"/>
        <w:jc w:val="center"/>
      </w:pPr>
      <w:r>
        <w:rPr>
          <w:b/>
        </w:rPr>
        <w:t>Profit = 1,000,000 x (1.10 - 1.05) = USD 50,000</w:t>
      </w:r>
    </w:p>
    <w:p>
      <w:pPr>
        <w:pStyle w:val="Heading1"/>
      </w:pPr>
      <w:r>
        <w:t>39. Forward Cross-Exchange Rates</w:t>
      </w:r>
    </w:p>
    <w:p>
      <w:r>
        <w:t>A forward cross rate is the same dimensional-analysis idea as a spot cross rate, but using forward quotations of the same maturity. Think of it as a "delayed" cross rate.</w:t>
      </w:r>
    </w:p>
    <w:p>
      <w:pPr>
        <w:pStyle w:val="Formula"/>
        <w:jc w:val="center"/>
      </w:pPr>
      <w:r>
        <w:rPr>
          <w:b/>
        </w:rPr>
        <w:t>If F(USD/EUR) and F(JPY/EUR) are known, then F(USD/JPY) = F(USD/EUR) / F(JPY/EUR)</w:t>
      </w:r>
    </w:p>
    <w:p>
      <w:pPr>
        <w:pStyle w:val="Heading1"/>
      </w:pPr>
      <w:r>
        <w:t>40. Currency Codes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tcMar>
              <w:top w:w="80" w:type="dxa"/>
              <w:start w:w="100" w:type="dxa"/>
              <w:bottom w:w="80" w:type="dxa"/>
              <w:end w:w="100" w:type="dxa"/>
            </w:tcMar>
            <w:vAlign w:val="center"/>
          </w:tcPr>
          <w:p>
            <w:pPr>
              <w:jc w:val="center"/>
            </w:pPr>
            <w:r>
              <w:rPr>
                <w:b/>
                <w:color w:val="FFFFFF"/>
              </w:rPr>
              <w:t>Code</w:t>
            </w:r>
          </w:p>
        </w:tc>
        <w:tc>
          <w:tcPr>
            <w:tcW w:type="dxa" w:w="5112"/>
            <w:shd w:fill="1F4E79"/>
            <w:tcMar>
              <w:top w:w="80" w:type="dxa"/>
              <w:start w:w="100" w:type="dxa"/>
              <w:bottom w:w="80" w:type="dxa"/>
              <w:end w:w="100" w:type="dxa"/>
            </w:tcMar>
            <w:vAlign w:val="center"/>
          </w:tcPr>
          <w:p>
            <w:pPr>
              <w:jc w:val="center"/>
            </w:pPr>
            <w:r>
              <w:rPr>
                <w:b/>
                <w:color w:val="FFFFFF"/>
              </w:rPr>
              <w:t>Currency</w:t>
            </w:r>
          </w:p>
        </w:tc>
      </w:tr>
      <w:tr>
        <w:tc>
          <w:tcPr>
            <w:tcW w:type="dxa" w:w="5112"/>
            <w:tcMar>
              <w:top w:w="80" w:type="dxa"/>
              <w:start w:w="100" w:type="dxa"/>
              <w:bottom w:w="80" w:type="dxa"/>
              <w:end w:w="100" w:type="dxa"/>
            </w:tcMar>
            <w:vAlign w:val="center"/>
          </w:tcPr>
          <w:p>
            <w:r>
              <w:t>CHF</w:t>
            </w:r>
          </w:p>
        </w:tc>
        <w:tc>
          <w:tcPr>
            <w:tcW w:type="dxa" w:w="5112"/>
            <w:tcMar>
              <w:top w:w="80" w:type="dxa"/>
              <w:start w:w="100" w:type="dxa"/>
              <w:bottom w:w="80" w:type="dxa"/>
              <w:end w:w="100" w:type="dxa"/>
            </w:tcMar>
            <w:vAlign w:val="center"/>
          </w:tcPr>
          <w:p>
            <w:r>
              <w:t>Swiss franc</w:t>
            </w:r>
          </w:p>
        </w:tc>
      </w:tr>
      <w:tr>
        <w:tc>
          <w:tcPr>
            <w:tcW w:type="dxa" w:w="5112"/>
            <w:tcMar>
              <w:top w:w="80" w:type="dxa"/>
              <w:start w:w="100" w:type="dxa"/>
              <w:bottom w:w="80" w:type="dxa"/>
              <w:end w:w="100" w:type="dxa"/>
            </w:tcMar>
            <w:vAlign w:val="center"/>
          </w:tcPr>
          <w:p>
            <w:r>
              <w:t>GBP</w:t>
            </w:r>
          </w:p>
        </w:tc>
        <w:tc>
          <w:tcPr>
            <w:tcW w:type="dxa" w:w="5112"/>
            <w:tcMar>
              <w:top w:w="80" w:type="dxa"/>
              <w:start w:w="100" w:type="dxa"/>
              <w:bottom w:w="80" w:type="dxa"/>
              <w:end w:w="100" w:type="dxa"/>
            </w:tcMar>
            <w:vAlign w:val="center"/>
          </w:tcPr>
          <w:p>
            <w:r>
              <w:t>British pound</w:t>
            </w:r>
          </w:p>
        </w:tc>
      </w:tr>
      <w:tr>
        <w:tc>
          <w:tcPr>
            <w:tcW w:type="dxa" w:w="5112"/>
            <w:tcMar>
              <w:top w:w="80" w:type="dxa"/>
              <w:start w:w="100" w:type="dxa"/>
              <w:bottom w:w="80" w:type="dxa"/>
              <w:end w:w="100" w:type="dxa"/>
            </w:tcMar>
            <w:vAlign w:val="center"/>
          </w:tcPr>
          <w:p>
            <w:r>
              <w:t>ZAR</w:t>
            </w:r>
          </w:p>
        </w:tc>
        <w:tc>
          <w:tcPr>
            <w:tcW w:type="dxa" w:w="5112"/>
            <w:tcMar>
              <w:top w:w="80" w:type="dxa"/>
              <w:start w:w="100" w:type="dxa"/>
              <w:bottom w:w="80" w:type="dxa"/>
              <w:end w:w="100" w:type="dxa"/>
            </w:tcMar>
            <w:vAlign w:val="center"/>
          </w:tcPr>
          <w:p>
            <w:r>
              <w:t>South African rand</w:t>
            </w:r>
          </w:p>
        </w:tc>
      </w:tr>
      <w:tr>
        <w:tc>
          <w:tcPr>
            <w:tcW w:type="dxa" w:w="5112"/>
            <w:tcMar>
              <w:top w:w="80" w:type="dxa"/>
              <w:start w:w="100" w:type="dxa"/>
              <w:bottom w:w="80" w:type="dxa"/>
              <w:end w:w="100" w:type="dxa"/>
            </w:tcMar>
            <w:vAlign w:val="center"/>
          </w:tcPr>
          <w:p>
            <w:r>
              <w:t>CAD</w:t>
            </w:r>
          </w:p>
        </w:tc>
        <w:tc>
          <w:tcPr>
            <w:tcW w:type="dxa" w:w="5112"/>
            <w:tcMar>
              <w:top w:w="80" w:type="dxa"/>
              <w:start w:w="100" w:type="dxa"/>
              <w:bottom w:w="80" w:type="dxa"/>
              <w:end w:w="100" w:type="dxa"/>
            </w:tcMar>
            <w:vAlign w:val="center"/>
          </w:tcPr>
          <w:p>
            <w:r>
              <w:t>Canadian dollar</w:t>
            </w:r>
          </w:p>
        </w:tc>
      </w:tr>
      <w:tr>
        <w:tc>
          <w:tcPr>
            <w:tcW w:type="dxa" w:w="5112"/>
            <w:tcMar>
              <w:top w:w="80" w:type="dxa"/>
              <w:start w:w="100" w:type="dxa"/>
              <w:bottom w:w="80" w:type="dxa"/>
              <w:end w:w="100" w:type="dxa"/>
            </w:tcMar>
            <w:vAlign w:val="center"/>
          </w:tcPr>
          <w:p>
            <w:r>
              <w:t>JPY</w:t>
            </w:r>
          </w:p>
        </w:tc>
        <w:tc>
          <w:tcPr>
            <w:tcW w:type="dxa" w:w="5112"/>
            <w:tcMar>
              <w:top w:w="80" w:type="dxa"/>
              <w:start w:w="100" w:type="dxa"/>
              <w:bottom w:w="80" w:type="dxa"/>
              <w:end w:w="100" w:type="dxa"/>
            </w:tcMar>
            <w:vAlign w:val="center"/>
          </w:tcPr>
          <w:p>
            <w:r>
              <w:t>Japanese yen</w:t>
            </w:r>
          </w:p>
        </w:tc>
      </w:tr>
    </w:tbl>
    <w:p/>
    <w:p>
      <w:r>
        <w:t>The presentation emphasizes that three-letter ISO-style currency codes are widely used in professional FX markets. In an exam, knowing common codes can help interpret quotations.</w:t>
      </w:r>
    </w:p>
    <w:p>
      <w:pPr>
        <w:pStyle w:val="Heading1"/>
      </w:pPr>
      <w:r>
        <w:t>41. FX Swaps</w:t>
      </w:r>
    </w:p>
    <w:p>
      <w:r>
        <w:t>The presentation defines a swap as an agreement to provide a counterparty with something it wants in exchange for something you want, often on a recurring basis. FX swaps can combine a near-dated exchange with a future reverse exchange and are widely used for funding and liquidity management.</w:t>
      </w:r>
    </w:p>
    <w:p>
      <w:r>
        <w:rPr>
          <w:b/>
          <w:color w:val="1F4E79"/>
        </w:rPr>
        <w:t xml:space="preserve">Question: </w:t>
      </w:r>
      <w:r>
        <w:t>What is an FX swap in simple terms?</w:t>
      </w:r>
    </w:p>
    <w:p>
      <w:pPr>
        <w:pStyle w:val="Answer"/>
      </w:pPr>
      <w:r>
        <w:rPr>
          <w:b/>
        </w:rPr>
        <w:t xml:space="preserve">Answer: </w:t>
      </w:r>
      <w:r>
        <w:t>It is an arrangement in which two parties exchange currencies and agree on a future reverse or related exchange, often to manage funding or temporary currency needs.</w:t>
      </w:r>
    </w:p>
    <w:p>
      <w:pPr>
        <w:pStyle w:val="Heading1"/>
      </w:pPr>
      <w:r>
        <w:t>42. Foreign Exchange Practice Problem</w:t>
      </w:r>
    </w:p>
    <w:p>
      <w:r>
        <w:t>Problem from the presentation: spot = USD1.55/GBP, three-month forward = USD1.50/GBP. You expect the future spot to be USD1.52/GBP and want to speculate on GBP1,000,000.</w:t>
      </w:r>
    </w:p>
    <w:p>
      <w:pPr>
        <w:ind w:left="115" w:hanging="115"/>
      </w:pPr>
      <w:r>
        <w:rPr>
          <w:b/>
        </w:rPr>
        <w:t xml:space="preserve">1. </w:t>
      </w:r>
      <w:r>
        <w:t>Because you expect GBP to be worth USD1.52 while the forward allows you to buy it at USD1.50, take a long forward position on GBP1,000,000.</w:t>
      </w:r>
    </w:p>
    <w:p>
      <w:pPr>
        <w:ind w:left="115" w:hanging="115"/>
      </w:pPr>
      <w:r>
        <w:rPr>
          <w:b/>
        </w:rPr>
        <w:t xml:space="preserve">2. </w:t>
      </w:r>
      <w:r>
        <w:t>Expected profit = GBP1,000,000 x (USD1.52 - USD1.50) = USD20,000.</w:t>
      </w:r>
    </w:p>
    <w:p>
      <w:pPr>
        <w:ind w:left="115" w:hanging="115"/>
      </w:pPr>
      <w:r>
        <w:rPr>
          <w:b/>
        </w:rPr>
        <w:t xml:space="preserve">3. </w:t>
      </w:r>
      <w:r>
        <w:t>If the future spot is actually USD1.46, profit = GBP1,000,000 x (1.46 - 1.50) = -USD40,000.</w:t>
      </w:r>
    </w:p>
    <w:p>
      <w:r>
        <w:br w:type="page"/>
      </w:r>
    </w:p>
    <w:p>
      <w:pPr>
        <w:pStyle w:val="Title"/>
      </w:pPr>
      <w:r>
        <w:t>PART III - INTERNATIONAL PARITY RELATIONS &amp; FORECASTING</w:t>
      </w:r>
    </w:p>
    <w:p>
      <w:r>
        <w:t>Presentation coverage: International Parity Relationships &amp; Forecasting Exchange Rates, slides 1-43.</w:t>
      </w:r>
    </w:p>
    <w:p>
      <w:pPr>
        <w:pStyle w:val="Heading1"/>
      </w:pPr>
      <w:r>
        <w:t>43. Interest Rate Parity (IRP) - Core Idea</w:t>
      </w:r>
    </w:p>
    <w:p>
      <w:r>
        <w:t>Interest Rate Parity is an arbitrage condition. The presentation explains that if two equivalent investments with the same risk could produce different covered returns, traders could move funds toward the higher-return alternative until the discrepancy disappeared. Therefore, under the assumptions of the model, domestic and foreign investment returns must be equal after covering the currency risk.</w:t>
      </w:r>
    </w:p>
    <w:tbl>
      <w:tblPr>
        <w:tblW w:type="auto" w:w="0"/>
        <w:jc w:val="center"/>
        <w:tblLook w:firstColumn="1" w:firstRow="1" w:lastColumn="0" w:lastRow="0" w:noHBand="0" w:noVBand="1" w:val="04A0"/>
      </w:tblPr>
      <w:tblGrid>
        <w:gridCol w:w="10224"/>
      </w:tblGrid>
      <w:tr>
        <w:tc>
          <w:tcPr>
            <w:tcW w:type="dxa" w:w="10224"/>
            <w:shd w:fill="D9EAF7"/>
            <w:tcMar>
              <w:top w:w="120" w:type="dxa"/>
              <w:start w:w="160" w:type="dxa"/>
              <w:bottom w:w="120" w:type="dxa"/>
              <w:end w:w="160" w:type="dxa"/>
            </w:tcMar>
          </w:tcPr>
          <w:p>
            <w:r>
              <w:rPr>
                <w:b/>
              </w:rPr>
              <w:t xml:space="preserve">Intuition: </w:t>
            </w:r>
            <w:r>
              <w:t>Domestic investment: invest USD directly. Foreign investment: convert USD to foreign currency, invest abroad, then lock the future conversion back to USD with a forward contract. The covered future USD amounts must be equal if no arbitrage exists.</w:t>
            </w:r>
          </w:p>
        </w:tc>
      </w:tr>
    </w:tbl>
    <w:p>
      <w:pPr>
        <w:pStyle w:val="Heading1"/>
      </w:pPr>
      <w:r>
        <w:t>44. Deriving IRP Step by Step</w:t>
      </w:r>
    </w:p>
    <w:p>
      <w:r>
        <w:t>Let S(USD/GBP) be the spot exchange rate, F(USD/GBP) the forward rate, i_US the US interest rate and i_GB the UK interest rate. Start with USD1,000.</w:t>
      </w:r>
    </w:p>
    <w:p>
      <w:r>
        <w:t>Route A - invest in the US:</w:t>
      </w:r>
    </w:p>
    <w:p>
      <w:pPr>
        <w:pStyle w:val="Formula"/>
        <w:jc w:val="center"/>
      </w:pPr>
      <w:r>
        <w:rPr>
          <w:b/>
        </w:rPr>
        <w:t>Future value = USD 1,000 x (1 + i_US)</w:t>
      </w:r>
    </w:p>
    <w:p>
      <w:r>
        <w:t>Route B - convert at spot, invest in the UK and cover with a forward contract:</w:t>
      </w:r>
    </w:p>
    <w:p>
      <w:pPr>
        <w:pStyle w:val="Formula"/>
        <w:jc w:val="center"/>
      </w:pPr>
      <w:r>
        <w:rPr>
          <w:b/>
        </w:rPr>
        <w:t>GBP received = USD 1,000 / S</w:t>
      </w:r>
    </w:p>
    <w:p>
      <w:pPr>
        <w:pStyle w:val="Formula"/>
        <w:jc w:val="center"/>
      </w:pPr>
      <w:r>
        <w:rPr>
          <w:b/>
        </w:rPr>
        <w:t>GBP future value = (USD 1,000 / S) x (1 + i_GB)</w:t>
      </w:r>
    </w:p>
    <w:p>
      <w:pPr>
        <w:pStyle w:val="Formula"/>
        <w:jc w:val="center"/>
      </w:pPr>
      <w:r>
        <w:rPr>
          <w:b/>
        </w:rPr>
        <w:t>USD future value = (USD 1,000 / S) x (1 + i_GB) x F</w:t>
      </w:r>
    </w:p>
    <w:p>
      <w:r>
        <w:t>Set the two future values equal and cancel USD1,000:</w:t>
      </w:r>
    </w:p>
    <w:p>
      <w:pPr>
        <w:pStyle w:val="Formula"/>
        <w:jc w:val="center"/>
      </w:pPr>
      <w:r>
        <w:rPr>
          <w:b/>
        </w:rPr>
        <w:t>1 + i_US = (F/S) x (1 + i_GB)</w:t>
      </w:r>
    </w:p>
    <w:p>
      <w:pPr>
        <w:pStyle w:val="Formula"/>
        <w:jc w:val="center"/>
      </w:pPr>
      <w:r>
        <w:rPr>
          <w:b/>
        </w:rPr>
        <w:t>F/S = (1 + i_US) / (1 + i_GB)</w:t>
      </w:r>
    </w:p>
    <w:p>
      <w:pPr>
        <w:pStyle w:val="Formula"/>
        <w:jc w:val="center"/>
      </w:pPr>
      <w:r>
        <w:rPr>
          <w:b/>
        </w:rPr>
        <w:t>F = S x (1 + i_US) / (1 + i_GB)</w:t>
      </w:r>
    </w:p>
    <w:p>
      <w:r>
        <w:rPr>
          <w:b/>
          <w:color w:val="1F4E79"/>
        </w:rPr>
        <w:t xml:space="preserve">Question: </w:t>
      </w:r>
      <w:r>
        <w:t>Why does the size of the investment not matter for the IRP relationship?</w:t>
      </w:r>
    </w:p>
    <w:p>
      <w:pPr>
        <w:pStyle w:val="Answer"/>
      </w:pPr>
      <w:r>
        <w:rPr>
          <w:b/>
        </w:rPr>
        <w:t xml:space="preserve">Answer: </w:t>
      </w:r>
      <w:r>
        <w:t>Both sides of the arbitrage equation scale proportionally with the amount invested, so the principal cancels out. IRP is a rate relationship, not a relationship that depends on one specific dollar amount.</w:t>
      </w:r>
    </w:p>
    <w:p>
      <w:pPr>
        <w:pStyle w:val="Heading1"/>
      </w:pPr>
      <w:r>
        <w:t>45. Approximate IRP and Forward Premium</w:t>
      </w:r>
    </w:p>
    <w:p>
      <w:pPr>
        <w:pStyle w:val="Formula"/>
        <w:jc w:val="center"/>
      </w:pPr>
      <w:r>
        <w:rPr>
          <w:b/>
        </w:rPr>
        <w:t>(F - S) / S approx i_US - i_GB</w:t>
      </w:r>
    </w:p>
    <w:p>
      <w:r>
        <w:t>Thus, the forward premium/discount approximately equals the interest-rate differential. If US interest rates exceed UK rates, USD/GBP forward rates tend to reflect a higher USD-per-GBP rate relative to spot under this quotation only when the algebra is applied correctly; always respect the quote convention.</w:t>
      </w:r>
    </w:p>
    <w:p>
      <w:r>
        <w:rPr>
          <w:b/>
          <w:color w:val="1F4E79"/>
        </w:rPr>
        <w:t xml:space="preserve">Question: </w:t>
      </w:r>
      <w:r>
        <w:t>What is the relationship between IRP and the forward premium?</w:t>
      </w:r>
    </w:p>
    <w:p>
      <w:pPr>
        <w:pStyle w:val="Answer"/>
      </w:pPr>
      <w:r>
        <w:rPr>
          <w:b/>
        </w:rPr>
        <w:t xml:space="preserve">Answer: </w:t>
      </w:r>
      <w:r>
        <w:t>IRP says that the forward premium or discount is approximately equal to the interest-rate differential between the two currencies, subject to the quotation convention.</w:t>
      </w:r>
    </w:p>
    <w:p>
      <w:pPr>
        <w:pStyle w:val="Heading1"/>
      </w:pPr>
      <w:r>
        <w:t>46. IRP Numerical from the Presentation</w:t>
      </w:r>
    </w:p>
    <w:p>
      <w:r>
        <w:t>Given: S(USD/GBP)=1.25, US rate = 7.10%, UK rate = 11.56%.</w:t>
      </w:r>
    </w:p>
    <w:p>
      <w:pPr>
        <w:pStyle w:val="Formula"/>
        <w:jc w:val="center"/>
      </w:pPr>
      <w:r>
        <w:rPr>
          <w:b/>
        </w:rPr>
        <w:t>F = 1.25 x (1.0710 / 1.1156) = USD 1.20/GBP approximately</w:t>
      </w:r>
    </w:p>
    <w:p>
      <w:r>
        <w:t>The presentation then shows that investing USD1,000 at 7.10% gives USD1,071, while converting to GBP800, investing at 11.56% gives GBP892.48, and converting GBP892.48 at the forward rate USD1.20/GBP gives exactly USD1,071.</w:t>
      </w:r>
    </w:p>
    <w:p>
      <w:pPr>
        <w:pStyle w:val="Formula"/>
        <w:jc w:val="center"/>
      </w:pPr>
      <w:r>
        <w:rPr>
          <w:b/>
        </w:rPr>
        <w:t>GBP 800 x 1.1156 = GBP 892.48</w:t>
      </w:r>
    </w:p>
    <w:p>
      <w:pPr>
        <w:pStyle w:val="Formula"/>
        <w:jc w:val="center"/>
      </w:pPr>
      <w:r>
        <w:rPr>
          <w:b/>
        </w:rPr>
        <w:t>GBP 892.48 x USD 1.20/GBP = USD 1,071</w:t>
      </w:r>
    </w:p>
    <w:p>
      <w:pPr>
        <w:pStyle w:val="Heading1"/>
      </w:pPr>
      <w:r>
        <w:t>47. Covered Interest Arbitrage</w:t>
      </w:r>
    </w:p>
    <w:p>
      <w:r>
        <w:t>If market forward rates differ from the IRP rate sufficiently, an arbitrageur can borrow in one currency, invest in the other, and use a forward contract to eliminate the exchange-rate uncertainty.</w:t>
      </w:r>
    </w:p>
    <w:p>
      <w:pPr>
        <w:pStyle w:val="Heading2"/>
      </w:pPr>
      <w:r>
        <w:t>If actual forward rate is too high</w:t>
      </w:r>
    </w:p>
    <w:p>
      <w:pPr>
        <w:ind w:left="115" w:hanging="115"/>
      </w:pPr>
      <w:r>
        <w:rPr>
          <w:b/>
        </w:rPr>
        <w:t xml:space="preserve">1. </w:t>
      </w:r>
      <w:r>
        <w:t>Borrow domestic currency.</w:t>
      </w:r>
    </w:p>
    <w:p>
      <w:pPr>
        <w:ind w:left="115" w:hanging="115"/>
      </w:pPr>
      <w:r>
        <w:rPr>
          <w:b/>
        </w:rPr>
        <w:t xml:space="preserve">2. </w:t>
      </w:r>
      <w:r>
        <w:t>Convert it to foreign currency at spot.</w:t>
      </w:r>
    </w:p>
    <w:p>
      <w:pPr>
        <w:ind w:left="115" w:hanging="115"/>
      </w:pPr>
      <w:r>
        <w:rPr>
          <w:b/>
        </w:rPr>
        <w:t xml:space="preserve">3. </w:t>
      </w:r>
      <w:r>
        <w:t>Invest the foreign currency.</w:t>
      </w:r>
    </w:p>
    <w:p>
      <w:pPr>
        <w:ind w:left="115" w:hanging="115"/>
      </w:pPr>
      <w:r>
        <w:rPr>
          <w:b/>
        </w:rPr>
        <w:t xml:space="preserve">4. </w:t>
      </w:r>
      <w:r>
        <w:t>Sell the future foreign-currency proceeds forward.</w:t>
      </w:r>
    </w:p>
    <w:p>
      <w:pPr>
        <w:ind w:left="115" w:hanging="115"/>
      </w:pPr>
      <w:r>
        <w:rPr>
          <w:b/>
        </w:rPr>
        <w:t xml:space="preserve">5. </w:t>
      </w:r>
      <w:r>
        <w:t>Use the domestic proceeds to repay the loan; the excess is the arbitrage profit.</w:t>
      </w:r>
    </w:p>
    <w:p>
      <w:pPr>
        <w:pStyle w:val="Heading2"/>
      </w:pPr>
      <w:r>
        <w:t>If actual forward rate is too low</w:t>
      </w:r>
    </w:p>
    <w:p>
      <w:pPr>
        <w:ind w:left="115" w:hanging="115"/>
      </w:pPr>
      <w:r>
        <w:rPr>
          <w:b/>
        </w:rPr>
        <w:t xml:space="preserve">1. </w:t>
      </w:r>
      <w:r>
        <w:t>Borrow foreign currency.</w:t>
      </w:r>
    </w:p>
    <w:p>
      <w:pPr>
        <w:ind w:left="115" w:hanging="115"/>
      </w:pPr>
      <w:r>
        <w:rPr>
          <w:b/>
        </w:rPr>
        <w:t xml:space="preserve">2. </w:t>
      </w:r>
      <w:r>
        <w:t>Convert it into domestic currency at spot.</w:t>
      </w:r>
    </w:p>
    <w:p>
      <w:pPr>
        <w:ind w:left="115" w:hanging="115"/>
      </w:pPr>
      <w:r>
        <w:rPr>
          <w:b/>
        </w:rPr>
        <w:t xml:space="preserve">3. </w:t>
      </w:r>
      <w:r>
        <w:t>Invest domestic currency.</w:t>
      </w:r>
    </w:p>
    <w:p>
      <w:pPr>
        <w:ind w:left="115" w:hanging="115"/>
      </w:pPr>
      <w:r>
        <w:rPr>
          <w:b/>
        </w:rPr>
        <w:t xml:space="preserve">4. </w:t>
      </w:r>
      <w:r>
        <w:t>Buy the required foreign currency forward.</w:t>
      </w:r>
    </w:p>
    <w:p>
      <w:pPr>
        <w:ind w:left="115" w:hanging="115"/>
      </w:pPr>
      <w:r>
        <w:rPr>
          <w:b/>
        </w:rPr>
        <w:t xml:space="preserve">5. </w:t>
      </w:r>
      <w:r>
        <w:t>Repay the foreign loan and keep the excess.</w:t>
      </w:r>
    </w:p>
    <w:p>
      <w:r>
        <w:rPr>
          <w:b/>
          <w:color w:val="1F4E79"/>
        </w:rPr>
        <w:t xml:space="preserve">Question: </w:t>
      </w:r>
      <w:r>
        <w:t>What is "covered" in covered interest arbitrage?</w:t>
      </w:r>
    </w:p>
    <w:p>
      <w:pPr>
        <w:pStyle w:val="Answer"/>
      </w:pPr>
      <w:r>
        <w:rPr>
          <w:b/>
        </w:rPr>
        <w:t xml:space="preserve">Answer: </w:t>
      </w:r>
      <w:r>
        <w:t>The future currency conversion is covered with a forward contract, so the arbitrageur is not relying on an uncertain future spot exchange rate.</w:t>
      </w:r>
    </w:p>
    <w:p>
      <w:pPr>
        <w:pStyle w:val="Heading1"/>
      </w:pPr>
      <w:r>
        <w:t>48. IRP and Exchange-Rate Determination</w:t>
      </w:r>
    </w:p>
    <w:p>
      <w:r>
        <w:t>IRP determines the forward rate consistent with spot and the two interest rates. In the presentation example, the only no-arbitrage 360-day forward rate is USD1.20/GBP. A different rate creates a strategy that can generate a covered arbitrage profit.</w:t>
      </w:r>
    </w:p>
    <w:p>
      <w:r>
        <w:rPr>
          <w:b/>
          <w:color w:val="1F4E79"/>
        </w:rPr>
        <w:t xml:space="preserve">Question: </w:t>
      </w:r>
      <w:r>
        <w:t>Why can only one no-arbitrage forward rate exist for a given spot and pair of interest rates?</w:t>
      </w:r>
    </w:p>
    <w:p>
      <w:pPr>
        <w:pStyle w:val="Answer"/>
      </w:pPr>
      <w:r>
        <w:rPr>
          <w:b/>
        </w:rPr>
        <w:t xml:space="preserve">Answer: </w:t>
      </w:r>
      <w:r>
        <w:t>If two materially different forward rates were available for equivalent terms, traders could buy the currency at the cheaper forward price and sell it at the higher one after constructing the appropriate borrowing and investment strategy.</w:t>
      </w:r>
    </w:p>
    <w:p>
      <w:pPr>
        <w:pStyle w:val="Heading1"/>
      </w:pPr>
      <w:r>
        <w:t>49. IRP and Hedging Currency Risk</w:t>
      </w:r>
    </w:p>
    <w:p>
      <w:r>
        <w:t>Presentation example: a US importer owes GBP100 million in one year. IRP allows two ways of fixing the dollar cash outflow.</w:t>
      </w:r>
    </w:p>
    <w:p>
      <w:pPr>
        <w:pStyle w:val="Heading2"/>
      </w:pPr>
      <w:r>
        <w:t>Method A - Long forward</w:t>
      </w:r>
    </w:p>
    <w:p>
      <w:pPr>
        <w:pStyle w:val="Formula"/>
        <w:jc w:val="center"/>
      </w:pPr>
      <w:r>
        <w:rPr>
          <w:b/>
        </w:rPr>
        <w:t>GBP 100m x USD 1.20/GBP = USD 120m</w:t>
      </w:r>
    </w:p>
    <w:p>
      <w:r>
        <w:t>The importer locks in a USD120 million cash requirement for the future GBP payment.</w:t>
      </w:r>
    </w:p>
    <w:p>
      <w:pPr>
        <w:pStyle w:val="Heading2"/>
      </w:pPr>
      <w:r>
        <w:t>Method B - Forward market hedge</w:t>
      </w:r>
    </w:p>
    <w:p>
      <w:pPr>
        <w:ind w:left="115" w:hanging="115"/>
      </w:pPr>
      <w:r>
        <w:rPr>
          <w:b/>
        </w:rPr>
        <w:t xml:space="preserve">1. </w:t>
      </w:r>
      <w:r>
        <w:t>Calculate the pounds that must be invested today to become GBP100m in one year.</w:t>
      </w:r>
    </w:p>
    <w:p>
      <w:pPr>
        <w:ind w:left="115" w:hanging="115"/>
      </w:pPr>
      <w:r>
        <w:rPr>
          <w:b/>
        </w:rPr>
        <w:t xml:space="preserve">2. </w:t>
      </w:r>
      <w:r>
        <w:t>Borrow enough dollars today to purchase those pounds at the spot rate.</w:t>
      </w:r>
    </w:p>
    <w:p>
      <w:pPr>
        <w:ind w:left="115" w:hanging="115"/>
      </w:pPr>
      <w:r>
        <w:rPr>
          <w:b/>
        </w:rPr>
        <w:t xml:space="preserve">3. </w:t>
      </w:r>
      <w:r>
        <w:t>Invest the pounds in the UK.</w:t>
      </w:r>
    </w:p>
    <w:p>
      <w:pPr>
        <w:ind w:left="115" w:hanging="115"/>
      </w:pPr>
      <w:r>
        <w:rPr>
          <w:b/>
        </w:rPr>
        <w:t xml:space="preserve">4. </w:t>
      </w:r>
      <w:r>
        <w:t>After one year, the GBP investment equals the supplier payment.</w:t>
      </w:r>
    </w:p>
    <w:p>
      <w:pPr>
        <w:ind w:left="115" w:hanging="115"/>
      </w:pPr>
      <w:r>
        <w:rPr>
          <w:b/>
        </w:rPr>
        <w:t xml:space="preserve">5. </w:t>
      </w:r>
      <w:r>
        <w:t>Repay the dollar borrowing from the predetermined dollar liability.</w:t>
      </w:r>
    </w:p>
    <w:p>
      <w:pPr>
        <w:pStyle w:val="Formula"/>
        <w:jc w:val="center"/>
      </w:pPr>
      <w:r>
        <w:rPr>
          <w:b/>
        </w:rPr>
        <w:t>GBP today = GBP 100m / 1.1156 = GBP 89.64m</w:t>
      </w:r>
    </w:p>
    <w:p>
      <w:pPr>
        <w:pStyle w:val="Formula"/>
        <w:jc w:val="center"/>
      </w:pPr>
      <w:r>
        <w:rPr>
          <w:b/>
        </w:rPr>
        <w:t>USD today = GBP 89.64m x USD 1.25/GBP = USD 112.05m</w:t>
      </w:r>
    </w:p>
    <w:p>
      <w:pPr>
        <w:pStyle w:val="Formula"/>
        <w:jc w:val="center"/>
      </w:pPr>
      <w:r>
        <w:rPr>
          <w:b/>
        </w:rPr>
        <w:t>USD repayment after one year = USD 112.05m x 1.071 = USD 120m</w:t>
      </w:r>
    </w:p>
    <w:p>
      <w:r>
        <w:rPr>
          <w:b/>
          <w:color w:val="1F4E79"/>
        </w:rPr>
        <w:t xml:space="preserve">Question: </w:t>
      </w:r>
      <w:r>
        <w:t>Why does the forward market hedge work?</w:t>
      </w:r>
    </w:p>
    <w:p>
      <w:pPr>
        <w:pStyle w:val="Answer"/>
      </w:pPr>
      <w:r>
        <w:rPr>
          <w:b/>
        </w:rPr>
        <w:t xml:space="preserve">Answer: </w:t>
      </w:r>
      <w:r>
        <w:t>The importer creates a future GBP asset of exactly GBP100 million, matching the GBP liability. The amount of domestic borrowing is chosen so that its future value matches the known USD cost of the hedge.</w:t>
      </w:r>
    </w:p>
    <w:p>
      <w:pPr>
        <w:pStyle w:val="Heading1"/>
      </w:pPr>
      <w:r>
        <w:t>50. Why IRP Deviates in Practice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tcMar>
              <w:top w:w="80" w:type="dxa"/>
              <w:start w:w="100" w:type="dxa"/>
              <w:bottom w:w="80" w:type="dxa"/>
              <w:end w:w="100" w:type="dxa"/>
            </w:tcMar>
            <w:vAlign w:val="center"/>
          </w:tcPr>
          <w:p>
            <w:pPr>
              <w:jc w:val="center"/>
            </w:pPr>
            <w:r>
              <w:rPr>
                <w:b/>
                <w:color w:val="FFFFFF"/>
              </w:rPr>
              <w:t>Reason</w:t>
            </w:r>
          </w:p>
        </w:tc>
        <w:tc>
          <w:tcPr>
            <w:tcW w:type="dxa" w:w="5112"/>
            <w:shd w:fill="1F4E79"/>
            <w:tcMar>
              <w:top w:w="80" w:type="dxa"/>
              <w:start w:w="100" w:type="dxa"/>
              <w:bottom w:w="80" w:type="dxa"/>
              <w:end w:w="100" w:type="dxa"/>
            </w:tcMar>
            <w:vAlign w:val="center"/>
          </w:tcPr>
          <w:p>
            <w:pPr>
              <w:jc w:val="center"/>
            </w:pPr>
            <w:r>
              <w:rPr>
                <w:b/>
                <w:color w:val="FFFFFF"/>
              </w:rPr>
              <w:t>Effect</w:t>
            </w:r>
          </w:p>
        </w:tc>
      </w:tr>
      <w:tr>
        <w:tc>
          <w:tcPr>
            <w:tcW w:type="dxa" w:w="5112"/>
            <w:tcMar>
              <w:top w:w="80" w:type="dxa"/>
              <w:start w:w="100" w:type="dxa"/>
              <w:bottom w:w="80" w:type="dxa"/>
              <w:end w:w="100" w:type="dxa"/>
            </w:tcMar>
            <w:vAlign w:val="center"/>
          </w:tcPr>
          <w:p>
            <w:r>
              <w:t>Transaction costs</w:t>
            </w:r>
          </w:p>
        </w:tc>
        <w:tc>
          <w:tcPr>
            <w:tcW w:type="dxa" w:w="5112"/>
            <w:tcMar>
              <w:top w:w="80" w:type="dxa"/>
              <w:start w:w="100" w:type="dxa"/>
              <w:bottom w:w="80" w:type="dxa"/>
              <w:end w:w="100" w:type="dxa"/>
            </w:tcMar>
            <w:vAlign w:val="center"/>
          </w:tcPr>
          <w:p>
            <w:r>
              <w:t>Arbitrage may not be profitable after exchange, financing and settlement costs.</w:t>
            </w:r>
          </w:p>
        </w:tc>
      </w:tr>
      <w:tr>
        <w:tc>
          <w:tcPr>
            <w:tcW w:type="dxa" w:w="5112"/>
            <w:tcMar>
              <w:top w:w="80" w:type="dxa"/>
              <w:start w:w="100" w:type="dxa"/>
              <w:bottom w:w="80" w:type="dxa"/>
              <w:end w:w="100" w:type="dxa"/>
            </w:tcMar>
            <w:vAlign w:val="center"/>
          </w:tcPr>
          <w:p>
            <w:r>
              <w:t>Borrowing vs lending rate differences</w:t>
            </w:r>
          </w:p>
        </w:tc>
        <w:tc>
          <w:tcPr>
            <w:tcW w:type="dxa" w:w="5112"/>
            <w:tcMar>
              <w:top w:w="80" w:type="dxa"/>
              <w:start w:w="100" w:type="dxa"/>
              <w:bottom w:w="80" w:type="dxa"/>
              <w:end w:w="100" w:type="dxa"/>
            </w:tcMar>
            <w:vAlign w:val="center"/>
          </w:tcPr>
          <w:p>
            <w:r>
              <w:t>An arbitrageur may borrow at a higher rate than the rate earned by lending.</w:t>
            </w:r>
          </w:p>
        </w:tc>
      </w:tr>
      <w:tr>
        <w:tc>
          <w:tcPr>
            <w:tcW w:type="dxa" w:w="5112"/>
            <w:tcMar>
              <w:top w:w="80" w:type="dxa"/>
              <w:start w:w="100" w:type="dxa"/>
              <w:bottom w:w="80" w:type="dxa"/>
              <w:end w:w="100" w:type="dxa"/>
            </w:tcMar>
            <w:vAlign w:val="center"/>
          </w:tcPr>
          <w:p>
            <w:r>
              <w:t>Bid-ask spreads</w:t>
            </w:r>
          </w:p>
        </w:tc>
        <w:tc>
          <w:tcPr>
            <w:tcW w:type="dxa" w:w="5112"/>
            <w:tcMar>
              <w:top w:w="80" w:type="dxa"/>
              <w:start w:w="100" w:type="dxa"/>
              <w:bottom w:w="80" w:type="dxa"/>
              <w:end w:w="100" w:type="dxa"/>
            </w:tcMar>
            <w:vAlign w:val="center"/>
          </w:tcPr>
          <w:p>
            <w:r>
              <w:t>Actual buying and selling rates differ from the midpoint used in simplified formulas.</w:t>
            </w:r>
          </w:p>
        </w:tc>
      </w:tr>
      <w:tr>
        <w:tc>
          <w:tcPr>
            <w:tcW w:type="dxa" w:w="5112"/>
            <w:tcMar>
              <w:top w:w="80" w:type="dxa"/>
              <w:start w:w="100" w:type="dxa"/>
              <w:bottom w:w="80" w:type="dxa"/>
              <w:end w:w="100" w:type="dxa"/>
            </w:tcMar>
            <w:vAlign w:val="center"/>
          </w:tcPr>
          <w:p>
            <w:r>
              <w:t>Capital controls</w:t>
            </w:r>
          </w:p>
        </w:tc>
        <w:tc>
          <w:tcPr>
            <w:tcW w:type="dxa" w:w="5112"/>
            <w:tcMar>
              <w:top w:w="80" w:type="dxa"/>
              <w:start w:w="100" w:type="dxa"/>
              <w:bottom w:w="80" w:type="dxa"/>
              <w:end w:w="100" w:type="dxa"/>
            </w:tcMar>
            <w:vAlign w:val="center"/>
          </w:tcPr>
          <w:p>
            <w:r>
              <w:t>Governments may restrict movement of funds using taxes or outright restrictions.</w:t>
            </w:r>
          </w:p>
        </w:tc>
      </w:tr>
    </w:tbl>
    <w:p/>
    <w:p>
      <w:pPr>
        <w:pStyle w:val="Heading2"/>
      </w:pPr>
      <w:r>
        <w:t>Transactions Cost Numerical</w:t>
      </w:r>
    </w:p>
    <w:p>
      <w:pPr>
        <w:ind w:left="115" w:hanging="115"/>
      </w:pPr>
      <w:r>
        <w:rPr>
          <w:b/>
        </w:rPr>
        <w:t xml:space="preserve">1. </w:t>
      </w:r>
      <w:r>
        <w:t>Borrow USD1,000 at 5%: owe USD1,050.</w:t>
      </w:r>
    </w:p>
    <w:p>
      <w:pPr>
        <w:ind w:left="115" w:hanging="115"/>
      </w:pPr>
      <w:r>
        <w:rPr>
          <w:b/>
        </w:rPr>
        <w:t xml:space="preserve">2. </w:t>
      </w:r>
      <w:r>
        <w:t>Buy euros at ask USD1.01/EUR: EUR = USD1,000/1.01 = EUR990.10.</w:t>
      </w:r>
    </w:p>
    <w:p>
      <w:pPr>
        <w:ind w:left="115" w:hanging="115"/>
      </w:pPr>
      <w:r>
        <w:rPr>
          <w:b/>
        </w:rPr>
        <w:t xml:space="preserve">3. </w:t>
      </w:r>
      <w:r>
        <w:t>Invest euros at 5.5%: EUR990.10 x 1.055 = EUR1,044.55.</w:t>
      </w:r>
    </w:p>
    <w:p>
      <w:pPr>
        <w:ind w:left="115" w:hanging="115"/>
      </w:pPr>
      <w:r>
        <w:rPr>
          <w:b/>
        </w:rPr>
        <w:t xml:space="preserve">4. </w:t>
      </w:r>
      <w:r>
        <w:t>Sell/hedge euros forward at USD0.99/EUR: USD received = EUR1,044.55 x 0.99 = USD1,034.11.</w:t>
      </w:r>
    </w:p>
    <w:p>
      <w:pPr>
        <w:ind w:left="115" w:hanging="115"/>
      </w:pPr>
      <w:r>
        <w:rPr>
          <w:b/>
        </w:rPr>
        <w:t xml:space="preserve">5. </w:t>
      </w:r>
      <w:r>
        <w:t>Compare USD1,034.11 received with USD1,050 owed: loss = USD15.89.</w:t>
      </w:r>
    </w:p>
    <w:p>
      <w:pPr>
        <w:pStyle w:val="Formula"/>
        <w:jc w:val="center"/>
      </w:pPr>
      <w:r>
        <w:rPr>
          <w:b/>
        </w:rPr>
        <w:t>Net result = USD 1,034.11 - USD 1,050 = -USD 15.89</w:t>
      </w:r>
    </w:p>
    <w:p>
      <w:r>
        <w:rPr>
          <w:b/>
          <w:color w:val="1F4E79"/>
        </w:rPr>
        <w:t xml:space="preserve">Question: </w:t>
      </w:r>
      <w:r>
        <w:t>Why is there no profitable arbitrage in the transaction-cost example?</w:t>
      </w:r>
    </w:p>
    <w:p>
      <w:pPr>
        <w:pStyle w:val="Answer"/>
      </w:pPr>
      <w:r>
        <w:rPr>
          <w:b/>
        </w:rPr>
        <w:t xml:space="preserve">Answer: </w:t>
      </w:r>
      <w:r>
        <w:t>The apparent interest differential is more than offset by the bid-ask spread and borrowing/lending costs. After all actual transaction prices are used, the strategy produces a loss rather than a risk-free gain.</w:t>
      </w:r>
    </w:p>
    <w:p>
      <w:pPr>
        <w:pStyle w:val="Heading1"/>
      </w:pPr>
      <w:r>
        <w:t>51. Purchasing Power Parity (PPP)</w:t>
      </w:r>
    </w:p>
    <w:p>
      <w:r>
        <w:t>Purchasing Power Parity links exchange rates to relative price levels. The basic idea is that, for comparable tradable goods, the exchange rate should reflect differences in the countries' price levels.</w:t>
      </w:r>
    </w:p>
    <w:p>
      <w:pPr>
        <w:pStyle w:val="Heading2"/>
      </w:pPr>
      <w:r>
        <w:t>Absolute PPP</w:t>
      </w:r>
    </w:p>
    <w:p>
      <w:pPr>
        <w:pStyle w:val="Formula"/>
        <w:jc w:val="center"/>
      </w:pPr>
      <w:r>
        <w:rPr>
          <w:b/>
        </w:rPr>
        <w:t>S(USD/foreign) = Price level in USD country / Price level in foreign country</w:t>
      </w:r>
    </w:p>
    <w:p>
      <w:r>
        <w:t>This says that after converting prices into one currency, equivalent baskets should have similar prices under the simplifying assumptions of the model.</w:t>
      </w:r>
    </w:p>
    <w:p>
      <w:pPr>
        <w:pStyle w:val="Heading2"/>
      </w:pPr>
      <w:r>
        <w:t>Relative PPP</w:t>
      </w:r>
    </w:p>
    <w:p>
      <w:r>
        <w:t>Relative PPP focuses on changes in the exchange rate and inflation rather than requiring absolute price equality.</w:t>
      </w:r>
    </w:p>
    <w:p>
      <w:pPr>
        <w:pStyle w:val="Formula"/>
        <w:jc w:val="center"/>
      </w:pPr>
      <w:r>
        <w:rPr>
          <w:b/>
        </w:rPr>
        <w:t>S1 = S0 x (1 + pi_US) / (1 + pi_foreign)</w:t>
      </w:r>
    </w:p>
    <w:p>
      <w:pPr>
        <w:pStyle w:val="Heading1"/>
      </w:pPr>
      <w:r>
        <w:t>52. PPP Numerical from the Presentation</w:t>
      </w:r>
    </w:p>
    <w:p>
      <w:r>
        <w:t>Given S0=USD1.25/EUR, expected US inflation = 3%, expected euro-zone inflation = 5%.</w:t>
      </w:r>
    </w:p>
    <w:p>
      <w:pPr>
        <w:pStyle w:val="Formula"/>
        <w:jc w:val="center"/>
      </w:pPr>
      <w:r>
        <w:rPr>
          <w:b/>
        </w:rPr>
        <w:t>S1 = 1.25 x 1.03 / 1.05 = 1.22619 USD/EUR</w:t>
      </w:r>
    </w:p>
    <w:p>
      <w:r>
        <w:t>Thus the euro is expected to be about 1.90% lower in USD-per-euro terms:</w:t>
      </w:r>
    </w:p>
    <w:p>
      <w:pPr>
        <w:pStyle w:val="Formula"/>
        <w:jc w:val="center"/>
      </w:pPr>
      <w:r>
        <w:rPr>
          <w:b/>
        </w:rPr>
        <w:t>(1.22619 - 1.25) / 1.25 = -1.9048%</w:t>
      </w:r>
    </w:p>
    <w:p>
      <w:r>
        <w:rPr>
          <w:b/>
          <w:color w:val="1F4E79"/>
        </w:rPr>
        <w:t xml:space="preserve">Question: </w:t>
      </w:r>
      <w:r>
        <w:t>Why does higher foreign inflation tend to imply a foreign-currency depreciation under this quotation?</w:t>
      </w:r>
    </w:p>
    <w:p>
      <w:pPr>
        <w:pStyle w:val="Answer"/>
      </w:pPr>
      <w:r>
        <w:rPr>
          <w:b/>
        </w:rPr>
        <w:t xml:space="preserve">Answer: </w:t>
      </w:r>
      <w:r>
        <w:t>Higher foreign inflation raises foreign prices faster. Relative purchasing power therefore falls, so the foreign currency tends to buy fewer units of the domestic currency under the stated quote convention.</w:t>
      </w:r>
    </w:p>
    <w:p>
      <w:pPr>
        <w:pStyle w:val="Heading1"/>
      </w:pPr>
      <w:r>
        <w:t>53. PPP Deviations and the Real Exchange Rate</w:t>
      </w:r>
    </w:p>
    <w:p>
      <w:r>
        <w:t>PPP does not hold exactly because many goods and services are not traded internationally and because transport costs, tariffs, quotas and market frictions prevent perfect price equalization. The presentation contrasts haircuts, which are highly local, with film, which is more standardized and internationally traded.</w:t>
      </w:r>
    </w:p>
    <w:p>
      <w:r>
        <w:t>A common real-exchange-rate expression, consistent with the direct quotation used in the notes, is:</w:t>
      </w:r>
    </w:p>
    <w:p>
      <w:pPr>
        <w:pStyle w:val="Formula"/>
        <w:jc w:val="center"/>
      </w:pPr>
      <w:r>
        <w:rPr>
          <w:b/>
        </w:rPr>
        <w:t>Real exchange rate q = S x P_foreign / P_domestic</w:t>
      </w:r>
    </w:p>
    <w:p>
      <w:r>
        <w:t>Interpretation: the real exchange rate combines the nominal exchange rate with relative price levels. It therefore provides a broader measure of the relative purchasing power or relative price of foreign goods.</w:t>
      </w:r>
    </w:p>
    <w:p>
      <w:r>
        <w:rPr>
          <w:b/>
          <w:color w:val="1F4E79"/>
        </w:rPr>
        <w:t xml:space="preserve">Question: </w:t>
      </w:r>
      <w:r>
        <w:t>Why is PPP still useful if it does not hold exactly?</w:t>
      </w:r>
    </w:p>
    <w:p>
      <w:pPr>
        <w:pStyle w:val="Answer"/>
      </w:pPr>
      <w:r>
        <w:rPr>
          <w:b/>
        </w:rPr>
        <w:t xml:space="preserve">Answer: </w:t>
      </w:r>
      <w:r>
        <w:t>It provides a benchmark. Large persistent deviations can indicate differences in price levels, tradability, transportation costs, trade barriers or other structural forces. It is not a perfect short-run forecasting law.</w:t>
      </w:r>
    </w:p>
    <w:p>
      <w:pPr>
        <w:pStyle w:val="Heading1"/>
      </w:pPr>
      <w:r>
        <w:t>54. Relationship Between IRP and PPP</w:t>
      </w:r>
    </w:p>
    <w:p>
      <w:r>
        <w:t>The presentation shows that the two large equilibrium equations can be combined. Relative PPP links exchange-rate changes to inflation differences, while IRP links forward premiums to interest-rate differences. When combined with the Fisher effect, the relationships form a consistent international parity system.</w:t>
      </w:r>
    </w:p>
    <w:tbl>
      <w:tblPr>
        <w:tblW w:type="auto" w:w="0"/>
        <w:jc w:val="center"/>
        <w:tblLook w:firstColumn="1" w:firstRow="1" w:lastColumn="0" w:lastRow="0" w:noHBand="0" w:noVBand="1" w:val="04A0"/>
      </w:tblPr>
      <w:tblGrid>
        <w:gridCol w:w="10224"/>
      </w:tblGrid>
      <w:tr>
        <w:tc>
          <w:tcPr>
            <w:tcW w:type="dxa" w:w="10224"/>
            <w:shd w:fill="E2F0D9"/>
            <w:tcMar>
              <w:top w:w="120" w:type="dxa"/>
              <w:start w:w="160" w:type="dxa"/>
              <w:bottom w:w="120" w:type="dxa"/>
              <w:end w:w="160" w:type="dxa"/>
            </w:tcMar>
          </w:tcPr>
          <w:p>
            <w:r>
              <w:rPr>
                <w:b/>
              </w:rPr>
              <w:t xml:space="preserve">Core chain: </w:t>
            </w:r>
            <w:r>
              <w:t>PPP: inflation differential -&gt; expected exchange-rate change. Fisher: inflation differential -&gt; interest-rate differential. IRP: interest-rate differential -&gt; forward premium/discount. Together they connect inflation, interest rates, forward rates and expected exchange rates.</w:t>
            </w:r>
          </w:p>
        </w:tc>
      </w:tr>
    </w:tbl>
    <w:p>
      <w:pPr>
        <w:pStyle w:val="Heading1"/>
      </w:pPr>
      <w:r>
        <w:t>55. Fisher Effect</w:t>
      </w:r>
    </w:p>
    <w:p>
      <w:r>
        <w:t>The Fisher effect says that nominal interest rates incorporate expected inflation and the real interest rate. The exact relationship in the presentation is:</w:t>
      </w:r>
    </w:p>
    <w:p>
      <w:pPr>
        <w:pStyle w:val="Formula"/>
        <w:jc w:val="center"/>
      </w:pPr>
      <w:r>
        <w:rPr>
          <w:b/>
        </w:rPr>
        <w:t>1 + i = (1 + rho) x E(1 + pi)</w:t>
      </w:r>
    </w:p>
    <w:p>
      <w:r>
        <w:t>For small rates, the common approximation is:</w:t>
      </w:r>
    </w:p>
    <w:p>
      <w:pPr>
        <w:pStyle w:val="Formula"/>
        <w:jc w:val="center"/>
      </w:pPr>
      <w:r>
        <w:rPr>
          <w:b/>
        </w:rPr>
        <w:t>i approx rho + E(pi)</w:t>
      </w:r>
    </w:p>
    <w:p>
      <w:r>
        <w:rPr>
          <w:b/>
          <w:color w:val="1F4E79"/>
        </w:rPr>
        <w:t xml:space="preserve">Question: </w:t>
      </w:r>
      <w:r>
        <w:t>If real interest is 3% and expected inflation is 6%, what is the approximate nominal interest rate?</w:t>
      </w:r>
    </w:p>
    <w:p>
      <w:pPr>
        <w:pStyle w:val="Answer"/>
      </w:pPr>
      <w:r>
        <w:rPr>
          <w:b/>
        </w:rPr>
        <w:t xml:space="preserve">Answer: </w:t>
      </w:r>
      <w:r>
        <w:t>Using i approx rho + E(pi): i approx 3% + 6% = 9%. The exact Fisher calculation is (1.03 x 1.06) - 1 = 9.18%.</w:t>
      </w:r>
    </w:p>
    <w:p>
      <w:pPr>
        <w:pStyle w:val="Heading1"/>
      </w:pPr>
      <w:r>
        <w:t>56. International Fisher Effect (IFE)</w:t>
      </w:r>
    </w:p>
    <w:p>
      <w:r>
        <w:t>Apply the Fisher effect to two countries. If real interest rates are equal, differences in nominal interest rates primarily reflect differences in expected inflation. The IFE therefore links interest-rate differentials to expected exchange-rate movements.</w:t>
      </w:r>
    </w:p>
    <w:p>
      <w:pPr>
        <w:pStyle w:val="Formula"/>
        <w:jc w:val="center"/>
      </w:pPr>
      <w:r>
        <w:rPr>
          <w:b/>
        </w:rPr>
        <w:t>Expected exchange-rate change approx i_domestic - i_foreign</w:t>
      </w:r>
    </w:p>
    <w:p>
      <w:r>
        <w:t>As always, the exact appreciation/depreciation wording depends on the quotation. The safe exam method is to calculate the percentage change first and then interpret the direction using the quote.</w:t>
      </w:r>
    </w:p>
    <w:p>
      <w:r>
        <w:rPr>
          <w:b/>
          <w:color w:val="1F4E79"/>
        </w:rPr>
        <w:t xml:space="preserve">Question: </w:t>
      </w:r>
      <w:r>
        <w:t>If the US interest rate is 8% and the UK interest rate is 5%, what does IFE predict approximately?</w:t>
      </w:r>
    </w:p>
    <w:p>
      <w:pPr>
        <w:pStyle w:val="Answer"/>
      </w:pPr>
      <w:r>
        <w:rPr>
          <w:b/>
        </w:rPr>
        <w:t xml:space="preserve">Answer: </w:t>
      </w:r>
      <w:r>
        <w:t>The approximate differential is 8% - 5% = 3%. The direction of currency movement must then be interpreted using the exact quotation convention in the question.</w:t>
      </w:r>
    </w:p>
    <w:p>
      <w:pPr>
        <w:pStyle w:val="Heading1"/>
      </w:pPr>
      <w:r>
        <w:t>57. Approximate Equilibrium Exchange-Rate Relationships</w:t>
      </w:r>
    </w:p>
    <w:p>
      <w:r>
        <w:t>The presentation connects the parity conditions into one conceptual network. In simplified approximate form:</w:t>
      </w:r>
    </w:p>
    <w:p>
      <w:pPr>
        <w:pStyle w:val="Formula"/>
        <w:jc w:val="center"/>
      </w:pPr>
      <w:r>
        <w:rPr>
          <w:b/>
        </w:rPr>
        <w:t>Inflation differential approx Interest differential approx Forward premium/discount approx Expected exchange-rate change</w:t>
      </w:r>
    </w:p>
    <w:p>
      <w:r>
        <w:t>These are equilibrium relationships under specific assumptions. They are not statements that markets always satisfy exactly.</w:t>
      </w:r>
    </w:p>
    <w:p>
      <w:pPr>
        <w:pStyle w:val="Heading1"/>
      </w:pPr>
      <w:r>
        <w:t>58. Forecasting Exchange Rates - Efficient Markets Approach</w:t>
      </w:r>
    </w:p>
    <w:p>
      <w:r>
        <w:t>A financial market is efficient in the relevant sense when prices reflect available and relevant information. The presentation writes:</w:t>
      </w:r>
    </w:p>
    <w:p>
      <w:pPr>
        <w:pStyle w:val="Formula"/>
        <w:jc w:val="center"/>
      </w:pPr>
      <w:r>
        <w:rPr>
          <w:b/>
        </w:rPr>
        <w:t>S_t = E[S_(t+1)]</w:t>
      </w:r>
    </w:p>
    <w:p>
      <w:pPr>
        <w:pStyle w:val="Formula"/>
        <w:jc w:val="center"/>
      </w:pPr>
      <w:r>
        <w:rPr>
          <w:b/>
        </w:rPr>
        <w:t>F_t = E[S_(t+1) | I_t]</w:t>
      </w:r>
    </w:p>
    <w:p>
      <w:r>
        <w:t>The key idea is that exchange rates should change when new information arrives. The practical implication is that consistently beating simple market-based benchmarks using already-known information is difficult.</w:t>
      </w:r>
    </w:p>
    <w:p>
      <w:r>
        <w:rPr>
          <w:b/>
          <w:color w:val="1F4E79"/>
        </w:rPr>
        <w:t xml:space="preserve">Question: </w:t>
      </w:r>
      <w:r>
        <w:t>What does the efficient-market approach imply for forecasting?</w:t>
      </w:r>
    </w:p>
    <w:p>
      <w:pPr>
        <w:pStyle w:val="Answer"/>
      </w:pPr>
      <w:r>
        <w:rPr>
          <w:b/>
        </w:rPr>
        <w:t xml:space="preserve">Answer: </w:t>
      </w:r>
      <w:r>
        <w:t>It implies that current market prices already incorporate available information, so predictable exchange-rate movements based only on public information should be difficult to exploit consistently.</w:t>
      </w:r>
    </w:p>
    <w:p>
      <w:pPr>
        <w:pStyle w:val="Heading1"/>
      </w:pPr>
      <w:r>
        <w:t>59. Fundamental Approach</w:t>
      </w:r>
    </w:p>
    <w:p>
      <w:r>
        <w:t>The fundamental approach uses economic variables and econometric models to forecast exchange rates. The presentation gives three steps:</w:t>
      </w:r>
    </w:p>
    <w:p>
      <w:pPr>
        <w:ind w:left="115" w:hanging="115"/>
      </w:pPr>
      <w:r>
        <w:rPr>
          <w:b/>
        </w:rPr>
        <w:t xml:space="preserve">1. </w:t>
      </w:r>
      <w:r>
        <w:t>Estimate the structural model.</w:t>
      </w:r>
    </w:p>
    <w:p>
      <w:pPr>
        <w:ind w:left="115" w:hanging="115"/>
      </w:pPr>
      <w:r>
        <w:rPr>
          <w:b/>
        </w:rPr>
        <w:t xml:space="preserve">2. </w:t>
      </w:r>
      <w:r>
        <w:t>Estimate future parameter values.</w:t>
      </w:r>
    </w:p>
    <w:p>
      <w:pPr>
        <w:ind w:left="115" w:hanging="115"/>
      </w:pPr>
      <w:r>
        <w:rPr>
          <w:b/>
        </w:rPr>
        <w:t xml:space="preserve">3. </w:t>
      </w:r>
      <w:r>
        <w:t>Use the model to develop forecasts.</w:t>
      </w:r>
    </w:p>
    <w:p>
      <w:r>
        <w:t>The presentation also warns that fundamental models do not necessarily outperform the forward-rate model or a random-walk model.</w:t>
      </w:r>
    </w:p>
    <w:p>
      <w:r>
        <w:rPr>
          <w:b/>
          <w:color w:val="1F4E79"/>
        </w:rPr>
        <w:t xml:space="preserve">Question: </w:t>
      </w:r>
      <w:r>
        <w:t>What is the main weakness of fundamental forecasting according to the presentation?</w:t>
      </w:r>
    </w:p>
    <w:p>
      <w:pPr>
        <w:pStyle w:val="Answer"/>
      </w:pPr>
      <w:r>
        <w:rPr>
          <w:b/>
        </w:rPr>
        <w:t xml:space="preserve">Answer: </w:t>
      </w:r>
      <w:r>
        <w:t>It requires many estimated relationships and future parameter assumptions, and the presentation notes that fundamental models do not necessarily outperform simpler market-based models.</w:t>
      </w:r>
    </w:p>
    <w:p>
      <w:pPr>
        <w:pStyle w:val="Heading1"/>
      </w:pPr>
      <w:r>
        <w:t>60. Technical Approach</w:t>
      </w:r>
    </w:p>
    <w:p>
      <w:r>
        <w:t>Technical analysis searches for patterns in past exchange-rate behavior. It is based on the premise that historical patterns may contain information about future movements. The presentation notes that this is in tension with the Efficient Markets Hypothesis because technical analysis assumes exploitable historical patterns exist.</w:t>
      </w:r>
    </w:p>
    <w:p>
      <w:r>
        <w:rPr>
          <w:b/>
          <w:color w:val="1F4E79"/>
        </w:rPr>
        <w:t xml:space="preserve">Question: </w:t>
      </w:r>
      <w:r>
        <w:t>Differentiate fundamental and technical forecasting.</w:t>
      </w:r>
    </w:p>
    <w:p>
      <w:pPr>
        <w:pStyle w:val="Answer"/>
      </w:pPr>
      <w:r>
        <w:rPr>
          <w:b/>
        </w:rPr>
        <w:t xml:space="preserve">Answer: </w:t>
      </w:r>
      <w:r>
        <w:t>Fundamental forecasting uses economic variables and models; technical forecasting studies historical exchange-rate patterns and trends.</w:t>
      </w:r>
    </w:p>
    <w:p>
      <w:pPr>
        <w:pStyle w:val="Heading1"/>
      </w:pPr>
      <w:r>
        <w:t>61. Performance of Forecasters</w:t>
      </w:r>
    </w:p>
    <w:p>
      <w:r>
        <w:t>The presentation emphasizes that exchange-rate forecasting is difficult and states that, as a group, forecasters have not consistently done better than the forward rate. The exam takeaway is not that forecasting is impossible, but that sustained forecasting superiority is difficult.</w:t>
      </w:r>
    </w:p>
    <w:p>
      <w:r>
        <w:rPr>
          <w:b/>
          <w:color w:val="1F4E79"/>
        </w:rPr>
        <w:t xml:space="preserve">Question: </w:t>
      </w:r>
      <w:r>
        <w:t>What is the presentation's conclusion about exchange-rate forecasting?</w:t>
      </w:r>
    </w:p>
    <w:p>
      <w:pPr>
        <w:pStyle w:val="Answer"/>
      </w:pPr>
      <w:r>
        <w:rPr>
          <w:b/>
        </w:rPr>
        <w:t xml:space="preserve">Answer: </w:t>
      </w:r>
      <w:r>
        <w:t>Forecasting is difficult, and the presentation says forecasters as a group cannot systematically outperform the forward-rate benchmark.</w:t>
      </w:r>
    </w:p>
    <w:p>
      <w:r>
        <w:br w:type="page"/>
      </w:r>
    </w:p>
    <w:p>
      <w:pPr>
        <w:pStyle w:val="Title"/>
      </w:pPr>
      <w:r>
        <w:t>PART IV - COMPLETE EXAM QUESTION BANK WITH MODEL ANSWERS</w:t>
      </w:r>
    </w:p>
    <w:p>
      <w:r>
        <w:t>These questions are built directly from the topics and discussion prompts in the three presentations. Answers are written in an exam-ready form and can be shortened for 3-5 mark questions or expanded for 8-10 mark questions.</w:t>
      </w:r>
    </w:p>
    <w:p>
      <w:r>
        <w:rPr>
          <w:b/>
          <w:color w:val="1F4E79"/>
        </w:rPr>
        <w:t xml:space="preserve">Question: </w:t>
      </w:r>
      <w:r>
        <w:t>Q1. Define International Business.</w:t>
      </w:r>
    </w:p>
    <w:p>
      <w:pPr>
        <w:pStyle w:val="Answer"/>
      </w:pPr>
      <w:r>
        <w:rPr>
          <w:b/>
        </w:rPr>
        <w:t xml:space="preserve">Answer: </w:t>
      </w:r>
      <w:r>
        <w:t>International business is business activity that crosses national boundaries and includes trade, investment, technology, movement of people, contracts and managerial coordination.</w:t>
      </w:r>
    </w:p>
    <w:p>
      <w:r>
        <w:rPr>
          <w:b/>
          <w:color w:val="1F4E79"/>
        </w:rPr>
        <w:t xml:space="preserve">Question: </w:t>
      </w:r>
      <w:r>
        <w:t>Q2. Explain six characteristics of International Business.</w:t>
      </w:r>
    </w:p>
    <w:p>
      <w:pPr>
        <w:pStyle w:val="Answer"/>
      </w:pPr>
      <w:r>
        <w:rPr>
          <w:b/>
        </w:rPr>
        <w:t xml:space="preserve">Answer: </w:t>
      </w:r>
      <w:r>
        <w:t>IB is complex, dynamic, cross-cultural, risk-bearing, integrated and opportunity-seeking. Explain each with one line: many interacting forces; changing conditions; cultural differences; FX/political/supply-chain risks; interdependent functions; search for markets/resources/efficiency/learning.</w:t>
      </w:r>
    </w:p>
    <w:p>
      <w:r>
        <w:rPr>
          <w:b/>
          <w:color w:val="1F4E79"/>
        </w:rPr>
        <w:t xml:space="preserve">Question: </w:t>
      </w:r>
      <w:r>
        <w:t>Q3. Explain the scope of International Business.</w:t>
      </w:r>
    </w:p>
    <w:p>
      <w:pPr>
        <w:pStyle w:val="Answer"/>
      </w:pPr>
      <w:r>
        <w:rPr>
          <w:b/>
        </w:rPr>
        <w:t xml:space="preserve">Answer: </w:t>
      </w:r>
      <w:r>
        <w:t>The presentation covers trade, market expansion, licensing/franchising, global supply chains, international finance, and people/technology transfer.</w:t>
      </w:r>
    </w:p>
    <w:p>
      <w:r>
        <w:rPr>
          <w:b/>
          <w:color w:val="1F4E79"/>
        </w:rPr>
        <w:t xml:space="preserve">Question: </w:t>
      </w:r>
      <w:r>
        <w:t>Q4. Distinguish domestic and international business.</w:t>
      </w:r>
    </w:p>
    <w:p>
      <w:pPr>
        <w:pStyle w:val="Answer"/>
      </w:pPr>
      <w:r>
        <w:rPr>
          <w:b/>
        </w:rPr>
        <w:t xml:space="preserve">Answer: </w:t>
      </w:r>
      <w:r>
        <w:t>Use geography, culture/language, legal environment, currency, trade barriers/documentation, risk and managerial complexity. International business involves multiple national environments and therefore adds cross-border institutional and financial complexity.</w:t>
      </w:r>
    </w:p>
    <w:p>
      <w:r>
        <w:rPr>
          <w:b/>
          <w:color w:val="1F4E79"/>
        </w:rPr>
        <w:t xml:space="preserve">Question: </w:t>
      </w:r>
      <w:r>
        <w:t>Q5. Explain why firms internationalize.</w:t>
      </w:r>
    </w:p>
    <w:p>
      <w:pPr>
        <w:pStyle w:val="Answer"/>
      </w:pPr>
      <w:r>
        <w:rPr>
          <w:b/>
        </w:rPr>
        <w:t xml:space="preserve">Answer: </w:t>
      </w:r>
      <w:r>
        <w:t>Higher profits, excess capacity, home-market competition, limited home market, resources/capabilities, and strategic learning.</w:t>
      </w:r>
    </w:p>
    <w:p>
      <w:r>
        <w:rPr>
          <w:b/>
          <w:color w:val="1F4E79"/>
        </w:rPr>
        <w:t xml:space="preserve">Question: </w:t>
      </w:r>
      <w:r>
        <w:t>Q6. Explain stages of internationalization.</w:t>
      </w:r>
    </w:p>
    <w:p>
      <w:pPr>
        <w:pStyle w:val="Answer"/>
      </w:pPr>
      <w:r>
        <w:rPr>
          <w:b/>
        </w:rPr>
        <w:t xml:space="preserve">Answer: </w:t>
      </w:r>
      <w:r>
        <w:t>Domestic -&gt; export -&gt; market presence -&gt; foreign operations -&gt; integrated global firm. Commitment and control generally increase, but internationalization may accelerate, pause, reverse or redesign.</w:t>
      </w:r>
    </w:p>
    <w:p>
      <w:r>
        <w:rPr>
          <w:b/>
          <w:color w:val="1F4E79"/>
        </w:rPr>
        <w:t xml:space="preserve">Question: </w:t>
      </w:r>
      <w:r>
        <w:t>Q7. Explain EPRG.</w:t>
      </w:r>
    </w:p>
    <w:p>
      <w:pPr>
        <w:pStyle w:val="Answer"/>
      </w:pPr>
      <w:r>
        <w:rPr>
          <w:b/>
        </w:rPr>
        <w:t xml:space="preserve">Answer: </w:t>
      </w:r>
      <w:r>
        <w:t>Ethnocentric = home-country logic; Polycentric = country-level autonomy; Regiocentric = regional strategy; Geocentric = globally integrated talent/market system.</w:t>
      </w:r>
    </w:p>
    <w:p>
      <w:r>
        <w:rPr>
          <w:b/>
          <w:color w:val="1F4E79"/>
        </w:rPr>
        <w:t xml:space="preserve">Question: </w:t>
      </w:r>
      <w:r>
        <w:t>Q8. Explain MNC and the coordination problem.</w:t>
      </w:r>
    </w:p>
    <w:p>
      <w:pPr>
        <w:pStyle w:val="Answer"/>
      </w:pPr>
      <w:r>
        <w:rPr>
          <w:b/>
        </w:rPr>
        <w:t xml:space="preserve">Answer: </w:t>
      </w:r>
      <w:r>
        <w:t>An MNC operates in multiple countries and coordinates geographically dispersed activities. Its central management challenge is balancing global coordination with local responsiveness.</w:t>
      </w:r>
    </w:p>
    <w:p>
      <w:r>
        <w:rPr>
          <w:b/>
          <w:color w:val="1F4E79"/>
        </w:rPr>
        <w:t xml:space="preserve">Question: </w:t>
      </w:r>
      <w:r>
        <w:t>Q9. What are the six major IB risks in the presentation?</w:t>
      </w:r>
    </w:p>
    <w:p>
      <w:pPr>
        <w:pStyle w:val="Answer"/>
      </w:pPr>
      <w:r>
        <w:rPr>
          <w:b/>
        </w:rPr>
        <w:t xml:space="preserve">Answer: </w:t>
      </w:r>
      <w:r>
        <w:t>Economic, political, currency, supply-chain, geopolitical and reputation risk.</w:t>
      </w:r>
    </w:p>
    <w:p>
      <w:r>
        <w:rPr>
          <w:b/>
          <w:color w:val="1F4E79"/>
        </w:rPr>
        <w:t xml:space="preserve">Question: </w:t>
      </w:r>
      <w:r>
        <w:t>Q10. Explain the role of culture in IB.</w:t>
      </w:r>
    </w:p>
    <w:p>
      <w:pPr>
        <w:pStyle w:val="Answer"/>
      </w:pPr>
      <w:r>
        <w:rPr>
          <w:b/>
        </w:rPr>
        <w:t xml:space="preserve">Answer: </w:t>
      </w:r>
      <w:r>
        <w:t>Culture affects customer value, communication, employee behavior, negotiation, hierarchy, trust and formality. Managers must avoid assuming that home-market practices are universal.</w:t>
      </w:r>
    </w:p>
    <w:p>
      <w:r>
        <w:rPr>
          <w:b/>
          <w:color w:val="1F4E79"/>
        </w:rPr>
        <w:t xml:space="preserve">Question: </w:t>
      </w:r>
      <w:r>
        <w:t>Q11. Define spot exchange rate.</w:t>
      </w:r>
    </w:p>
    <w:p>
      <w:pPr>
        <w:pStyle w:val="Answer"/>
      </w:pPr>
      <w:r>
        <w:rPr>
          <w:b/>
        </w:rPr>
        <w:t xml:space="preserve">Answer: </w:t>
      </w:r>
      <w:r>
        <w:t>The spot exchange rate is the current exchange rate used for spot currency transactions.</w:t>
      </w:r>
    </w:p>
    <w:p>
      <w:r>
        <w:rPr>
          <w:b/>
          <w:color w:val="1F4E79"/>
        </w:rPr>
        <w:t xml:space="preserve">Question: </w:t>
      </w:r>
      <w:r>
        <w:t>Q12. Differentiate direct and indirect quotations.</w:t>
      </w:r>
    </w:p>
    <w:p>
      <w:pPr>
        <w:pStyle w:val="Answer"/>
      </w:pPr>
      <w:r>
        <w:rPr>
          <w:b/>
        </w:rPr>
        <w:t xml:space="preserve">Answer: </w:t>
      </w:r>
      <w:r>
        <w:t>Direct quote = domestic-currency value of one unit of foreign currency. Indirect quote = foreign-currency value of one unit of domestic currency.</w:t>
      </w:r>
    </w:p>
    <w:p>
      <w:r>
        <w:rPr>
          <w:b/>
          <w:color w:val="1F4E79"/>
        </w:rPr>
        <w:t xml:space="preserve">Question: </w:t>
      </w:r>
      <w:r>
        <w:t>Q13. What are bid and ask rates?</w:t>
      </w:r>
    </w:p>
    <w:p>
      <w:pPr>
        <w:pStyle w:val="Answer"/>
      </w:pPr>
      <w:r>
        <w:rPr>
          <w:b/>
        </w:rPr>
        <w:t xml:space="preserve">Answer: </w:t>
      </w:r>
      <w:r>
        <w:t>Bid is the dealer purchase price; ask is the dealer selling price. Spread = ask - bid.</w:t>
      </w:r>
    </w:p>
    <w:p>
      <w:r>
        <w:rPr>
          <w:b/>
          <w:color w:val="1F4E79"/>
        </w:rPr>
        <w:t xml:space="preserve">Question: </w:t>
      </w:r>
      <w:r>
        <w:t>Q14. Explain cross exchange rates.</w:t>
      </w:r>
    </w:p>
    <w:p>
      <w:pPr>
        <w:pStyle w:val="Answer"/>
      </w:pPr>
      <w:r>
        <w:rPr>
          <w:b/>
        </w:rPr>
        <w:t xml:space="preserve">Answer: </w:t>
      </w:r>
      <w:r>
        <w:t>A cross rate is a rate between two currencies derived from exchange rates involving a third currency; solve it by cancelling units.</w:t>
      </w:r>
    </w:p>
    <w:p>
      <w:r>
        <w:rPr>
          <w:b/>
          <w:color w:val="1F4E79"/>
        </w:rPr>
        <w:t xml:space="preserve">Question: </w:t>
      </w:r>
      <w:r>
        <w:t>Q15. Explain triangular arbitrage.</w:t>
      </w:r>
    </w:p>
    <w:p>
      <w:pPr>
        <w:pStyle w:val="Answer"/>
      </w:pPr>
      <w:r>
        <w:rPr>
          <w:b/>
        </w:rPr>
        <w:t xml:space="preserve">Answer: </w:t>
      </w:r>
      <w:r>
        <w:t>When three exchange rates are inconsistent, a trader can exchange A -&gt; B -&gt; C -&gt; A and end with more A. The profit exists because the implied cross rate differs from the quoted rate.</w:t>
      </w:r>
    </w:p>
    <w:p>
      <w:r>
        <w:rPr>
          <w:b/>
          <w:color w:val="1F4E79"/>
        </w:rPr>
        <w:t xml:space="preserve">Question: </w:t>
      </w:r>
      <w:r>
        <w:t>Q16. Define a forward contract.</w:t>
      </w:r>
    </w:p>
    <w:p>
      <w:pPr>
        <w:pStyle w:val="Answer"/>
      </w:pPr>
      <w:r>
        <w:rPr>
          <w:b/>
        </w:rPr>
        <w:t xml:space="preserve">Answer: </w:t>
      </w:r>
      <w:r>
        <w:t>An agreement made today to buy or sell an asset/currency at a future date at a price agreed today.</w:t>
      </w:r>
    </w:p>
    <w:p>
      <w:r>
        <w:rPr>
          <w:b/>
          <w:color w:val="1F4E79"/>
        </w:rPr>
        <w:t xml:space="preserve">Question: </w:t>
      </w:r>
      <w:r>
        <w:t>Q17. Differentiate long and short forward positions.</w:t>
      </w:r>
    </w:p>
    <w:p>
      <w:pPr>
        <w:pStyle w:val="Answer"/>
      </w:pPr>
      <w:r>
        <w:rPr>
          <w:b/>
        </w:rPr>
        <w:t xml:space="preserve">Answer: </w:t>
      </w:r>
      <w:r>
        <w:t>Long = agree to buy the currency in the future. Short = agree to sell it in the future.</w:t>
      </w:r>
    </w:p>
    <w:p>
      <w:r>
        <w:rPr>
          <w:b/>
          <w:color w:val="1F4E79"/>
        </w:rPr>
        <w:t xml:space="preserve">Question: </w:t>
      </w:r>
      <w:r>
        <w:t>Q18. Explain forward premium/discount.</w:t>
      </w:r>
    </w:p>
    <w:p>
      <w:pPr>
        <w:pStyle w:val="Answer"/>
      </w:pPr>
      <w:r>
        <w:rPr>
          <w:b/>
        </w:rPr>
        <w:t xml:space="preserve">Answer: </w:t>
      </w:r>
      <w:r>
        <w:t>It measures the percentage difference between forward and spot rates, commonly annualized: ((F-S)/S) x (360/n).</w:t>
      </w:r>
    </w:p>
    <w:p>
      <w:r>
        <w:rPr>
          <w:b/>
          <w:color w:val="1F4E79"/>
        </w:rPr>
        <w:t xml:space="preserve">Question: </w:t>
      </w:r>
      <w:r>
        <w:t>Q19. Explain forward cross rates.</w:t>
      </w:r>
    </w:p>
    <w:p>
      <w:pPr>
        <w:pStyle w:val="Answer"/>
      </w:pPr>
      <w:r>
        <w:rPr>
          <w:b/>
        </w:rPr>
        <w:t xml:space="preserve">Answer: </w:t>
      </w:r>
      <w:r>
        <w:t>They are cross rates calculated using forward quotations of the same maturity.</w:t>
      </w:r>
    </w:p>
    <w:p>
      <w:r>
        <w:rPr>
          <w:b/>
          <w:color w:val="1F4E79"/>
        </w:rPr>
        <w:t xml:space="preserve">Question: </w:t>
      </w:r>
      <w:r>
        <w:t>Q20. What is an FX swap?</w:t>
      </w:r>
    </w:p>
    <w:p>
      <w:pPr>
        <w:pStyle w:val="Answer"/>
      </w:pPr>
      <w:r>
        <w:rPr>
          <w:b/>
        </w:rPr>
        <w:t xml:space="preserve">Answer: </w:t>
      </w:r>
      <w:r>
        <w:t>An FX swap is an arrangement involving exchange of currencies and a future reverse/related exchange, commonly used for funding and currency management.</w:t>
      </w:r>
    </w:p>
    <w:p>
      <w:r>
        <w:rPr>
          <w:b/>
          <w:color w:val="1F4E79"/>
        </w:rPr>
        <w:t xml:space="preserve">Question: </w:t>
      </w:r>
      <w:r>
        <w:t>Q21. Define IRP.</w:t>
      </w:r>
    </w:p>
    <w:p>
      <w:pPr>
        <w:pStyle w:val="Answer"/>
      </w:pPr>
      <w:r>
        <w:rPr>
          <w:b/>
        </w:rPr>
        <w:t xml:space="preserve">Answer: </w:t>
      </w:r>
      <w:r>
        <w:t>Interest Rate Parity is the no-arbitrage condition under which covered returns on equivalent domestic and foreign investments are equal.</w:t>
      </w:r>
    </w:p>
    <w:p>
      <w:r>
        <w:rPr>
          <w:b/>
          <w:color w:val="1F4E79"/>
        </w:rPr>
        <w:t xml:space="preserve">Question: </w:t>
      </w:r>
      <w:r>
        <w:t>Q22. Derive the IRP equation.</w:t>
      </w:r>
    </w:p>
    <w:p>
      <w:pPr>
        <w:pStyle w:val="Answer"/>
      </w:pPr>
      <w:r>
        <w:rPr>
          <w:b/>
        </w:rPr>
        <w:t xml:space="preserve">Answer: </w:t>
      </w:r>
      <w:r>
        <w:t>Compare domestic future value 1+i_D with the foreign investment converted at spot, invested at i_F, and converted back using F. This gives F/S=(1+i_D)/(1+i_F).</w:t>
      </w:r>
    </w:p>
    <w:p>
      <w:r>
        <w:rPr>
          <w:b/>
          <w:color w:val="1F4E79"/>
        </w:rPr>
        <w:t xml:space="preserve">Question: </w:t>
      </w:r>
      <w:r>
        <w:t>Q23. Explain covered interest arbitrage.</w:t>
      </w:r>
    </w:p>
    <w:p>
      <w:pPr>
        <w:pStyle w:val="Answer"/>
      </w:pPr>
      <w:r>
        <w:rPr>
          <w:b/>
        </w:rPr>
        <w:t xml:space="preserve">Answer: </w:t>
      </w:r>
      <w:r>
        <w:t>Borrow in the currency where the covered route is cheaper, convert, invest in the other currency and lock the future conversion with a forward contract; the profit is the excess after repayment.</w:t>
      </w:r>
    </w:p>
    <w:p>
      <w:r>
        <w:rPr>
          <w:b/>
          <w:color w:val="1F4E79"/>
        </w:rPr>
        <w:t xml:space="preserve">Question: </w:t>
      </w:r>
      <w:r>
        <w:t>Q24. Why can IRP deviations persist?</w:t>
      </w:r>
    </w:p>
    <w:p>
      <w:pPr>
        <w:pStyle w:val="Answer"/>
      </w:pPr>
      <w:r>
        <w:rPr>
          <w:b/>
        </w:rPr>
        <w:t xml:space="preserve">Answer: </w:t>
      </w:r>
      <w:r>
        <w:t>Transaction costs, different borrowing/lending rates, bid-ask spreads and capital controls can eliminate an apparent arbitrage advantage.</w:t>
      </w:r>
    </w:p>
    <w:p>
      <w:r>
        <w:rPr>
          <w:b/>
          <w:color w:val="1F4E79"/>
        </w:rPr>
        <w:t xml:space="preserve">Question: </w:t>
      </w:r>
      <w:r>
        <w:t>Q25. Explain a forward market hedge.</w:t>
      </w:r>
    </w:p>
    <w:p>
      <w:pPr>
        <w:pStyle w:val="Answer"/>
      </w:pPr>
      <w:r>
        <w:rPr>
          <w:b/>
        </w:rPr>
        <w:t xml:space="preserve">Answer: </w:t>
      </w:r>
      <w:r>
        <w:t>A firm creates the foreign-currency amount it will need in the future by borrowing domestic funds, converting them to foreign currency, investing abroad and using the future foreign-currency balance to pay the liability.</w:t>
      </w:r>
    </w:p>
    <w:p>
      <w:r>
        <w:rPr>
          <w:b/>
          <w:color w:val="1F4E79"/>
        </w:rPr>
        <w:t xml:space="preserve">Question: </w:t>
      </w:r>
      <w:r>
        <w:t>Q26. Define PPP.</w:t>
      </w:r>
    </w:p>
    <w:p>
      <w:pPr>
        <w:pStyle w:val="Answer"/>
      </w:pPr>
      <w:r>
        <w:rPr>
          <w:b/>
        </w:rPr>
        <w:t xml:space="preserve">Answer: </w:t>
      </w:r>
      <w:r>
        <w:t>Purchasing Power Parity states that exchange rates should reflect relative price levels, with relative PPP linking exchange-rate changes to inflation differentials.</w:t>
      </w:r>
    </w:p>
    <w:p>
      <w:r>
        <w:rPr>
          <w:b/>
          <w:color w:val="1F4E79"/>
        </w:rPr>
        <w:t xml:space="preserve">Question: </w:t>
      </w:r>
      <w:r>
        <w:t>Q27. Why does PPP not hold exactly?</w:t>
      </w:r>
    </w:p>
    <w:p>
      <w:pPr>
        <w:pStyle w:val="Answer"/>
      </w:pPr>
      <w:r>
        <w:rPr>
          <w:b/>
        </w:rPr>
        <w:t xml:space="preserve">Answer: </w:t>
      </w:r>
      <w:r>
        <w:t>Non-traded goods, transport costs, tariffs, quotas and other market frictions prevent perfect price equalization.</w:t>
      </w:r>
    </w:p>
    <w:p>
      <w:r>
        <w:rPr>
          <w:b/>
          <w:color w:val="1F4E79"/>
        </w:rPr>
        <w:t xml:space="preserve">Question: </w:t>
      </w:r>
      <w:r>
        <w:t>Q28. Explain the real exchange rate.</w:t>
      </w:r>
    </w:p>
    <w:p>
      <w:pPr>
        <w:pStyle w:val="Answer"/>
      </w:pPr>
      <w:r>
        <w:rPr>
          <w:b/>
        </w:rPr>
        <w:t xml:space="preserve">Answer: </w:t>
      </w:r>
      <w:r>
        <w:t>It combines the nominal exchange rate with relative price levels and measures the relative price of foreign goods after adjusting for the price levels in the two countries.</w:t>
      </w:r>
    </w:p>
    <w:p>
      <w:r>
        <w:rPr>
          <w:b/>
          <w:color w:val="1F4E79"/>
        </w:rPr>
        <w:t xml:space="preserve">Question: </w:t>
      </w:r>
      <w:r>
        <w:t>Q29. Explain Fisher effect.</w:t>
      </w:r>
    </w:p>
    <w:p>
      <w:pPr>
        <w:pStyle w:val="Answer"/>
      </w:pPr>
      <w:r>
        <w:rPr>
          <w:b/>
        </w:rPr>
        <w:t xml:space="preserve">Answer: </w:t>
      </w:r>
      <w:r>
        <w:t>Nominal interest rates incorporate the expected real rate and expected inflation: 1+i=(1+rho)E(1+pi), approximately i=rho+E(pi).</w:t>
      </w:r>
    </w:p>
    <w:p>
      <w:r>
        <w:rPr>
          <w:b/>
          <w:color w:val="1F4E79"/>
        </w:rPr>
        <w:t xml:space="preserve">Question: </w:t>
      </w:r>
      <w:r>
        <w:t>Q30. Explain IFE.</w:t>
      </w:r>
    </w:p>
    <w:p>
      <w:pPr>
        <w:pStyle w:val="Answer"/>
      </w:pPr>
      <w:r>
        <w:rPr>
          <w:b/>
        </w:rPr>
        <w:t xml:space="preserve">Answer: </w:t>
      </w:r>
      <w:r>
        <w:t>If Fisher effects hold and real interest rates are equal across countries, nominal interest differentials reflect expected inflation differentials and imply expected exchange-rate changes.</w:t>
      </w:r>
    </w:p>
    <w:p>
      <w:r>
        <w:rPr>
          <w:b/>
          <w:color w:val="1F4E79"/>
        </w:rPr>
        <w:t xml:space="preserve">Question: </w:t>
      </w:r>
      <w:r>
        <w:t>Q31. Compare exchange-rate forecasting approaches.</w:t>
      </w:r>
    </w:p>
    <w:p>
      <w:pPr>
        <w:pStyle w:val="Answer"/>
      </w:pPr>
      <w:r>
        <w:rPr>
          <w:b/>
        </w:rPr>
        <w:t xml:space="preserve">Answer: </w:t>
      </w:r>
      <w:r>
        <w:t>Efficient market: prices reflect available information. Fundamental: econometric models using economic variables. Technical: patterns in historical exchange rates.</w:t>
      </w:r>
    </w:p>
    <w:p>
      <w:r>
        <w:rPr>
          <w:b/>
          <w:color w:val="1F4E79"/>
        </w:rPr>
        <w:t xml:space="preserve">Question: </w:t>
      </w:r>
      <w:r>
        <w:t>Q32. What does the presentation say about forecasting performance?</w:t>
      </w:r>
    </w:p>
    <w:p>
      <w:pPr>
        <w:pStyle w:val="Answer"/>
      </w:pPr>
      <w:r>
        <w:rPr>
          <w:b/>
        </w:rPr>
        <w:t xml:space="preserve">Answer: </w:t>
      </w:r>
      <w:r>
        <w:t>Forecasting is difficult; the presentation states that forecasters as a group have not consistently outperformed the forward-rate benchmark.</w:t>
      </w:r>
    </w:p>
    <w:p>
      <w:pPr>
        <w:pStyle w:val="Heading1"/>
      </w:pPr>
      <w:r>
        <w:t>63. Solved Numerical Drill Set</w:t>
      </w:r>
    </w:p>
    <w:p>
      <w:pPr>
        <w:pStyle w:val="Heading2"/>
      </w:pPr>
      <w:r>
        <w:t>Numerical 1 - Direct and Indirect Quote</w:t>
      </w:r>
    </w:p>
    <w:p>
      <w:r>
        <w:t>Given direct quote USD1.20/EUR. Find the indirect quote.</w:t>
      </w:r>
    </w:p>
    <w:p>
      <w:pPr>
        <w:pStyle w:val="Formula"/>
        <w:jc w:val="center"/>
      </w:pPr>
      <w:r>
        <w:rPr>
          <w:b/>
        </w:rPr>
        <w:t>Indirect = 1 / 1.20 = EUR 0.8333/USD</w:t>
      </w:r>
    </w:p>
    <w:p>
      <w:pPr>
        <w:pStyle w:val="Heading2"/>
      </w:pPr>
      <w:r>
        <w:t>Numerical 2 - Bid and Ask</w:t>
      </w:r>
    </w:p>
    <w:p>
      <w:r>
        <w:t>Dealer quote: USD1.30-1.32/EUR. You need EUR25,000.</w:t>
      </w:r>
    </w:p>
    <w:p>
      <w:pPr>
        <w:pStyle w:val="Formula"/>
        <w:jc w:val="center"/>
      </w:pPr>
      <w:r>
        <w:rPr>
          <w:b/>
        </w:rPr>
        <w:t>Cost = 25,000 x 1.32 = USD33,000</w:t>
      </w:r>
    </w:p>
    <w:p>
      <w:r>
        <w:t>If instead you sell EUR25,000, the dealer pays:</w:t>
      </w:r>
    </w:p>
    <w:p>
      <w:pPr>
        <w:pStyle w:val="Formula"/>
        <w:jc w:val="center"/>
      </w:pPr>
      <w:r>
        <w:rPr>
          <w:b/>
        </w:rPr>
        <w:t>Receipt = 25,000 x 1.30 = USD32,500</w:t>
      </w:r>
    </w:p>
    <w:p>
      <w:pPr>
        <w:pStyle w:val="Heading2"/>
      </w:pPr>
      <w:r>
        <w:t>Numerical 3 - Cross Rate</w:t>
      </w:r>
    </w:p>
    <w:p>
      <w:r>
        <w:t>S(USD/GBP)=1.40 and S(JPY/GBP)=140. Find USD/JPY.</w:t>
      </w:r>
    </w:p>
    <w:p>
      <w:pPr>
        <w:pStyle w:val="Formula"/>
        <w:jc w:val="center"/>
      </w:pPr>
      <w:r>
        <w:rPr>
          <w:b/>
        </w:rPr>
        <w:t>USD/JPY = 1.40 / 140 = USD0.01/JPY</w:t>
      </w:r>
    </w:p>
    <w:p>
      <w:pPr>
        <w:pStyle w:val="Formula"/>
        <w:jc w:val="center"/>
      </w:pPr>
      <w:r>
        <w:rPr>
          <w:b/>
        </w:rPr>
        <w:t>Equivalent quotation = JPY100/USD</w:t>
      </w:r>
    </w:p>
    <w:p>
      <w:pPr>
        <w:pStyle w:val="Heading2"/>
      </w:pPr>
      <w:r>
        <w:t>Numerical 4 - Triangular Arbitrage</w:t>
      </w:r>
    </w:p>
    <w:p>
      <w:r>
        <w:t>S(GBP/USD)=1.50, S(JPY/GBP)=80, S(JPY/USD)=100. Start with USD10,000.</w:t>
      </w:r>
    </w:p>
    <w:p>
      <w:pPr>
        <w:pStyle w:val="Formula"/>
        <w:jc w:val="center"/>
      </w:pPr>
      <w:r>
        <w:rPr>
          <w:b/>
        </w:rPr>
        <w:t>USD10,000 -&gt; GBP15,000 -&gt; JPY1,200,000 -&gt; USD12,000</w:t>
      </w:r>
    </w:p>
    <w:p>
      <w:pPr>
        <w:pStyle w:val="Formula"/>
        <w:jc w:val="center"/>
      </w:pPr>
      <w:r>
        <w:rPr>
          <w:b/>
        </w:rPr>
        <w:t>Profit = USD2,000</w:t>
      </w:r>
    </w:p>
    <w:p>
      <w:pPr>
        <w:pStyle w:val="Heading2"/>
      </w:pPr>
      <w:r>
        <w:t>Numerical 5 - Forward Premium</w:t>
      </w:r>
    </w:p>
    <w:p>
      <w:r>
        <w:t>S=1.40, F90=1.42.</w:t>
      </w:r>
    </w:p>
    <w:p>
      <w:pPr>
        <w:pStyle w:val="Formula"/>
        <w:jc w:val="center"/>
      </w:pPr>
      <w:r>
        <w:rPr>
          <w:b/>
        </w:rPr>
        <w:t>[(1.42-1.40)/1.40] x (360/90) = 5.714% annualized</w:t>
      </w:r>
    </w:p>
    <w:p>
      <w:pPr>
        <w:pStyle w:val="Heading2"/>
      </w:pPr>
      <w:r>
        <w:t>Numerical 6 - Long Forward</w:t>
      </w:r>
    </w:p>
    <w:p>
      <w:r>
        <w:t>Long EUR500,000 at F=1.08. If S_T=1.12:</w:t>
      </w:r>
    </w:p>
    <w:p>
      <w:pPr>
        <w:pStyle w:val="Formula"/>
        <w:jc w:val="center"/>
      </w:pPr>
      <w:r>
        <w:rPr>
          <w:b/>
        </w:rPr>
        <w:t>Profit = 500,000 x (1.12-1.08) = USD20,000</w:t>
      </w:r>
    </w:p>
    <w:p>
      <w:r>
        <w:t>If S_T=1.05:</w:t>
      </w:r>
    </w:p>
    <w:p>
      <w:pPr>
        <w:pStyle w:val="Formula"/>
        <w:jc w:val="center"/>
      </w:pPr>
      <w:r>
        <w:rPr>
          <w:b/>
        </w:rPr>
        <w:t>Profit = 500,000 x (1.05-1.08) = -USD15,000</w:t>
      </w:r>
    </w:p>
    <w:p>
      <w:pPr>
        <w:pStyle w:val="Heading2"/>
      </w:pPr>
      <w:r>
        <w:t>Numerical 7 - IRP</w:t>
      </w:r>
    </w:p>
    <w:p>
      <w:r>
        <w:t>S=1.25, i_US=6%, i_GB=8%.</w:t>
      </w:r>
    </w:p>
    <w:p>
      <w:pPr>
        <w:pStyle w:val="Formula"/>
        <w:jc w:val="center"/>
      </w:pPr>
      <w:r>
        <w:rPr>
          <w:b/>
        </w:rPr>
        <w:t>F = 1.25 x 1.06 / 1.08 = USD1.22685/GBP</w:t>
      </w:r>
    </w:p>
    <w:p>
      <w:pPr>
        <w:pStyle w:val="Heading2"/>
      </w:pPr>
      <w:r>
        <w:t>Numerical 8 - PPP</w:t>
      </w:r>
    </w:p>
    <w:p>
      <w:r>
        <w:t>S0=1.30, pi_US=2%, pi_EU=5%.</w:t>
      </w:r>
    </w:p>
    <w:p>
      <w:pPr>
        <w:pStyle w:val="Formula"/>
        <w:jc w:val="center"/>
      </w:pPr>
      <w:r>
        <w:rPr>
          <w:b/>
        </w:rPr>
        <w:t>S1 = 1.30 x 1.02 / 1.05 = USD1.26286/EUR</w:t>
      </w:r>
    </w:p>
    <w:p>
      <w:pPr>
        <w:pStyle w:val="Heading2"/>
      </w:pPr>
      <w:r>
        <w:t>Numerical 9 - Fisher Effect</w:t>
      </w:r>
    </w:p>
    <w:p>
      <w:r>
        <w:t>Real rate 3%, expected inflation 6%.</w:t>
      </w:r>
    </w:p>
    <w:p>
      <w:pPr>
        <w:pStyle w:val="Formula"/>
        <w:jc w:val="center"/>
      </w:pPr>
      <w:r>
        <w:rPr>
          <w:b/>
        </w:rPr>
        <w:t>Exact i = 1.03 x 1.06 - 1 = 9.18%</w:t>
      </w:r>
    </w:p>
    <w:p>
      <w:pPr>
        <w:pStyle w:val="Formula"/>
        <w:jc w:val="center"/>
      </w:pPr>
      <w:r>
        <w:rPr>
          <w:b/>
        </w:rPr>
        <w:t>Approximate i = 3% + 6% = 9%</w:t>
      </w:r>
    </w:p>
    <w:p>
      <w:pPr>
        <w:pStyle w:val="Heading2"/>
      </w:pPr>
      <w:r>
        <w:t>Numerical 10 - IFE</w:t>
      </w:r>
    </w:p>
    <w:p>
      <w:r>
        <w:t>US interest 9%, UK interest 5%.</w:t>
      </w:r>
    </w:p>
    <w:p>
      <w:pPr>
        <w:pStyle w:val="Formula"/>
        <w:jc w:val="center"/>
      </w:pPr>
      <w:r>
        <w:rPr>
          <w:b/>
        </w:rPr>
        <w:t>Approximate differential = 9% - 5% = 4%</w:t>
      </w:r>
    </w:p>
    <w:p>
      <w:r>
        <w:t>Interpret the currency direction only after checking the quotation convention.</w:t>
      </w:r>
    </w:p>
    <w:p>
      <w:r>
        <w:br w:type="page"/>
      </w:r>
    </w:p>
    <w:p>
      <w:pPr>
        <w:pStyle w:val="Heading1"/>
      </w:pPr>
      <w:r>
        <w:t>64. Numerical Solving Templates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tcMar>
              <w:top w:w="80" w:type="dxa"/>
              <w:start w:w="100" w:type="dxa"/>
              <w:bottom w:w="80" w:type="dxa"/>
              <w:end w:w="100" w:type="dxa"/>
            </w:tcMar>
            <w:vAlign w:val="center"/>
          </w:tcPr>
          <w:p>
            <w:pPr>
              <w:jc w:val="center"/>
            </w:pPr>
            <w:r>
              <w:rPr>
                <w:b/>
                <w:color w:val="FFFFFF"/>
              </w:rPr>
              <w:t>Problem type</w:t>
            </w:r>
          </w:p>
        </w:tc>
        <w:tc>
          <w:tcPr>
            <w:tcW w:type="dxa" w:w="5112"/>
            <w:shd w:fill="1F4E79"/>
            <w:tcMar>
              <w:top w:w="80" w:type="dxa"/>
              <w:start w:w="100" w:type="dxa"/>
              <w:bottom w:w="80" w:type="dxa"/>
              <w:end w:w="100" w:type="dxa"/>
            </w:tcMar>
            <w:vAlign w:val="center"/>
          </w:tcPr>
          <w:p>
            <w:pPr>
              <w:jc w:val="center"/>
            </w:pPr>
            <w:r>
              <w:rPr>
                <w:b/>
                <w:color w:val="FFFFFF"/>
              </w:rPr>
              <w:t>Step-by-step method</w:t>
            </w:r>
          </w:p>
        </w:tc>
      </w:tr>
      <w:tr>
        <w:tc>
          <w:tcPr>
            <w:tcW w:type="dxa" w:w="5112"/>
            <w:tcMar>
              <w:top w:w="80" w:type="dxa"/>
              <w:start w:w="100" w:type="dxa"/>
              <w:bottom w:w="80" w:type="dxa"/>
              <w:end w:w="100" w:type="dxa"/>
            </w:tcMar>
            <w:vAlign w:val="center"/>
          </w:tcPr>
          <w:p>
            <w:r>
              <w:t>Direct/indirect</w:t>
            </w:r>
          </w:p>
        </w:tc>
        <w:tc>
          <w:tcPr>
            <w:tcW w:type="dxa" w:w="5112"/>
            <w:tcMar>
              <w:top w:w="80" w:type="dxa"/>
              <w:start w:w="100" w:type="dxa"/>
              <w:bottom w:w="80" w:type="dxa"/>
              <w:end w:w="100" w:type="dxa"/>
            </w:tcMar>
            <w:vAlign w:val="center"/>
          </w:tcPr>
          <w:p>
            <w:r>
              <w:t>Write quote with units -&gt; take reciprocal if needed -&gt; state units.</w:t>
            </w:r>
          </w:p>
        </w:tc>
      </w:tr>
      <w:tr>
        <w:tc>
          <w:tcPr>
            <w:tcW w:type="dxa" w:w="5112"/>
            <w:tcMar>
              <w:top w:w="80" w:type="dxa"/>
              <w:start w:w="100" w:type="dxa"/>
              <w:bottom w:w="80" w:type="dxa"/>
              <w:end w:w="100" w:type="dxa"/>
            </w:tcMar>
            <w:vAlign w:val="center"/>
          </w:tcPr>
          <w:p>
            <w:r>
              <w:t>Bid/ask</w:t>
            </w:r>
          </w:p>
        </w:tc>
        <w:tc>
          <w:tcPr>
            <w:tcW w:type="dxa" w:w="5112"/>
            <w:tcMar>
              <w:top w:w="80" w:type="dxa"/>
              <w:start w:w="100" w:type="dxa"/>
              <w:bottom w:w="80" w:type="dxa"/>
              <w:end w:w="100" w:type="dxa"/>
            </w:tcMar>
            <w:vAlign w:val="center"/>
          </w:tcPr>
          <w:p>
            <w:r>
              <w:t>Buy foreign currency -&gt; ask; sell -&gt; bid; multiply by amount.</w:t>
            </w:r>
          </w:p>
        </w:tc>
      </w:tr>
      <w:tr>
        <w:tc>
          <w:tcPr>
            <w:tcW w:type="dxa" w:w="5112"/>
            <w:tcMar>
              <w:top w:w="80" w:type="dxa"/>
              <w:start w:w="100" w:type="dxa"/>
              <w:bottom w:w="80" w:type="dxa"/>
              <w:end w:w="100" w:type="dxa"/>
            </w:tcMar>
            <w:vAlign w:val="center"/>
          </w:tcPr>
          <w:p>
            <w:r>
              <w:t>Cross rate</w:t>
            </w:r>
          </w:p>
        </w:tc>
        <w:tc>
          <w:tcPr>
            <w:tcW w:type="dxa" w:w="5112"/>
            <w:tcMar>
              <w:top w:w="80" w:type="dxa"/>
              <w:start w:w="100" w:type="dxa"/>
              <w:bottom w:w="80" w:type="dxa"/>
              <w:end w:w="100" w:type="dxa"/>
            </w:tcMar>
            <w:vAlign w:val="center"/>
          </w:tcPr>
          <w:p>
            <w:r>
              <w:t>Write rates -&gt; cancel unwanted currency -&gt; verify units.</w:t>
            </w:r>
          </w:p>
        </w:tc>
      </w:tr>
      <w:tr>
        <w:tc>
          <w:tcPr>
            <w:tcW w:type="dxa" w:w="5112"/>
            <w:tcMar>
              <w:top w:w="80" w:type="dxa"/>
              <w:start w:w="100" w:type="dxa"/>
              <w:bottom w:w="80" w:type="dxa"/>
              <w:end w:w="100" w:type="dxa"/>
            </w:tcMar>
            <w:vAlign w:val="center"/>
          </w:tcPr>
          <w:p>
            <w:r>
              <w:t>Triangular arbitrage</w:t>
            </w:r>
          </w:p>
        </w:tc>
        <w:tc>
          <w:tcPr>
            <w:tcW w:type="dxa" w:w="5112"/>
            <w:tcMar>
              <w:top w:w="80" w:type="dxa"/>
              <w:start w:w="100" w:type="dxa"/>
              <w:bottom w:w="80" w:type="dxa"/>
              <w:end w:w="100" w:type="dxa"/>
            </w:tcMar>
            <w:vAlign w:val="center"/>
          </w:tcPr>
          <w:p>
            <w:r>
              <w:t>Find implied cross rate -&gt; choose loop -&gt; convert 3 times -&gt; compare final vs initial.</w:t>
            </w:r>
          </w:p>
        </w:tc>
      </w:tr>
      <w:tr>
        <w:tc>
          <w:tcPr>
            <w:tcW w:type="dxa" w:w="5112"/>
            <w:tcMar>
              <w:top w:w="80" w:type="dxa"/>
              <w:start w:w="100" w:type="dxa"/>
              <w:bottom w:w="80" w:type="dxa"/>
              <w:end w:w="100" w:type="dxa"/>
            </w:tcMar>
            <w:vAlign w:val="center"/>
          </w:tcPr>
          <w:p>
            <w:r>
              <w:t>Forward premium</w:t>
            </w:r>
          </w:p>
        </w:tc>
        <w:tc>
          <w:tcPr>
            <w:tcW w:type="dxa" w:w="5112"/>
            <w:tcMar>
              <w:top w:w="80" w:type="dxa"/>
              <w:start w:w="100" w:type="dxa"/>
              <w:bottom w:w="80" w:type="dxa"/>
              <w:end w:w="100" w:type="dxa"/>
            </w:tcMar>
            <w:vAlign w:val="center"/>
          </w:tcPr>
          <w:p>
            <w:r>
              <w:t>Use ((F-S)/S) x (360/n); + = premium, - = discount.</w:t>
            </w:r>
          </w:p>
        </w:tc>
      </w:tr>
      <w:tr>
        <w:tc>
          <w:tcPr>
            <w:tcW w:type="dxa" w:w="5112"/>
            <w:tcMar>
              <w:top w:w="80" w:type="dxa"/>
              <w:start w:w="100" w:type="dxa"/>
              <w:bottom w:w="80" w:type="dxa"/>
              <w:end w:w="100" w:type="dxa"/>
            </w:tcMar>
            <w:vAlign w:val="center"/>
          </w:tcPr>
          <w:p>
            <w:r>
              <w:t>Forward payoff</w:t>
            </w:r>
          </w:p>
        </w:tc>
        <w:tc>
          <w:tcPr>
            <w:tcW w:type="dxa" w:w="5112"/>
            <w:tcMar>
              <w:top w:w="80" w:type="dxa"/>
              <w:start w:w="100" w:type="dxa"/>
              <w:bottom w:w="80" w:type="dxa"/>
              <w:end w:w="100" w:type="dxa"/>
            </w:tcMar>
            <w:vAlign w:val="center"/>
          </w:tcPr>
          <w:p>
            <w:r>
              <w:t>Long: N(S_T-F); Short: N(F-S_T).</w:t>
            </w:r>
          </w:p>
        </w:tc>
      </w:tr>
      <w:tr>
        <w:tc>
          <w:tcPr>
            <w:tcW w:type="dxa" w:w="5112"/>
            <w:tcMar>
              <w:top w:w="80" w:type="dxa"/>
              <w:start w:w="100" w:type="dxa"/>
              <w:bottom w:w="80" w:type="dxa"/>
              <w:end w:w="100" w:type="dxa"/>
            </w:tcMar>
            <w:vAlign w:val="center"/>
          </w:tcPr>
          <w:p>
            <w:r>
              <w:t>IRP</w:t>
            </w:r>
          </w:p>
        </w:tc>
        <w:tc>
          <w:tcPr>
            <w:tcW w:type="dxa" w:w="5112"/>
            <w:tcMar>
              <w:top w:w="80" w:type="dxa"/>
              <w:start w:w="100" w:type="dxa"/>
              <w:bottom w:w="80" w:type="dxa"/>
              <w:end w:w="100" w:type="dxa"/>
            </w:tcMar>
            <w:vAlign w:val="center"/>
          </w:tcPr>
          <w:p>
            <w:r>
              <w:t>F = S(1+i_D)/(1+i_F) -&gt; check quote convention.</w:t>
            </w:r>
          </w:p>
        </w:tc>
      </w:tr>
      <w:tr>
        <w:tc>
          <w:tcPr>
            <w:tcW w:type="dxa" w:w="5112"/>
            <w:tcMar>
              <w:top w:w="80" w:type="dxa"/>
              <w:start w:w="100" w:type="dxa"/>
              <w:bottom w:w="80" w:type="dxa"/>
              <w:end w:w="100" w:type="dxa"/>
            </w:tcMar>
            <w:vAlign w:val="center"/>
          </w:tcPr>
          <w:p>
            <w:r>
              <w:t>PPP</w:t>
            </w:r>
          </w:p>
        </w:tc>
        <w:tc>
          <w:tcPr>
            <w:tcW w:type="dxa" w:w="5112"/>
            <w:tcMar>
              <w:top w:w="80" w:type="dxa"/>
              <w:start w:w="100" w:type="dxa"/>
              <w:bottom w:w="80" w:type="dxa"/>
              <w:end w:w="100" w:type="dxa"/>
            </w:tcMar>
            <w:vAlign w:val="center"/>
          </w:tcPr>
          <w:p>
            <w:r>
              <w:t>S1 = S0(1+pi_D)/(1+pi_F) -&gt; interpret change using the quote.</w:t>
            </w:r>
          </w:p>
        </w:tc>
      </w:tr>
      <w:tr>
        <w:tc>
          <w:tcPr>
            <w:tcW w:type="dxa" w:w="5112"/>
            <w:tcMar>
              <w:top w:w="80" w:type="dxa"/>
              <w:start w:w="100" w:type="dxa"/>
              <w:bottom w:w="80" w:type="dxa"/>
              <w:end w:w="100" w:type="dxa"/>
            </w:tcMar>
            <w:vAlign w:val="center"/>
          </w:tcPr>
          <w:p>
            <w:r>
              <w:t>Fisher</w:t>
            </w:r>
          </w:p>
        </w:tc>
        <w:tc>
          <w:tcPr>
            <w:tcW w:type="dxa" w:w="5112"/>
            <w:tcMar>
              <w:top w:w="80" w:type="dxa"/>
              <w:start w:w="100" w:type="dxa"/>
              <w:bottom w:w="80" w:type="dxa"/>
              <w:end w:w="100" w:type="dxa"/>
            </w:tcMar>
            <w:vAlign w:val="center"/>
          </w:tcPr>
          <w:p>
            <w:r>
              <w:t>Exact: 1+i=(1+rho)(1+Epi); approximate: i approx rho+Epi.</w:t>
            </w:r>
          </w:p>
        </w:tc>
      </w:tr>
      <w:tr>
        <w:tc>
          <w:tcPr>
            <w:tcW w:type="dxa" w:w="5112"/>
            <w:tcMar>
              <w:top w:w="80" w:type="dxa"/>
              <w:start w:w="100" w:type="dxa"/>
              <w:bottom w:w="80" w:type="dxa"/>
              <w:end w:w="100" w:type="dxa"/>
            </w:tcMar>
            <w:vAlign w:val="center"/>
          </w:tcPr>
          <w:p>
            <w:r>
              <w:t>IFE</w:t>
            </w:r>
          </w:p>
        </w:tc>
        <w:tc>
          <w:tcPr>
            <w:tcW w:type="dxa" w:w="5112"/>
            <w:tcMar>
              <w:top w:w="80" w:type="dxa"/>
              <w:start w:w="100" w:type="dxa"/>
              <w:bottom w:w="80" w:type="dxa"/>
              <w:end w:w="100" w:type="dxa"/>
            </w:tcMar>
            <w:vAlign w:val="center"/>
          </w:tcPr>
          <w:p>
            <w:r>
              <w:t>Approximate exchange-rate change = interest differential -&gt; interpret direction with quote units.</w:t>
            </w:r>
          </w:p>
        </w:tc>
      </w:tr>
    </w:tbl>
    <w:p/>
    <w:p>
      <w:pPr>
        <w:pStyle w:val="Heading1"/>
      </w:pPr>
      <w:r>
        <w:t>65. Last-Minute Revision Sheet</w:t>
      </w:r>
    </w:p>
    <w:tbl>
      <w:tblPr>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b/>
              </w:rPr>
              <w:t xml:space="preserve">International Business: </w:t>
            </w:r>
            <w:r>
              <w:t>IB = cross-border business. Remember the six nature words: Complex, Dynamic, Cross-cultural, Risk-bearing, Integrated, Opportunity-seeking. Remember six motives: Higher profits, Excess capacity, Home-market competition, Limited home market, Resources/capabilities, Strategic learning.</w:t>
            </w:r>
          </w:p>
        </w:tc>
      </w:tr>
    </w:tbl>
    <w:tbl>
      <w:tblPr>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b/>
              </w:rPr>
              <w:t xml:space="preserve">EPRG: </w:t>
            </w:r>
            <w:r>
              <w:t>E = Home-country logic; P = country autonomy; R = regional coordination; G = integrated global talent/market system.</w:t>
            </w:r>
          </w:p>
        </w:tc>
      </w:tr>
    </w:tbl>
    <w:tbl>
      <w:tblPr>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b/>
              </w:rPr>
              <w:t xml:space="preserve">FX: </w:t>
            </w:r>
            <w:r>
              <w:t>Direct/indirect quotes are reciprocals. Bid = dealer buys; ask = dealer sells. Cross rates come from cancelling units. Triangular arbitrage is a currency loop that returns more of the starting currency. Long = buy; short = sell.</w:t>
            </w:r>
          </w:p>
        </w:tc>
      </w:tr>
    </w:tbl>
    <w:tbl>
      <w:tblPr>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b/>
              </w:rPr>
              <w:t xml:space="preserve">Forward: </w:t>
            </w:r>
            <w:r>
              <w:t>Premium/discount = ((F-S)/S) x (360/n). Long payoff = N(S_T-F). Short payoff = N(F-S_T).</w:t>
            </w:r>
          </w:p>
        </w:tc>
      </w:tr>
    </w:tbl>
    <w:tbl>
      <w:tblPr>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b/>
              </w:rPr>
              <w:t xml:space="preserve">IRP: </w:t>
            </w:r>
            <w:r>
              <w:t>F/S=(1+i_D)/(1+i_F). Covered arbitrage eliminates FX uncertainty with a forward contract.</w:t>
            </w:r>
          </w:p>
        </w:tc>
      </w:tr>
    </w:tbl>
    <w:tbl>
      <w:tblPr>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b/>
              </w:rPr>
              <w:t xml:space="preserve">PPP: </w:t>
            </w:r>
            <w:r>
              <w:t>Exchange-rate change follows relative inflation approximately. Exact relative PPP: S1=S0(1+pi_D)/(1+pi_F).</w:t>
            </w:r>
          </w:p>
        </w:tc>
      </w:tr>
    </w:tbl>
    <w:tbl>
      <w:tblPr>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b/>
              </w:rPr>
              <w:t xml:space="preserve">Fisher &amp; IFE: </w:t>
            </w:r>
            <w:r>
              <w:t>1+i=(1+rho)E(1+pi). Approx i=rho+Epi. IFE links nominal interest differentials to expected exchange-rate changes when real rates are equal.</w:t>
            </w:r>
          </w:p>
        </w:tc>
      </w:tr>
    </w:tbl>
    <w:tbl>
      <w:tblPr>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b/>
              </w:rPr>
              <w:t xml:space="preserve">Forecasting: </w:t>
            </w:r>
            <w:r>
              <w:t>Efficient market = current information; Fundamental = economic model; Technical = historical patterns. Presentation conclusion: exchange-rate forecasting is difficult.</w:t>
            </w:r>
          </w:p>
        </w:tc>
      </w:tr>
    </w:tbl>
    <w:p>
      <w:pPr>
        <w:pStyle w:val="Heading1"/>
      </w:pPr>
      <w:r>
        <w:t>66. 30-Second Memory Map</w:t>
      </w:r>
    </w:p>
    <w:p>
      <w:r>
        <w:t>International Business -&gt; globalization -&gt; culture/regulation/risk -&gt; trade -&gt; internationalization -&gt; EPRG -&gt; MNC -&gt; manager toolkit</w:t>
      </w:r>
    </w:p>
    <w:p>
      <w:pPr>
        <w:pStyle w:val="Formula"/>
        <w:jc w:val="center"/>
      </w:pPr>
      <w:r>
        <w:rPr>
          <w:b/>
        </w:rPr>
        <w:t>Spot -&gt; Quotes -&gt; Bid/Ask -&gt; Cross Rate -&gt; Triangular Arbitrage -&gt; Forward -&gt; Premium -&gt; Long/Short -&gt; Swaps</w:t>
      </w:r>
    </w:p>
    <w:p>
      <w:pPr>
        <w:pStyle w:val="Formula"/>
        <w:jc w:val="center"/>
      </w:pPr>
      <w:r>
        <w:rPr>
          <w:b/>
        </w:rPr>
        <w:t>IRP -&gt; Covered Arbitrage -&gt; Hedge -&gt; Deviations -&gt; PPP -&gt; Fisher -&gt; IFE -&gt; Forecasting</w:t>
      </w:r>
    </w:p>
    <w:p>
      <w:pPr>
        <w:pStyle w:val="Heading1"/>
      </w:pPr>
      <w:r>
        <w:t>67. Presentation-to-Topic Cross-Reference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Mar>
              <w:top w:w="80" w:type="dxa"/>
              <w:start w:w="100" w:type="dxa"/>
              <w:bottom w:w="80" w:type="dxa"/>
              <w:end w:w="100" w:type="dxa"/>
            </w:tcMar>
            <w:vAlign w:val="center"/>
          </w:tcPr>
          <w:p>
            <w:pPr>
              <w:jc w:val="center"/>
            </w:pPr>
            <w:r>
              <w:rPr>
                <w:b/>
                <w:color w:val="FFFFFF"/>
              </w:rPr>
              <w:t>Presentation</w:t>
            </w:r>
          </w:p>
        </w:tc>
        <w:tc>
          <w:tcPr>
            <w:tcW w:type="dxa" w:w="3408"/>
            <w:shd w:fill="1F4E79"/>
            <w:tcMar>
              <w:top w:w="80" w:type="dxa"/>
              <w:start w:w="100" w:type="dxa"/>
              <w:bottom w:w="80" w:type="dxa"/>
              <w:end w:w="100" w:type="dxa"/>
            </w:tcMar>
            <w:vAlign w:val="center"/>
          </w:tcPr>
          <w:p>
            <w:pPr>
              <w:jc w:val="center"/>
            </w:pPr>
            <w:r>
              <w:rPr>
                <w:b/>
                <w:color w:val="FFFFFF"/>
              </w:rPr>
              <w:t>Slides/pages</w:t>
            </w:r>
          </w:p>
        </w:tc>
        <w:tc>
          <w:tcPr>
            <w:tcW w:type="dxa" w:w="3408"/>
            <w:shd w:fill="1F4E79"/>
            <w:tcMar>
              <w:top w:w="80" w:type="dxa"/>
              <w:start w:w="100" w:type="dxa"/>
              <w:bottom w:w="80" w:type="dxa"/>
              <w:end w:w="100" w:type="dxa"/>
            </w:tcMar>
            <w:vAlign w:val="center"/>
          </w:tcPr>
          <w:p>
            <w:pPr>
              <w:jc w:val="center"/>
            </w:pPr>
            <w:r>
              <w:rPr>
                <w:b/>
                <w:color w:val="FFFFFF"/>
              </w:rPr>
              <w:t>Topics covered in these notes</w:t>
            </w:r>
          </w:p>
        </w:tc>
      </w:tr>
      <w:tr>
        <w:tc>
          <w:tcPr>
            <w:tcW w:type="dxa" w:w="3408"/>
            <w:tcMar>
              <w:top w:w="80" w:type="dxa"/>
              <w:start w:w="100" w:type="dxa"/>
              <w:bottom w:w="80" w:type="dxa"/>
              <w:end w:w="100" w:type="dxa"/>
            </w:tcMar>
            <w:vAlign w:val="center"/>
          </w:tcPr>
          <w:p>
            <w:r>
              <w:t>International Business Unit 1</w:t>
            </w:r>
          </w:p>
        </w:tc>
        <w:tc>
          <w:tcPr>
            <w:tcW w:type="dxa" w:w="3408"/>
            <w:tcMar>
              <w:top w:w="80" w:type="dxa"/>
              <w:start w:w="100" w:type="dxa"/>
              <w:bottom w:w="80" w:type="dxa"/>
              <w:end w:w="100" w:type="dxa"/>
            </w:tcMar>
            <w:vAlign w:val="center"/>
          </w:tcPr>
          <w:p>
            <w:r>
              <w:t>Slides 1-41</w:t>
            </w:r>
          </w:p>
        </w:tc>
        <w:tc>
          <w:tcPr>
            <w:tcW w:type="dxa" w:w="3408"/>
            <w:tcMar>
              <w:top w:w="80" w:type="dxa"/>
              <w:start w:w="100" w:type="dxa"/>
              <w:bottom w:w="80" w:type="dxa"/>
              <w:end w:w="100" w:type="dxa"/>
            </w:tcMar>
            <w:vAlign w:val="center"/>
          </w:tcPr>
          <w:p>
            <w:r>
              <w:t>All slide topics including cases, EPRG, MNC and assessment prompts.</w:t>
            </w:r>
          </w:p>
        </w:tc>
      </w:tr>
      <w:tr>
        <w:tc>
          <w:tcPr>
            <w:tcW w:type="dxa" w:w="3408"/>
            <w:tcMar>
              <w:top w:w="80" w:type="dxa"/>
              <w:start w:w="100" w:type="dxa"/>
              <w:bottom w:w="80" w:type="dxa"/>
              <w:end w:w="100" w:type="dxa"/>
            </w:tcMar>
            <w:vAlign w:val="center"/>
          </w:tcPr>
          <w:p>
            <w:r>
              <w:t>Foreign Exchange Markets</w:t>
            </w:r>
          </w:p>
        </w:tc>
        <w:tc>
          <w:tcPr>
            <w:tcW w:type="dxa" w:w="3408"/>
            <w:tcMar>
              <w:top w:w="80" w:type="dxa"/>
              <w:start w:w="100" w:type="dxa"/>
              <w:bottom w:w="80" w:type="dxa"/>
              <w:end w:w="100" w:type="dxa"/>
            </w:tcMar>
            <w:vAlign w:val="center"/>
          </w:tcPr>
          <w:p>
            <w:r>
              <w:t>Slides 1-48</w:t>
            </w:r>
          </w:p>
        </w:tc>
        <w:tc>
          <w:tcPr>
            <w:tcW w:type="dxa" w:w="3408"/>
            <w:tcMar>
              <w:top w:w="80" w:type="dxa"/>
              <w:start w:w="100" w:type="dxa"/>
              <w:bottom w:w="80" w:type="dxa"/>
              <w:end w:w="100" w:type="dxa"/>
            </w:tcMar>
            <w:vAlign w:val="center"/>
          </w:tcPr>
          <w:p>
            <w:r>
              <w:t>All chapter topics including quotations, cross rates, triangular arbitrage, forwards, swaps, premium and practice problem.</w:t>
            </w:r>
          </w:p>
        </w:tc>
      </w:tr>
      <w:tr>
        <w:tc>
          <w:tcPr>
            <w:tcW w:type="dxa" w:w="3408"/>
            <w:tcMar>
              <w:top w:w="80" w:type="dxa"/>
              <w:start w:w="100" w:type="dxa"/>
              <w:bottom w:w="80" w:type="dxa"/>
              <w:end w:w="100" w:type="dxa"/>
            </w:tcMar>
            <w:vAlign w:val="center"/>
          </w:tcPr>
          <w:p>
            <w:r>
              <w:t>International Parity Relationships</w:t>
            </w:r>
          </w:p>
        </w:tc>
        <w:tc>
          <w:tcPr>
            <w:tcW w:type="dxa" w:w="3408"/>
            <w:tcMar>
              <w:top w:w="80" w:type="dxa"/>
              <w:start w:w="100" w:type="dxa"/>
              <w:bottom w:w="80" w:type="dxa"/>
              <w:end w:w="100" w:type="dxa"/>
            </w:tcMar>
            <w:vAlign w:val="center"/>
          </w:tcPr>
          <w:p>
            <w:r>
              <w:t>Slides 1-43</w:t>
            </w:r>
          </w:p>
        </w:tc>
        <w:tc>
          <w:tcPr>
            <w:tcW w:type="dxa" w:w="3408"/>
            <w:tcMar>
              <w:top w:w="80" w:type="dxa"/>
              <w:start w:w="100" w:type="dxa"/>
              <w:bottom w:w="80" w:type="dxa"/>
              <w:end w:w="100" w:type="dxa"/>
            </w:tcMar>
            <w:vAlign w:val="center"/>
          </w:tcPr>
          <w:p>
            <w:r>
              <w:t>IRP, covered arbitrage, hedge, deviations, PPP, real exchange rate, Fisher/IFE and forecasting approaches.</w:t>
            </w:r>
          </w:p>
        </w:tc>
      </w:tr>
    </w:tbl>
    <w:p/>
    <w:p>
      <w:pPr>
        <w:pStyle w:val="Heading1"/>
      </w:pPr>
      <w:r>
        <w:t>68. Source Basis</w:t>
      </w:r>
    </w:p>
    <w:p>
      <w:r>
        <w:t>Primary exam syllabus sources:</w:t>
      </w:r>
    </w:p>
    <w:p>
      <w:pPr>
        <w:pStyle w:val="ListBullet"/>
      </w:pPr>
      <w:r>
        <w:t>InternationalBusiness Introduction.pdf - ABV-IIITM Gwalior, MBA, International Business, Unit 1.</w:t>
      </w:r>
    </w:p>
    <w:p>
      <w:pPr>
        <w:pStyle w:val="ListBullet"/>
      </w:pPr>
      <w:r>
        <w:t>Foreign Exchange Markets.ppt / Foreign Exchange Markets.pptx - course presentation on Chapter Five, The Market for Foreign Exchange.</w:t>
      </w:r>
    </w:p>
    <w:p>
      <w:pPr>
        <w:pStyle w:val="ListBullet"/>
      </w:pPr>
      <w:r>
        <w:t>International Parity Relations.ppt / International Parity Relations.pptx - course presentation on Chapter Six, International Parity Relationships &amp; Forecasting Exchange Rates.</w:t>
      </w:r>
    </w:p>
    <w:p>
      <w:r>
        <w:t>Supporting reference books supplied with the course: International Business book and International Financial Management / International Finance references. They were used only to clarify the concepts already present in the presentations, not to introduce a separate syllabus.</w:t>
      </w:r>
    </w:p>
    <w:p>
      <w:r>
        <w:t>Important: historical figures shown in the older FX presentation (for example, market participant counts and trading shares) are course-slide examples from the source material and are not presented here as current market statistics.</w:t>
      </w:r>
    </w:p>
    <w:p>
      <w:pPr>
        <w:pStyle w:val="Title"/>
      </w:pPr>
      <w:r>
        <w:t>FINAL EXAM STRATEGY</w:t>
      </w:r>
    </w:p>
    <w:p>
      <w:pPr>
        <w:pStyle w:val="Heading1"/>
      </w:pPr>
      <w:r>
        <w:t>For theory answers</w:t>
      </w:r>
    </w:p>
    <w:p>
      <w:pPr>
        <w:ind w:left="115" w:hanging="115"/>
      </w:pPr>
      <w:r>
        <w:rPr>
          <w:b/>
        </w:rPr>
        <w:t xml:space="preserve">1. </w:t>
      </w:r>
      <w:r>
        <w:t>Start with the definition exactly enough to establish the concept.</w:t>
      </w:r>
    </w:p>
    <w:p>
      <w:pPr>
        <w:ind w:left="115" w:hanging="115"/>
      </w:pPr>
      <w:r>
        <w:rPr>
          <w:b/>
        </w:rPr>
        <w:t xml:space="preserve">2. </w:t>
      </w:r>
      <w:r>
        <w:t>Break the answer into 4-6 labeled points.</w:t>
      </w:r>
    </w:p>
    <w:p>
      <w:pPr>
        <w:ind w:left="115" w:hanging="115"/>
      </w:pPr>
      <w:r>
        <w:rPr>
          <w:b/>
        </w:rPr>
        <w:t xml:space="preserve">3. </w:t>
      </w:r>
      <w:r>
        <w:t>Add one short example.</w:t>
      </w:r>
    </w:p>
    <w:p>
      <w:pPr>
        <w:ind w:left="115" w:hanging="115"/>
      </w:pPr>
      <w:r>
        <w:rPr>
          <w:b/>
        </w:rPr>
        <w:t xml:space="preserve">4. </w:t>
      </w:r>
      <w:r>
        <w:t>End with the managerial implication or key trade-off.</w:t>
      </w:r>
    </w:p>
    <w:p>
      <w:pPr>
        <w:pStyle w:val="Heading1"/>
      </w:pPr>
      <w:r>
        <w:t>For numerical answers</w:t>
      </w:r>
    </w:p>
    <w:p>
      <w:pPr>
        <w:ind w:left="115" w:hanging="115"/>
      </w:pPr>
      <w:r>
        <w:rPr>
          <w:b/>
        </w:rPr>
        <w:t xml:space="preserve">1. </w:t>
      </w:r>
      <w:r>
        <w:t>Write what is given and define every exchange-rate quotation.</w:t>
      </w:r>
    </w:p>
    <w:p>
      <w:pPr>
        <w:ind w:left="115" w:hanging="115"/>
      </w:pPr>
      <w:r>
        <w:rPr>
          <w:b/>
        </w:rPr>
        <w:t xml:space="preserve">2. </w:t>
      </w:r>
      <w:r>
        <w:t>Write the formula before inserting numbers.</w:t>
      </w:r>
    </w:p>
    <w:p>
      <w:pPr>
        <w:ind w:left="115" w:hanging="115"/>
      </w:pPr>
      <w:r>
        <w:rPr>
          <w:b/>
        </w:rPr>
        <w:t xml:space="preserve">3. </w:t>
      </w:r>
      <w:r>
        <w:t>Keep currency units beside every rate.</w:t>
      </w:r>
    </w:p>
    <w:p>
      <w:pPr>
        <w:ind w:left="115" w:hanging="115"/>
      </w:pPr>
      <w:r>
        <w:rPr>
          <w:b/>
        </w:rPr>
        <w:t xml:space="preserve">4. </w:t>
      </w:r>
      <w:r>
        <w:t>Do the calculation step by step.</w:t>
      </w:r>
    </w:p>
    <w:p>
      <w:pPr>
        <w:ind w:left="115" w:hanging="115"/>
      </w:pPr>
      <w:r>
        <w:rPr>
          <w:b/>
        </w:rPr>
        <w:t xml:space="preserve">5. </w:t>
      </w:r>
      <w:r>
        <w:t>State the final result with units and a one-line interpretation.</w:t>
      </w:r>
    </w:p>
    <w:p>
      <w:pPr>
        <w:pStyle w:val="Heading1"/>
      </w:pPr>
      <w:r>
        <w:t>Most important formulas to memorize tonight</w:t>
      </w:r>
    </w:p>
    <w:tbl>
      <w:tblPr>
        <w:tblW w:type="auto" w:w="0"/>
        <w:jc w:val="center"/>
        <w:tblLook w:firstColumn="1" w:firstRow="1" w:lastColumn="0" w:lastRow="0" w:noHBand="0" w:noVBand="1" w:val="04A0"/>
      </w:tblPr>
      <w:tblGrid>
        <w:gridCol w:w="10224"/>
      </w:tblGrid>
      <w:tr>
        <w:tc>
          <w:tcPr>
            <w:tcW w:type="dxa" w:w="10224"/>
            <w:shd w:fill="EAF2F8"/>
            <w:tcMar>
              <w:top w:w="120" w:type="dxa"/>
              <w:start w:w="160" w:type="dxa"/>
              <w:bottom w:w="120" w:type="dxa"/>
              <w:end w:w="160" w:type="dxa"/>
            </w:tcMar>
          </w:tcPr>
          <w:p>
            <w:r>
              <w:rPr>
                <w:b/>
              </w:rPr>
              <w:t xml:space="preserve">Formula priority: </w:t>
            </w:r>
            <w:r>
              <w:t>Memorize the formula set in Sections 64-65: quotation reciprocal, bid-ask spread, forward premium/discount, long/short forward payoff, IRP, PPP, Fisher effect and IFE. The numerical templates above show when each formula is used.</w:t>
            </w:r>
          </w:p>
        </w:tc>
      </w:tr>
    </w:tbl>
    <w:p>
      <w:r>
        <w:t>The key to this syllabus is not memorizing isolated formulas. Understand the chain: inflation affects interest rates through Fisher; interest differentials affect forward rates through IRP; inflation differentials affect exchange rates through PPP; and all of these relationships are used to interpret international financial decisions.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ABV-IIITM Gwalior | Exam Preparation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International Business - Complete Exam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80" w:after="80"/>
    </w:pPr>
    <w:rPr>
      <w:rFonts w:ascii="Consolas" w:hAnsi="Consolas"/>
      <w:color w:val="1F4E79"/>
      <w:sz w:val="21"/>
    </w:rPr>
  </w:style>
  <w:style w:type="paragraph" w:customStyle="1" w:styleId="Answer">
    <w:name w:val="Answer"/>
    <w:pPr>
      <w:spacing w:after="120"/>
      <w:ind w:left="259"/>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Business - Complete Exam Notes</dc:title>
  <dc:subject>International Business exam preparation</dc:subject>
  <dc:creator>OpenAI</dc:creator>
  <cp:keywords>International Business, Foreign Exchange, IRP, PPP, Fisher Effect, EPRG, MNC, Exam Notes</cp:keywords>
  <dc:description>generated by python-docx</dc:description>
  <cp:lastModifiedBy/>
  <cp:revision>1</cp:revision>
  <dcterms:created xsi:type="dcterms:W3CDTF">2013-12-23T23:15:00Z</dcterms:created>
  <dcterms:modified xsi:type="dcterms:W3CDTF">2013-12-23T23:15:00Z</dcterms:modified>
  <cp:category/>
</cp:coreProperties>
</file>