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38"/>
          <w:szCs w:val="38"/>
        </w:rPr>
        <w:t xml:space="preserve">Vibhor Ahlawat</w:t>
      </w:r>
    </w:p>
    <w:p>
      <w:pPr>
        <w:spacing w:after="70"/>
      </w:pP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Trust and Safety Product Manager  |  AI Guardrails and Safety Testing  |  Legal Requirements to Product</w:t>
      </w:r>
    </w:p>
    <w:p>
      <w:pPr>
        <w:spacing w:after="30"/>
      </w:pPr>
      <w:r>
        <w:rPr>
          <w:rFonts w:ascii="Times New Roman" w:cs="Times New Roman" w:eastAsia="Times New Roman" w:hAnsi="Times New Roman"/>
          <w:color w:val="6B7280"/>
          <w:sz w:val="17"/>
          <w:szCs w:val="17"/>
        </w:rPr>
        <w:t xml:space="preserve">Berlin, DE  ·  +49 1622801918  ·  vibhorahlawat17@gmail.com</w:t>
      </w:r>
      <w:r>
        <w:rPr>
          <w:rFonts w:ascii="Times New Roman" w:cs="Times New Roman" w:eastAsia="Times New Roman" w:hAnsi="Times New Roman"/>
          <w:color w:val="6B7280"/>
          <w:sz w:val="17"/>
          <w:szCs w:val="17"/>
        </w:rPr>
        <w:t xml:space="preserve">  ·  </w:t>
      </w:r>
      <w:hyperlink w:history="1" r:id="rIdrfas7cfpfjnk-a4sljz6u">
        <w:r>
          <w:rPr>
            <w:rFonts w:ascii="Times New Roman" w:cs="Times New Roman" w:eastAsia="Times New Roman" w:hAnsi="Times New Roman"/>
            <w:color w:val="1E3A5F"/>
            <w:sz w:val="17"/>
            <w:szCs w:val="17"/>
            <w:u w:val="single"/>
          </w:rPr>
          <w:t xml:space="preserve">linkedin.com/in/vibhorahlawat</w:t>
        </w:r>
      </w:hyperlink>
      <w:r>
        <w:rPr>
          <w:rFonts w:ascii="Times New Roman" w:cs="Times New Roman" w:eastAsia="Times New Roman" w:hAnsi="Times New Roman"/>
          <w:color w:val="6B7280"/>
          <w:sz w:val="17"/>
          <w:szCs w:val="17"/>
        </w:rPr>
        <w:t xml:space="preserve">  ·  Portfolio: </w:t>
      </w:r>
      <w:hyperlink w:history="1" r:id="rIdnrgaa62srjaqh5a87gnxj">
        <w:r>
          <w:rPr>
            <w:rFonts w:ascii="Times New Roman" w:cs="Times New Roman" w:eastAsia="Times New Roman" w:hAnsi="Times New Roman"/>
            <w:color w:val="1E3A5F"/>
            <w:sz w:val="17"/>
            <w:szCs w:val="17"/>
            <w:u w:val="single"/>
          </w:rPr>
          <w:t xml:space="preserve">vibhor.work</w:t>
        </w:r>
      </w:hyperlink>
    </w:p>
    <w:p>
      <w:pPr>
        <w:spacing w:after="100"/>
      </w:pPr>
      <w:r>
        <w:rPr>
          <w:rFonts w:ascii="Times New Roman" w:cs="Times New Roman" w:eastAsia="Times New Roman" w:hAnsi="Times New Roman"/>
          <w:color w:val="6B7280"/>
          <w:sz w:val="17"/>
          <w:szCs w:val="17"/>
        </w:rPr>
        <w:t xml:space="preserve">English (C2)  ·  German (A2, working towards B1)  ·  Hindi (C2)  ·  French (B1)</w:t>
      </w:r>
    </w:p>
    <w:p>
      <w:pPr>
        <w:keepNext/>
        <w:pBdr>
          <w:bottom w:val="single" w:color="1E3A5F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3A5F"/>
          <w:sz w:val="20"/>
          <w:szCs w:val="20"/>
        </w:rPr>
        <w:t xml:space="preserve">PROFILE SUMMARY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AI safety product manager who turns legal and safety requirements into acceptance criteria, with 5+ years across law, government delivery and product. Held an AI feature from release until false patterns fell from 68% to 3% in simulation. Built Gyro Health's fail-closed output filter and an AI-disclosure label aligned to the EU AI Act.</w:t>
      </w:r>
    </w:p>
    <w:p>
      <w:pPr>
        <w:keepNext/>
        <w:pBdr>
          <w:bottom w:val="single" w:color="1E3A5F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3A5F"/>
          <w:sz w:val="20"/>
          <w:szCs w:val="20"/>
        </w:rPr>
        <w:t xml:space="preserve">AREAS OF EXPERTISE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color w:val="111827"/>
                <w:sz w:val="20"/>
                <w:szCs w:val="20"/>
              </w:rPr>
              <w:t xml:space="preserve">Safety and Legal Product Requirements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color w:val="111827"/>
                <w:sz w:val="20"/>
                <w:szCs w:val="20"/>
              </w:rPr>
              <w:t xml:space="preserve">Moderation Rules and Thresholds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color w:val="111827"/>
                <w:sz w:val="20"/>
                <w:szCs w:val="20"/>
              </w:rPr>
              <w:t xml:space="preserve">AI Guardrails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color w:val="111827"/>
                <w:sz w:val="20"/>
                <w:szCs w:val="20"/>
              </w:rPr>
              <w:t xml:space="preserve">Adversarial Testing and Release Gates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color w:val="111827"/>
                <w:sz w:val="20"/>
                <w:szCs w:val="20"/>
              </w:rPr>
              <w:t xml:space="preserve">Regulatory Compliance (EU AI Act, DPDP Act, GDPR)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color w:val="111827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color w:val="111827"/>
                <w:sz w:val="20"/>
                <w:szCs w:val="20"/>
              </w:rPr>
              <w:t xml:space="preserve">Safety Monitoring and Quality Assurance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color w:val="111827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color w:val="111827"/>
                <w:sz w:val="20"/>
                <w:szCs w:val="20"/>
              </w:rPr>
              <w:t xml:space="preserve">Cross-Functional Delivery</w:t>
            </w:r>
          </w:p>
        </w:tc>
      </w:tr>
    </w:tbl>
    <w:p>
      <w:pPr>
        <w:spacing w:after="100" w:before="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Tools: </w:t>
      </w: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Claude Code, Cursor, Vertex AI, Gemini, AWS Bedrock, Supabase, SQL, Python, Jira, Notion</w:t>
      </w:r>
    </w:p>
    <w:p>
      <w:pPr>
        <w:keepNext/>
        <w:pBdr>
          <w:bottom w:val="single" w:color="1E3A5F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3A5F"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Legal requirements as engineering rules: </w:t>
      </w: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Locked 2 of 38 product decisions as rules (the intended-use boundary and the Insurance Firewall), with 6 consents, 9 kill switches and India-only storage specified under the DPDP Act.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Detection thresholds tested against ground truth: </w:t>
      </w: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Built an evaluation harness showing autocorrelated data broke the pattern engine's significance test, then rebuilt the test to cut false positives from 19.5% to 1.0% in simulation.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Adversarial findings held to closure: </w:t>
      </w: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Assessed AI validation findings by risk on an S0-S4 severity scale; 4 top-severity (S1) findings blocked release until each was fixed.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Quality monitoring at population scale: </w:t>
      </w: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As project lead on a 3M+ user state grievance platform, owned post-launch quality monitoring while the team moved case closure under independent central oversight; average days to closure fell 28%.</w:t>
      </w:r>
    </w:p>
    <w:p>
      <w:pPr>
        <w:keepNext/>
        <w:pBdr>
          <w:bottom w:val="single" w:color="1E3A5F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3A5F"/>
          <w:sz w:val="20"/>
          <w:szCs w:val="20"/>
        </w:rPr>
        <w:t xml:space="preserve">PROFESSIONAL EXPERIENCE</w:t>
      </w:r>
    </w:p>
    <w:p>
      <w:pPr>
        <w:keepNext/>
        <w:keepLines/>
        <w:tabs>
          <w:tab w:val="right" w:pos="10106"/>
        </w:tabs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Gyro Health, Care Companion for Long-Term Conditions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Berlin, DE</w:t>
      </w:r>
    </w:p>
    <w:p>
      <w:pPr>
        <w:keepNext/>
        <w:keepLines/>
        <w:tabs>
          <w:tab w:val="right" w:pos="10106"/>
        </w:tabs>
        <w:spacing w:after="70" w:before="0"/>
      </w:pP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Technical Product Lead and Founder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Feb 2026 -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Leads product on Gyro Health, a pre-launch AI care companion for people with epilepsy and migraine in India, owning discovery, safety requirements, the regulatory path and the pattern engine, built solo with AI coding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Wrote acceptance criteria for the pattern engine before any user data (targets: at most 5% false findings, at least 60% detection), then rejected a shortcut that measured 33-67% false patterns in simulation.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Made AI guardrails structural: outputs with no free-text field, and a fail-closed moderation filter on AI-written answers, hardened against adversarial evasion (zero-width and homoglyph characters) and proven by a live stub.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Reviewed the AI assistant for foreseeable misuse before build, rejecting live web retrieval as a prompt-injection channel and limiting answers to reviewed, cited cards in Hindi and English.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Made an AI-disclosure label mandatory for every AI-written answer, aligned to EU AI Act Article 50, and set a red-team release gate (target): 100 prompts per language per condition, zero escapes.</w:t>
      </w:r>
    </w:p>
    <w:p>
      <w:pPr>
        <w:keepNext/>
        <w:keepLines/>
        <w:tabs>
          <w:tab w:val="right" w:pos="10106"/>
        </w:tabs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Independent Advisory Practice, Data Protection and Technology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Remote, IN and EU</w:t>
      </w:r>
    </w:p>
    <w:p>
      <w:pPr>
        <w:keepNext/>
        <w:keepLines/>
        <w:tabs>
          <w:tab w:val="right" w:pos="10106"/>
        </w:tabs>
        <w:spacing w:after="70" w:before="0"/>
      </w:pP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Independent Advisor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Nov 2023 -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Advises 30+ technology companies and law firms across Indian and EU markets on data protection, technology contracts and cross-border market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Advises Indian technology companies operating in the EU on what GDPR requires in practice.</w:t>
      </w:r>
    </w:p>
    <w:p>
      <w:pPr>
        <w:keepNext/>
        <w:keepLines/>
        <w:tabs>
          <w:tab w:val="right" w:pos="10106"/>
        </w:tabs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Indian Political Action Committee (IPAC) Consulting Pvt. Ltd.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Hyderabad, IN</w:t>
      </w:r>
    </w:p>
    <w:p>
      <w:pPr>
        <w:keepNext/>
        <w:keepLines/>
        <w:tabs>
          <w:tab w:val="right" w:pos="10106"/>
        </w:tabs>
        <w:spacing w:after="70" w:before="0"/>
      </w:pP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Consultant and Project Lead, Public Sector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Jan 2022 - Apr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As project lead on a 3M+ user state grievance platform, coordinated cross-functional delivery across engineering, UX and policy while the team rebuilt requirements around independent oversight of case closure.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Owned post-launch quality monitoring on the mobile app and IVR channels; when drop-off appeared before case registration, the team added multi-language support and fast-tracked callers to a human.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Directed a 25-person research team to collect and code 1.5M survey data points, with data quality held by a codebook, training workshops, a pilot batch and spot-checks; the analysis set roadmap priorities.</w:t>
      </w:r>
    </w:p>
    <w:p>
      <w:pPr>
        <w:keepNext/>
        <w:keepLines/>
        <w:tabs>
          <w:tab w:val="right" w:pos="10106"/>
        </w:tabs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Outsay Legal, Advocates and Consultants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New Delhi, IN</w:t>
      </w:r>
    </w:p>
    <w:p>
      <w:pPr>
        <w:keepNext/>
        <w:keepLines/>
        <w:tabs>
          <w:tab w:val="right" w:pos="10106"/>
        </w:tabs>
        <w:spacing w:after="70" w:before="0"/>
      </w:pP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Legal Associate, Constitutional Law and Public Policy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Jun 2019 - Aug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Researched and prepared 200+ cases before the Supreme Court of India, the Delhi High Court and tribunals, making submissions in some and assisting senior counsel in others, isolating procedural edge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Drafted 14 advisory reports translating data protection and environmental legislation into data governance frameworks adopted by state committees.</w:t>
      </w:r>
    </w:p>
    <w:p>
      <w:pPr>
        <w:keepNext/>
        <w:keepLines/>
        <w:tabs>
          <w:tab w:val="right" w:pos="10106"/>
        </w:tabs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Khaitan &amp; Co. | Shardul Amarchand Mangaldas &amp; Co. | 4 Further Legal Practices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New Delhi, IN</w:t>
      </w:r>
    </w:p>
    <w:p>
      <w:pPr>
        <w:keepNext/>
        <w:keepLines/>
        <w:tabs>
          <w:tab w:val="right" w:pos="10106"/>
        </w:tabs>
        <w:spacing w:after="70" w:before="0"/>
      </w:pP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Legal Intern, Compliance, Corporate Law, Policy and Litigation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Aug 2018 - Nov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Completed 6 legal internships across compliance, corporate law, policy and litigation, including case-law research and dispute-resolution support at Khaitan &amp; 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Delivered policy advisory on government service delivery at SAM &amp; Co., alongside 4 placements across state prosecution and private litigation.</w:t>
      </w:r>
    </w:p>
    <w:p>
      <w:pPr>
        <w:keepNext/>
        <w:pBdr>
          <w:bottom w:val="single" w:color="1E3A5F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3A5F"/>
          <w:sz w:val="20"/>
          <w:szCs w:val="20"/>
        </w:rPr>
        <w:t xml:space="preserve">SIDE PROJECTS</w:t>
      </w:r>
    </w:p>
    <w:p>
      <w:pPr>
        <w:keepNext/>
        <w:keepLines/>
        <w:tabs>
          <w:tab w:val="right" w:pos="10106"/>
        </w:tabs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Haqdaar v1, AI Legal Rights Assistant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India / Cloud</w:t>
      </w:r>
    </w:p>
    <w:p>
      <w:pPr>
        <w:keepNext/>
        <w:keepLines/>
        <w:tabs>
          <w:tab w:val="right" w:pos="10106"/>
        </w:tabs>
        <w:spacing w:after="70" w:before="0"/>
      </w:pP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Solo Build, Google Gen AI Academy APAC, Track 1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Apr 2026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Problem: </w:t>
      </w: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India's 12M+ gig workers gained legal rights under the Code on Social Security 2020 with no accessible way to act on them.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Solution: </w:t>
      </w: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Built an AI legal assistant that answers only from verified legal sources and refers everything else to a legal helpline, live on a public API (Google ADK, Gemini). Now narrowing to Lok Adalat dispute routing.</w:t>
      </w:r>
    </w:p>
    <w:p>
      <w:pPr>
        <w:keepNext/>
        <w:keepLines/>
        <w:tabs>
          <w:tab w:val="right" w:pos="10106"/>
        </w:tabs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Beamer Held, Dormitory Booking System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Berlin, DE</w:t>
      </w:r>
    </w:p>
    <w:p>
      <w:pPr>
        <w:keepNext/>
        <w:keepLines/>
        <w:tabs>
          <w:tab w:val="right" w:pos="10106"/>
        </w:tabs>
        <w:spacing w:after="70" w:before="0"/>
      </w:pP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Solo Build, Theologisches Konvikt Berlin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Mar 2025 - Sep 2025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Problem: </w:t>
      </w: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109 residents were booking a shared projector over WhatsApp, causing weekly double-bookings and lost inventory.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Solution: </w:t>
      </w: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Shipped a mobile-first booking web app with conflict detection and no login, which replaced the group chat; dorm leadership then requested a rollout across 4 offices, now a separate build in progress.</w:t>
      </w:r>
    </w:p>
    <w:p>
      <w:pPr>
        <w:keepNext/>
        <w:pBdr>
          <w:bottom w:val="single" w:color="1E3A5F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3A5F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tabs>
          <w:tab w:val="right" w:pos="10106"/>
        </w:tabs>
        <w:spacing w:after="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AI Product Management </w:t>
      </w: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Professional Certificate, IBM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2"/>
        </w:numPr>
        <w:tabs>
          <w:tab w:val="right" w:pos="10106"/>
        </w:tabs>
        <w:spacing w:after="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Google Cloud Gen AI Master </w:t>
      </w: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Certificate, Google Academy APAC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2"/>
        </w:numPr>
        <w:tabs>
          <w:tab w:val="right" w:pos="10106"/>
        </w:tabs>
        <w:spacing w:after="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Product Analytics </w:t>
      </w: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Certification, Product School and Mixpanel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2"/>
        </w:numPr>
        <w:tabs>
          <w:tab w:val="right" w:pos="10106"/>
        </w:tabs>
        <w:spacing w:after="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Machine Learning Specialization </w:t>
      </w: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(Andrew Ng), DeepLearning.AI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2"/>
        </w:numPr>
        <w:tabs>
          <w:tab w:val="right" w:pos="10106"/>
        </w:tabs>
        <w:spacing w:after="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Advanced SQL, </w:t>
      </w: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Kaggle Learn (Google) and HackerRank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2"/>
        </w:numPr>
        <w:tabs>
          <w:tab w:val="right" w:pos="10106"/>
        </w:tabs>
        <w:spacing w:after="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Certificate in Digital Governance, </w:t>
      </w: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Hertie School Berlin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2026</w:t>
      </w:r>
    </w:p>
    <w:p>
      <w:pPr>
        <w:keepNext/>
        <w:pBdr>
          <w:bottom w:val="single" w:color="1E3A5F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3A5F"/>
          <w:sz w:val="20"/>
          <w:szCs w:val="20"/>
        </w:rPr>
        <w:t xml:space="preserve">EDUCATION</w:t>
      </w:r>
    </w:p>
    <w:p>
      <w:pPr>
        <w:keepNext/>
        <w:keepLines/>
        <w:tabs>
          <w:tab w:val="right" w:pos="10106"/>
        </w:tabs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Hertie School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Berlin, DE</w:t>
      </w:r>
    </w:p>
    <w:p>
      <w:pPr>
        <w:keepNext/>
        <w:keepLines/>
        <w:tabs>
          <w:tab w:val="right" w:pos="10106"/>
        </w:tabs>
        <w:spacing w:after="70" w:before="0"/>
      </w:pP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Master of Public Policy (MPP)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Sep 2023 - May 2026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Specialisation: AI Governance and Digital Transformation; Management and Organisation.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color w:val="111827"/>
          <w:sz w:val="20"/>
          <w:szCs w:val="20"/>
        </w:rPr>
        <w:t xml:space="preserve">Thesis: “From Guarantee to Guardrail: Measuring How India's AI Governance Framework Operationalising Constitutional Equality”, a 15-indicator evaluation framework across EU and Indian regulatory contexts.</w:t>
      </w:r>
    </w:p>
    <w:p>
      <w:pPr>
        <w:keepNext/>
        <w:keepLines/>
        <w:tabs>
          <w:tab w:val="right" w:pos="10106"/>
        </w:tabs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Faculty of Law, University of Delhi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New Delhi, IN</w:t>
      </w:r>
    </w:p>
    <w:p>
      <w:pPr>
        <w:keepNext/>
        <w:keepLines/>
        <w:tabs>
          <w:tab w:val="right" w:pos="10106"/>
        </w:tabs>
        <w:spacing w:after="70" w:before="0"/>
      </w:pP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Bachelor of Laws (LL.B.)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Aug 2016 - Jun 2019</w:t>
      </w:r>
    </w:p>
    <w:p>
      <w:pPr>
        <w:keepNext/>
        <w:keepLines/>
        <w:tabs>
          <w:tab w:val="right" w:pos="10106"/>
        </w:tabs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11827"/>
          <w:sz w:val="20"/>
          <w:szCs w:val="20"/>
        </w:rPr>
        <w:t xml:space="preserve">Shaheed Bhagat Singh College, University of Delhi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New Delhi, IN</w:t>
      </w:r>
    </w:p>
    <w:p>
      <w:pPr>
        <w:keepNext/>
        <w:keepLines/>
        <w:tabs>
          <w:tab w:val="right" w:pos="10106"/>
        </w:tabs>
        <w:spacing w:after="70" w:before="0"/>
      </w:pPr>
      <w:r>
        <w:rPr>
          <w:rFonts w:ascii="Times New Roman" w:cs="Times New Roman" w:eastAsia="Times New Roman" w:hAnsi="Times New Roman"/>
          <w:color w:val="374151"/>
          <w:sz w:val="20"/>
          <w:szCs w:val="20"/>
        </w:rPr>
        <w:t xml:space="preserve">Bachelor of Arts (Hons), Political Science</w:t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ab/>
      </w: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Aug 2013 - Jun 2016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11827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rfas7cfpfjnk-a4sljz6u" Type="http://schemas.openxmlformats.org/officeDocument/2006/relationships/hyperlink" Target="https://www.linkedin.com/in/vibhorahlawat" TargetMode="External"/><Relationship Id="rIdnrgaa62srjaqh5a87gnxj" Type="http://schemas.openxmlformats.org/officeDocument/2006/relationships/hyperlink" Target="https://vibhor.work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2026-10-30T12:00:07.268Z</dcterms:created>
  <dcterms:modified xsi:type="dcterms:W3CDTF">2026-10-30T12:00:07.269Z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