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 w:after="1"/>
        <w:ind w:left="0"/>
        <w:rPr>
          <w:rFonts w:ascii="Times New Roman"/>
          <w:sz w:val="10"/>
        </w:rPr>
      </w:pPr>
    </w:p>
    <w:p>
      <w:pPr>
        <w:spacing w:line="20" w:lineRule="exact"/>
        <w:ind w:left="-7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4" coordorigin="0,0" coordsize="9637,15">
                <v:shape style="position:absolute;left:0;top:7;width:9637;height:2" id="docshape5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Title"/>
      </w:pPr>
      <w:r>
        <w:rPr>
          <w:color w:val="0B0B0E"/>
        </w:rPr>
        <w:t>OPERATOR</w:t>
      </w:r>
      <w:r>
        <w:rPr>
          <w:color w:val="0B0B0E"/>
          <w:spacing w:val="71"/>
        </w:rPr>
        <w:t>  </w:t>
      </w:r>
      <w:r>
        <w:rPr>
          <w:color w:val="0B0B0E"/>
        </w:rPr>
        <w:t>AGREEME</w:t>
      </w:r>
      <w:r>
        <w:rPr>
          <w:color w:val="0B0B0E"/>
          <w:spacing w:val="25"/>
        </w:rPr>
        <w:drawing>
          <wp:inline distT="0" distB="0" distL="0" distR="0">
            <wp:extent cx="171450" cy="2000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B0B0E"/>
          <w:spacing w:val="25"/>
        </w:rPr>
      </w:r>
      <w:r>
        <w:rPr>
          <w:color w:val="0B0B0E"/>
          <w:spacing w:val="-10"/>
        </w:rPr>
        <w:t>T</w:t>
      </w:r>
    </w:p>
    <w:p>
      <w:pPr>
        <w:spacing w:before="96"/>
        <w:ind w:left="2" w:right="0" w:firstLine="0"/>
        <w:jc w:val="left"/>
        <w:rPr>
          <w:rFonts w:ascii="Century Gothic"/>
          <w:b/>
          <w:sz w:val="24"/>
        </w:rPr>
      </w:pPr>
      <w:r>
        <w:rPr>
          <w:rFonts w:ascii="Century Gothic"/>
          <w:b/>
          <w:color w:val="FF0256"/>
          <w:sz w:val="24"/>
        </w:rPr>
        <w:t>PropertyFlow</w:t>
      </w:r>
      <w:r>
        <w:rPr>
          <w:rFonts w:ascii="Century Gothic"/>
          <w:b/>
          <w:color w:val="FF0256"/>
          <w:spacing w:val="-9"/>
          <w:sz w:val="24"/>
        </w:rPr>
        <w:t> </w:t>
      </w:r>
      <w:r>
        <w:rPr>
          <w:rFonts w:ascii="Century Gothic"/>
          <w:b/>
          <w:color w:val="FF0256"/>
          <w:sz w:val="24"/>
        </w:rPr>
        <w:t>Partner</w:t>
      </w:r>
      <w:r>
        <w:rPr>
          <w:rFonts w:ascii="Century Gothic"/>
          <w:b/>
          <w:color w:val="FF0256"/>
          <w:spacing w:val="-8"/>
          <w:sz w:val="24"/>
        </w:rPr>
        <w:t> </w:t>
      </w:r>
      <w:r>
        <w:rPr>
          <w:rFonts w:ascii="Century Gothic"/>
          <w:b/>
          <w:color w:val="FF0256"/>
          <w:sz w:val="24"/>
        </w:rPr>
        <w:t>Programme:</w:t>
      </w:r>
      <w:r>
        <w:rPr>
          <w:rFonts w:ascii="Century Gothic"/>
          <w:b/>
          <w:color w:val="FF0256"/>
          <w:spacing w:val="-9"/>
          <w:sz w:val="24"/>
        </w:rPr>
        <w:t> </w:t>
      </w:r>
      <w:r>
        <w:rPr>
          <w:rFonts w:ascii="Century Gothic"/>
          <w:b/>
          <w:color w:val="FF0256"/>
          <w:sz w:val="24"/>
        </w:rPr>
        <w:t>Standard</w:t>
      </w:r>
      <w:r>
        <w:rPr>
          <w:rFonts w:ascii="Century Gothic"/>
          <w:b/>
          <w:color w:val="FF0256"/>
          <w:spacing w:val="-8"/>
          <w:sz w:val="24"/>
        </w:rPr>
        <w:t> </w:t>
      </w:r>
      <w:r>
        <w:rPr>
          <w:rFonts w:ascii="Century Gothic"/>
          <w:b/>
          <w:color w:val="FF0256"/>
          <w:sz w:val="24"/>
        </w:rPr>
        <w:t>Form</w:t>
      </w:r>
      <w:r>
        <w:rPr>
          <w:rFonts w:ascii="Century Gothic"/>
          <w:b/>
          <w:color w:val="FF0256"/>
          <w:spacing w:val="-9"/>
          <w:sz w:val="24"/>
        </w:rPr>
        <w:t> </w:t>
      </w:r>
      <w:r>
        <w:rPr>
          <w:rFonts w:ascii="Century Gothic"/>
          <w:b/>
          <w:color w:val="FF0256"/>
          <w:spacing w:val="-4"/>
          <w:sz w:val="24"/>
        </w:rPr>
        <w:t>v1.2</w:t>
      </w:r>
    </w:p>
    <w:p>
      <w:pPr>
        <w:spacing w:line="288" w:lineRule="auto" w:before="238"/>
        <w:ind w:left="2" w:right="174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720090</wp:posOffset>
                </wp:positionH>
                <wp:positionV relativeFrom="paragraph">
                  <wp:posOffset>910126</wp:posOffset>
                </wp:positionV>
                <wp:extent cx="6138545" cy="19431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38545" cy="1943100"/>
                          <a:chExt cx="6138545" cy="1943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9050" y="0"/>
                            <a:ext cx="6119495" cy="1942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1942464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42464"/>
                                </a:lnTo>
                                <a:lnTo>
                                  <a:pt x="6119495" y="1942464"/>
                                </a:lnTo>
                                <a:lnTo>
                                  <a:pt x="6119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050" y="0"/>
                            <a:ext cx="127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3100">
                                <a:moveTo>
                                  <a:pt x="0" y="0"/>
                                </a:moveTo>
                                <a:lnTo>
                                  <a:pt x="0" y="194309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100" y="0"/>
                            <a:ext cx="6100445" cy="19424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auto" w:before="142"/>
                                <w:ind w:left="171" w:right="212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19"/>
                                </w:rPr>
                                <w:t>How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z w:val="19"/>
                                </w:rPr>
                                <w:t>Agreement</w:t>
                              </w:r>
                              <w:r>
                                <w:rPr>
                                  <w:rFonts w:ascii="Tahoma"/>
                                  <w:b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sz w:val="19"/>
                                </w:rPr>
                                <w:t>works. </w:t>
                              </w:r>
                              <w:r>
                                <w:rPr>
                                  <w:sz w:val="19"/>
                                </w:rPr>
                                <w:t>PropertyFlow Management Partners Ltd ("PropertyFlow") is the prope</w:t>
                              </w:r>
                              <w:r>
                                <w:rPr>
                                  <w:sz w:val="19"/>
                                </w:rPr>
                                <w:t>rty</w:t>
                              </w:r>
                              <w:r>
                                <w:rPr>
                                  <w:sz w:val="19"/>
                                </w:rPr>
                                <w:t> manager: it contracts with every Landlord, holds every Licence and every pound of client money,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z w:val="19"/>
                                </w:rPr>
                                <w:t> runs the properties remotely with its Service Partners and Maintenance Partners. The Operator </w:t>
                              </w:r>
                              <w:r>
                                <w:rPr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sz w:val="19"/>
                                </w:rPr>
                                <w:t> PropertyFlow's local sales channel: it introduces Landlords, closes them on PropertyFlow's </w:t>
                              </w:r>
                              <w:r>
                                <w:rPr>
                                  <w:sz w:val="19"/>
                                </w:rPr>
                                <w:t>standard</w:t>
                              </w:r>
                              <w:r>
                                <w:rPr>
                                  <w:sz w:val="19"/>
                                </w:rPr>
                                <w:t> terms from the Platform, in the meeting, and holds the relationship. For that the Operator receives </w:t>
                              </w:r>
                              <w:r>
                                <w:rPr>
                                  <w:sz w:val="19"/>
                                </w:rPr>
                                <w:t>50%</w:t>
                              </w:r>
                              <w:r>
                                <w:rPr>
                                  <w:sz w:val="19"/>
                                </w:rPr>
                                <w:t> of PropertyFlow's management fee, excluding VAT, for as long as the Landlord stays and the </w:t>
                              </w:r>
                              <w:r>
                                <w:rPr>
                                  <w:sz w:val="19"/>
                                </w:rPr>
                                <w:t>Operator</w:t>
                              </w:r>
                              <w:r>
                                <w:rPr>
                                  <w:sz w:val="19"/>
                                </w:rPr>
                                <w:t> remains in the programme. The Operator never handles money, never contracts with a Landlord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z w:val="19"/>
                                </w:rPr>
                                <w:t> never does the physical work. That is the whole design, and it protects the Operator as much </w:t>
                              </w:r>
                              <w:r>
                                <w:rPr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sz w:val="19"/>
                                </w:rPr>
                                <w:t> PropertyFlow. The Partner Programme Guide explains the reasons in plain English and answers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z w:val="19"/>
                                </w:rPr>
                                <w:t> questions Partners ask.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00001pt;margin-top:71.663475pt;width:483.35pt;height:153pt;mso-position-horizontal-relative:page;mso-position-vertical-relative:paragraph;z-index:-15728128;mso-wrap-distance-left:0;mso-wrap-distance-right:0" id="docshapegroup6" coordorigin="1134,1433" coordsize="9667,3060">
                <v:rect style="position:absolute;left:1164;top:1433;width:9637;height:3059" id="docshape7" filled="true" fillcolor="#ffeff4" stroked="false">
                  <v:fill type="solid"/>
                </v:rect>
                <v:line style="position:absolute" from="1164,1433" to="1164,4493" stroked="true" strokeweight="3pt" strokecolor="#ff0256">
                  <v:stroke dashstyle="solid"/>
                </v:line>
                <v:shape style="position:absolute;left:1194;top:1433;width:9607;height:3059" type="#_x0000_t202" id="docshape8" filled="false" stroked="false">
                  <v:textbox inset="0,0,0,0">
                    <w:txbxContent>
                      <w:p>
                        <w:pPr>
                          <w:spacing w:line="196" w:lineRule="auto" w:before="142"/>
                          <w:ind w:left="171" w:right="212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Tahoma"/>
                            <w:b/>
                            <w:sz w:val="19"/>
                          </w:rPr>
                          <w:t>How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z w:val="19"/>
                          </w:rPr>
                          <w:t>this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z w:val="19"/>
                          </w:rPr>
                          <w:t>Agreement</w:t>
                        </w:r>
                        <w:r>
                          <w:rPr>
                            <w:rFonts w:ascii="Tahoma"/>
                            <w:b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sz w:val="19"/>
                          </w:rPr>
                          <w:t>works. </w:t>
                        </w:r>
                        <w:r>
                          <w:rPr>
                            <w:sz w:val="19"/>
                          </w:rPr>
                          <w:t>PropertyFlow Management Partners Ltd ("PropertyFlow") is the prope</w:t>
                        </w:r>
                        <w:r>
                          <w:rPr>
                            <w:sz w:val="19"/>
                          </w:rPr>
                          <w:t>rty</w:t>
                        </w:r>
                        <w:r>
                          <w:rPr>
                            <w:sz w:val="19"/>
                          </w:rPr>
                          <w:t> manager: it contracts with every Landlord, holds every Licence and every pound of client money,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z w:val="19"/>
                          </w:rPr>
                          <w:t> runs the properties remotely with its Service Partners and Maintenance Partners. The Operator </w:t>
                        </w:r>
                        <w:r>
                          <w:rPr>
                            <w:sz w:val="19"/>
                          </w:rPr>
                          <w:t>is</w:t>
                        </w:r>
                        <w:r>
                          <w:rPr>
                            <w:sz w:val="19"/>
                          </w:rPr>
                          <w:t> PropertyFlow's local sales channel: it introduces Landlords, closes them on PropertyFlow's </w:t>
                        </w:r>
                        <w:r>
                          <w:rPr>
                            <w:sz w:val="19"/>
                          </w:rPr>
                          <w:t>standard</w:t>
                        </w:r>
                        <w:r>
                          <w:rPr>
                            <w:sz w:val="19"/>
                          </w:rPr>
                          <w:t> terms from the Platform, in the meeting, and holds the relationship. For that the Operator receives </w:t>
                        </w:r>
                        <w:r>
                          <w:rPr>
                            <w:sz w:val="19"/>
                          </w:rPr>
                          <w:t>50%</w:t>
                        </w:r>
                        <w:r>
                          <w:rPr>
                            <w:sz w:val="19"/>
                          </w:rPr>
                          <w:t> of PropertyFlow's management fee, excluding VAT, for as long as the Landlord stays and the </w:t>
                        </w:r>
                        <w:r>
                          <w:rPr>
                            <w:sz w:val="19"/>
                          </w:rPr>
                          <w:t>Operator</w:t>
                        </w:r>
                        <w:r>
                          <w:rPr>
                            <w:sz w:val="19"/>
                          </w:rPr>
                          <w:t> remains in the programme. The Operator never handles money, never contracts with a Landlord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z w:val="19"/>
                          </w:rPr>
                          <w:t> never does the physical work. That is the whole design, and it protects the Operator as much </w:t>
                        </w:r>
                        <w:r>
                          <w:rPr>
                            <w:sz w:val="19"/>
                          </w:rPr>
                          <w:t>as</w:t>
                        </w:r>
                        <w:r>
                          <w:rPr>
                            <w:sz w:val="19"/>
                          </w:rPr>
                          <w:t> PropertyFlow. The Partner Programme Guide explains the reasons in plain English and answers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z w:val="19"/>
                          </w:rPr>
                          <w:t> questions Partners ask.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i/>
          <w:color w:val="696969"/>
          <w:w w:val="90"/>
          <w:sz w:val="19"/>
        </w:rPr>
        <w:t>PropertyFlow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Management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Partners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Ltd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and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the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Operator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named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in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the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Particulars.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6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September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2026.</w:t>
      </w:r>
      <w:r>
        <w:rPr>
          <w:rFonts w:ascii="Verdana"/>
          <w:i/>
          <w:color w:val="696969"/>
          <w:spacing w:val="-5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Square</w:t>
      </w:r>
      <w:r>
        <w:rPr>
          <w:rFonts w:ascii="Verdana"/>
          <w:i/>
          <w:color w:val="696969"/>
          <w:w w:val="90"/>
          <w:sz w:val="19"/>
        </w:rPr>
        <w:t> brackets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mark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the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Operator's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details,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completed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in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the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Particulars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for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each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Operator;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nothing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else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in</w:t>
      </w:r>
      <w:r>
        <w:rPr>
          <w:rFonts w:ascii="Verdana"/>
          <w:i/>
          <w:color w:val="696969"/>
          <w:spacing w:val="-7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this</w:t>
      </w:r>
      <w:r>
        <w:rPr>
          <w:rFonts w:ascii="Verdana"/>
          <w:i/>
          <w:color w:val="696969"/>
          <w:w w:val="90"/>
          <w:sz w:val="19"/>
        </w:rPr>
        <w:t> </w:t>
      </w:r>
      <w:r>
        <w:rPr>
          <w:rFonts w:ascii="Verdana"/>
          <w:i/>
          <w:color w:val="696969"/>
          <w:spacing w:val="-2"/>
          <w:w w:val="90"/>
          <w:sz w:val="19"/>
        </w:rPr>
        <w:t>document is left open. The programme is marketed as the PropertyFlow Partner Programme and the Operator </w:t>
      </w:r>
      <w:r>
        <w:rPr>
          <w:rFonts w:ascii="Verdana"/>
          <w:i/>
          <w:color w:val="696969"/>
          <w:spacing w:val="-2"/>
          <w:w w:val="90"/>
          <w:sz w:val="19"/>
        </w:rPr>
        <w:t>as</w:t>
      </w:r>
      <w:r>
        <w:rPr>
          <w:rFonts w:ascii="Verdana"/>
          <w:i/>
          <w:color w:val="696969"/>
          <w:spacing w:val="-2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a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PropertyFlow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Verified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Partner;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in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this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Agreement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the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defined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term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is</w:t>
      </w:r>
      <w:r>
        <w:rPr>
          <w:rFonts w:ascii="Verdana"/>
          <w:i/>
          <w:color w:val="696969"/>
          <w:spacing w:val="-4"/>
          <w:w w:val="90"/>
          <w:sz w:val="19"/>
        </w:rPr>
        <w:t> </w:t>
      </w:r>
      <w:r>
        <w:rPr>
          <w:rFonts w:ascii="Verdana"/>
          <w:i/>
          <w:color w:val="696969"/>
          <w:w w:val="90"/>
          <w:sz w:val="19"/>
        </w:rPr>
        <w:t>"Operator".</w:t>
      </w:r>
    </w:p>
    <w:p>
      <w:pPr>
        <w:pStyle w:val="BodyText"/>
        <w:spacing w:before="0"/>
        <w:ind w:left="0"/>
        <w:rPr>
          <w:rFonts w:ascii="Verdana"/>
          <w:i/>
          <w:sz w:val="26"/>
        </w:rPr>
      </w:pPr>
    </w:p>
    <w:p>
      <w:pPr>
        <w:pStyle w:val="BodyText"/>
        <w:spacing w:before="8"/>
        <w:ind w:left="0"/>
        <w:rPr>
          <w:rFonts w:ascii="Verdana"/>
          <w:i/>
          <w:sz w:val="26"/>
        </w:rPr>
      </w:pPr>
    </w:p>
    <w:p>
      <w:pPr>
        <w:pStyle w:val="Heading1"/>
      </w:pPr>
      <w:bookmarkStart w:name="Particulars" w:id="1"/>
      <w:bookmarkEnd w:id="1"/>
      <w:r>
        <w:rPr>
          <w:b w:val="0"/>
        </w:rPr>
      </w:r>
      <w:r>
        <w:rPr>
          <w:color w:val="0B0B0E"/>
          <w:spacing w:val="-2"/>
        </w:rPr>
        <w:t>Particulars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9" coordorigin="0,0" coordsize="9637,15">
                <v:shape style="position:absolute;left:0;top:7;width:9637;height:2" id="docshape10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before="8" w:after="1"/>
        <w:ind w:left="0"/>
        <w:rPr>
          <w:rFonts w:ascii="Century Gothic"/>
          <w:b/>
          <w:sz w:val="12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7038"/>
      </w:tblGrid>
      <w:tr>
        <w:trPr>
          <w:trHeight w:val="96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PropertyFlow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2"/>
              <w:ind w:right="105"/>
              <w:rPr>
                <w:sz w:val="18"/>
              </w:rPr>
            </w:pPr>
            <w:r>
              <w:rPr>
                <w:sz w:val="18"/>
              </w:rPr>
              <w:t>PropertyFlow Management Partners Ltd, company number 173</w:t>
            </w:r>
            <w:r>
              <w:rPr>
                <w:sz w:val="18"/>
              </w:rPr>
              <w:t>35928,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registered in England and Wales, registered office 20 Wenlock Road, London </w:t>
            </w:r>
            <w:r>
              <w:rPr>
                <w:sz w:val="18"/>
              </w:rPr>
              <w:t>N1</w:t>
            </w:r>
            <w:r>
              <w:rPr>
                <w:sz w:val="18"/>
              </w:rPr>
              <w:t> 7GU ("PropertyFlow")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Operator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2"/>
              <w:ind w:right="196"/>
              <w:rPr>
                <w:sz w:val="18"/>
              </w:rPr>
            </w:pPr>
            <w:r>
              <w:rPr>
                <w:sz w:val="18"/>
              </w:rPr>
              <w:t>[Full legal name] [company number, if a company] [trading as, if any] </w:t>
            </w:r>
            <w:r>
              <w:rPr>
                <w:sz w:val="18"/>
              </w:rPr>
              <w:t>of</w:t>
            </w:r>
            <w:r>
              <w:rPr>
                <w:sz w:val="18"/>
              </w:rPr>
              <w:t> [address] ("the Operator")</w:t>
            </w:r>
          </w:p>
        </w:tc>
      </w:tr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5"/>
                <w:sz w:val="18"/>
              </w:rPr>
              <w:t>Operator</w:t>
            </w:r>
            <w:r>
              <w:rPr>
                <w:rFonts w:ascii="Tahoma"/>
                <w:b/>
                <w:spacing w:val="-3"/>
                <w:sz w:val="18"/>
              </w:rPr>
              <w:t> </w:t>
            </w:r>
            <w:r>
              <w:rPr>
                <w:rFonts w:ascii="Tahoma"/>
                <w:b/>
                <w:spacing w:val="-2"/>
                <w:sz w:val="18"/>
              </w:rPr>
              <w:t>Principals</w:t>
            </w:r>
          </w:p>
        </w:tc>
        <w:tc>
          <w:tcPr>
            <w:tcW w:w="70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[Each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individual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who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owns,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controls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will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act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Operator]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line="288" w:lineRule="auto"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Connected</w:t>
            </w:r>
            <w:r>
              <w:rPr>
                <w:rFonts w:ascii="Tahoma"/>
                <w:b/>
                <w:spacing w:val="-10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Persons</w:t>
            </w:r>
            <w:r>
              <w:rPr>
                <w:rFonts w:ascii="Tahoma"/>
                <w:b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disclosed</w:t>
            </w:r>
            <w:r>
              <w:rPr>
                <w:rFonts w:ascii="Tahoma"/>
                <w:b/>
                <w:spacing w:val="-11"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(clause</w:t>
            </w:r>
            <w:r>
              <w:rPr>
                <w:rFonts w:ascii="Tahoma"/>
                <w:b/>
                <w:spacing w:val="-11"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13)</w:t>
            </w:r>
          </w:p>
        </w:tc>
        <w:tc>
          <w:tcPr>
            <w:tcW w:w="70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[Names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relationship,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"None"]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line="288" w:lineRule="auto" w:before="97"/>
              <w:ind w:left="110" w:right="8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Excluded</w:t>
            </w:r>
            <w:r>
              <w:rPr>
                <w:rFonts w:ascii="Tahoma"/>
                <w:b/>
                <w:spacing w:val="-14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Portfolio</w:t>
            </w:r>
            <w:r>
              <w:rPr>
                <w:rFonts w:ascii="Tahoma"/>
                <w:b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(clauses</w:t>
            </w:r>
            <w:r>
              <w:rPr>
                <w:rFonts w:ascii="Tahoma"/>
                <w:b/>
                <w:spacing w:val="-11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13</w:t>
            </w:r>
            <w:r>
              <w:rPr>
                <w:rFonts w:ascii="Tahoma"/>
                <w:b/>
                <w:spacing w:val="-11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and</w:t>
            </w:r>
            <w:r>
              <w:rPr>
                <w:rFonts w:ascii="Tahoma"/>
                <w:b/>
                <w:spacing w:val="-11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14)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2"/>
              <w:ind w:right="105"/>
              <w:rPr>
                <w:sz w:val="18"/>
              </w:rPr>
            </w:pPr>
            <w:r>
              <w:rPr>
                <w:sz w:val="18"/>
              </w:rPr>
              <w:t>[Properties the Operator or an Operator Principal owns or manages at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Commencement Date, or "None"]</w:t>
            </w:r>
          </w:p>
        </w:tc>
      </w:tr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4"/>
                <w:sz w:val="18"/>
              </w:rPr>
              <w:t>Commencement</w:t>
            </w:r>
            <w:r>
              <w:rPr>
                <w:rFonts w:ascii="Tahoma"/>
                <w:b/>
                <w:spacing w:val="11"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Date</w:t>
            </w:r>
          </w:p>
        </w:tc>
        <w:tc>
          <w:tcPr>
            <w:tcW w:w="70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[date]</w:t>
            </w:r>
          </w:p>
        </w:tc>
      </w:tr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Territory</w:t>
            </w:r>
          </w:p>
        </w:tc>
        <w:tc>
          <w:tcPr>
            <w:tcW w:w="70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[City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or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area],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non-exclusive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(clause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6)</w:t>
            </w:r>
          </w:p>
        </w:tc>
      </w:tr>
      <w:tr>
        <w:trPr>
          <w:trHeight w:val="96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4"/>
                <w:sz w:val="18"/>
              </w:rPr>
              <w:t>Management</w:t>
            </w:r>
            <w:r>
              <w:rPr>
                <w:rFonts w:ascii="Tahoma"/>
                <w:b/>
                <w:spacing w:val="-3"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Fee</w:t>
            </w:r>
            <w:r>
              <w:rPr>
                <w:rFonts w:ascii="Tahoma"/>
                <w:b/>
                <w:spacing w:val="-2"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range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2"/>
              <w:ind w:right="196"/>
              <w:rPr>
                <w:sz w:val="18"/>
              </w:rPr>
            </w:pPr>
            <w:r>
              <w:rPr>
                <w:sz w:val="18"/>
              </w:rPr>
              <w:t>Standard rate 20% of Net Revenue plus VAT where applicable. The Ope</w:t>
            </w:r>
            <w:r>
              <w:rPr>
                <w:sz w:val="18"/>
              </w:rPr>
              <w:t>rator</w:t>
            </w:r>
            <w:r>
              <w:rPr>
                <w:sz w:val="18"/>
              </w:rPr>
              <w:t> may agree any rate from 15% to 20% with a Landlord (clause 6.4). Below </w:t>
            </w:r>
            <w:r>
              <w:rPr>
                <w:sz w:val="18"/>
              </w:rPr>
              <w:t>15%</w:t>
            </w:r>
            <w:r>
              <w:rPr>
                <w:sz w:val="18"/>
              </w:rPr>
              <w:t> only with PropertyFlow's written approval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Commission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2"/>
              <w:ind w:right="105"/>
              <w:rPr>
                <w:sz w:val="18"/>
              </w:rPr>
            </w:pPr>
            <w:r>
              <w:rPr>
                <w:sz w:val="18"/>
              </w:rPr>
              <w:t>50% of the Fee Received (clause 8): 10% of Net Revenue at the standard </w:t>
            </w:r>
            <w:r>
              <w:rPr>
                <w:sz w:val="18"/>
              </w:rPr>
              <w:t>rate,</w:t>
            </w:r>
            <w:r>
              <w:rPr>
                <w:sz w:val="18"/>
              </w:rPr>
              <w:t> 7.5% at the 15% floor</w:t>
            </w:r>
          </w:p>
        </w:tc>
      </w:tr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8"/>
                <w:sz w:val="18"/>
              </w:rPr>
              <w:t>Ramp</w:t>
            </w:r>
            <w:r>
              <w:rPr>
                <w:rFonts w:ascii="Tahoma"/>
                <w:b/>
                <w:spacing w:val="-9"/>
                <w:sz w:val="18"/>
              </w:rPr>
              <w:t> </w:t>
            </w:r>
            <w:r>
              <w:rPr>
                <w:rFonts w:ascii="Tahoma"/>
                <w:b/>
                <w:spacing w:val="-2"/>
                <w:sz w:val="18"/>
              </w:rPr>
              <w:t>Period</w:t>
            </w:r>
          </w:p>
        </w:tc>
        <w:tc>
          <w:tcPr>
            <w:tcW w:w="70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60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days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Commencement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(clause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5.5)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Sales</w:t>
            </w:r>
            <w:r>
              <w:rPr>
                <w:rFonts w:ascii="Tahoma"/>
                <w:b/>
                <w:spacing w:val="-5"/>
                <w:sz w:val="18"/>
              </w:rPr>
              <w:t> </w:t>
            </w:r>
            <w:r>
              <w:rPr>
                <w:rFonts w:ascii="Tahoma"/>
                <w:b/>
                <w:spacing w:val="-2"/>
                <w:sz w:val="18"/>
              </w:rPr>
              <w:t>Target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2"/>
              <w:ind w:right="105"/>
              <w:rPr>
                <w:sz w:val="18"/>
              </w:rPr>
            </w:pPr>
            <w:r>
              <w:rPr>
                <w:sz w:val="18"/>
              </w:rPr>
              <w:t>None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Ramp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Period;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thereafter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notified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PropertyFlow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writing</w:t>
            </w:r>
            <w:r>
              <w:rPr>
                <w:sz w:val="18"/>
              </w:rPr>
              <w:t> (clause 5.5)</w:t>
            </w:r>
          </w:p>
        </w:tc>
      </w:tr>
      <w:tr>
        <w:trPr>
          <w:trHeight w:val="399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VAT</w:t>
            </w:r>
            <w:r>
              <w:rPr>
                <w:rFonts w:ascii="Tahoma"/>
                <w:b/>
                <w:spacing w:val="-7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and</w:t>
            </w:r>
            <w:r>
              <w:rPr>
                <w:rFonts w:ascii="Tahoma"/>
                <w:b/>
                <w:spacing w:val="-7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self-</w:t>
            </w:r>
            <w:r>
              <w:rPr>
                <w:rFonts w:ascii="Tahoma"/>
                <w:b/>
                <w:spacing w:val="-2"/>
                <w:sz w:val="18"/>
              </w:rPr>
              <w:t>billing</w:t>
            </w:r>
          </w:p>
        </w:tc>
        <w:tc>
          <w:tcPr>
            <w:tcW w:w="70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Operator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VAT-registered: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[Yes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No].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VAT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number: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[number,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"None"].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Self-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5"/>
          <w:footerReference w:type="default" r:id="rId6"/>
          <w:type w:val="continuous"/>
          <w:pgSz w:w="11910" w:h="16840"/>
          <w:pgMar w:header="560" w:footer="602" w:top="840" w:bottom="800" w:left="1133" w:right="992"/>
          <w:pgNumType w:start="1"/>
        </w:sectPr>
      </w:pPr>
    </w:p>
    <w:p>
      <w:pPr>
        <w:pStyle w:val="BodyText"/>
        <w:spacing w:before="8"/>
        <w:ind w:left="0"/>
        <w:rPr>
          <w:rFonts w:ascii="Century Gothic"/>
          <w:b/>
          <w:sz w:val="9"/>
        </w:rPr>
      </w:pP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1" coordorigin="0,0" coordsize="9637,15">
                <v:shape style="position:absolute;left:0;top:7;width:9637;height:2" id="docshape12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before="3"/>
        <w:ind w:left="0"/>
        <w:rPr>
          <w:rFonts w:ascii="Century Gothic"/>
          <w:b/>
          <w:sz w:val="11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7038"/>
      </w:tblGrid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038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billing under Schedule 6 </w:t>
            </w:r>
            <w:r>
              <w:rPr>
                <w:spacing w:val="-2"/>
                <w:sz w:val="18"/>
              </w:rPr>
              <w:t>applies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Insurance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3"/>
              <w:ind w:right="105"/>
              <w:rPr>
                <w:sz w:val="18"/>
              </w:rPr>
            </w:pPr>
            <w:r>
              <w:rPr>
                <w:sz w:val="18"/>
              </w:rPr>
              <w:t>[Public liability £2,000,000 where Operator personnel visit properties / </w:t>
            </w:r>
            <w:r>
              <w:rPr>
                <w:sz w:val="18"/>
              </w:rPr>
              <w:t>None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required]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5"/>
                <w:sz w:val="18"/>
              </w:rPr>
              <w:t>Operator</w:t>
            </w:r>
            <w:r>
              <w:rPr>
                <w:rFonts w:ascii="Tahoma"/>
                <w:b/>
                <w:spacing w:val="-3"/>
                <w:sz w:val="18"/>
              </w:rPr>
              <w:t> </w:t>
            </w:r>
            <w:r>
              <w:rPr>
                <w:rFonts w:ascii="Tahoma"/>
                <w:b/>
                <w:spacing w:val="-2"/>
                <w:sz w:val="18"/>
              </w:rPr>
              <w:t>Credentials</w:t>
            </w:r>
          </w:p>
        </w:tc>
        <w:tc>
          <w:tcPr>
            <w:tcW w:w="7038" w:type="dxa"/>
          </w:tcPr>
          <w:p>
            <w:pPr>
              <w:pStyle w:val="TableParagraph"/>
              <w:spacing w:line="194" w:lineRule="auto" w:before="93"/>
              <w:ind w:right="196"/>
              <w:rPr>
                <w:sz w:val="18"/>
              </w:rPr>
            </w:pPr>
            <w:r>
              <w:rPr>
                <w:sz w:val="18"/>
              </w:rPr>
              <w:t>Platform login and PropertyFlow email address issued under clause </w:t>
            </w:r>
            <w:r>
              <w:rPr>
                <w:sz w:val="18"/>
              </w:rPr>
              <w:t>5.7: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[address]</w:t>
            </w:r>
          </w:p>
        </w:tc>
      </w:tr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6"/>
                <w:sz w:val="18"/>
              </w:rPr>
              <w:t>Portfolio</w:t>
            </w:r>
            <w:r>
              <w:rPr>
                <w:rFonts w:ascii="Tahoma"/>
                <w:b/>
                <w:spacing w:val="3"/>
                <w:sz w:val="18"/>
              </w:rPr>
              <w:t> </w:t>
            </w:r>
            <w:r>
              <w:rPr>
                <w:rFonts w:ascii="Tahoma"/>
                <w:b/>
                <w:spacing w:val="-2"/>
                <w:sz w:val="18"/>
              </w:rPr>
              <w:t>Manager</w:t>
            </w:r>
          </w:p>
        </w:tc>
        <w:tc>
          <w:tcPr>
            <w:tcW w:w="7038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named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notified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Operator</w:t>
            </w:r>
          </w:p>
        </w:tc>
      </w:tr>
      <w:tr>
        <w:trPr>
          <w:trHeight w:val="44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Notices</w:t>
            </w:r>
          </w:p>
        </w:tc>
        <w:tc>
          <w:tcPr>
            <w:tcW w:w="7038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PropertyFlow: </w:t>
            </w:r>
            <w:hyperlink r:id="rId8">
              <w:r>
                <w:rPr>
                  <w:sz w:val="18"/>
                </w:rPr>
                <w:t>simran@propertyflow.uk</w:t>
              </w:r>
            </w:hyperlink>
            <w:r>
              <w:rPr>
                <w:sz w:val="18"/>
              </w:rPr>
              <w:t>. Operator: </w:t>
            </w:r>
            <w:r>
              <w:rPr>
                <w:spacing w:val="-2"/>
                <w:sz w:val="18"/>
              </w:rPr>
              <w:t>[email]</w:t>
            </w:r>
          </w:p>
        </w:tc>
      </w:tr>
      <w:tr>
        <w:trPr>
          <w:trHeight w:val="700" w:hRule="atLeast"/>
        </w:trPr>
        <w:tc>
          <w:tcPr>
            <w:tcW w:w="2600" w:type="dxa"/>
            <w:shd w:val="clear" w:color="auto" w:fill="F6F6F7"/>
          </w:tcPr>
          <w:p>
            <w:pPr>
              <w:pStyle w:val="TableParagraph"/>
              <w:spacing w:line="288" w:lineRule="auto" w:before="98"/>
              <w:ind w:left="110" w:right="8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Signatory</w:t>
            </w:r>
            <w:r>
              <w:rPr>
                <w:rFonts w:ascii="Tahoma"/>
                <w:b/>
                <w:spacing w:val="-14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for</w:t>
            </w:r>
            <w:r>
              <w:rPr>
                <w:rFonts w:ascii="Tahoma"/>
                <w:b/>
                <w:sz w:val="18"/>
              </w:rPr>
              <w:t> </w:t>
            </w:r>
            <w:r>
              <w:rPr>
                <w:rFonts w:ascii="Tahoma"/>
                <w:b/>
                <w:spacing w:val="-4"/>
                <w:sz w:val="18"/>
              </w:rPr>
              <w:t>PropertyFlow</w:t>
            </w:r>
          </w:p>
        </w:tc>
        <w:tc>
          <w:tcPr>
            <w:tcW w:w="7038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Simran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Preet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Singh,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Director</w:t>
            </w:r>
          </w:p>
        </w:tc>
      </w:tr>
    </w:tbl>
    <w:p>
      <w:pPr>
        <w:pStyle w:val="BodyText"/>
        <w:spacing w:before="79"/>
        <w:ind w:left="0"/>
        <w:rPr>
          <w:rFonts w:ascii="Century Gothic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227" w:val="left" w:leader="none"/>
        </w:tabs>
        <w:spacing w:line="240" w:lineRule="auto" w:before="0" w:after="71"/>
        <w:ind w:left="227" w:right="0" w:hanging="225"/>
        <w:jc w:val="left"/>
      </w:pPr>
      <w:bookmarkStart w:name="1. Definitions" w:id="2"/>
      <w:bookmarkEnd w:id="2"/>
      <w:r>
        <w:rPr>
          <w:b w:val="0"/>
        </w:rPr>
      </w:r>
      <w:r>
        <w:rPr>
          <w:color w:val="0B0B0E"/>
          <w:spacing w:val="-2"/>
        </w:rPr>
        <w:t>Definitions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3" coordorigin="0,0" coordsize="9637,15">
                <v:shape style="position:absolute;left:0;top:7;width:9637;height:2" id="docshape14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1"/>
        </w:numPr>
        <w:tabs>
          <w:tab w:pos="722" w:val="left" w:leader="none"/>
        </w:tabs>
        <w:spacing w:line="240" w:lineRule="auto" w:before="121" w:after="0"/>
        <w:ind w:left="722" w:right="0" w:hanging="720"/>
        <w:jc w:val="left"/>
        <w:rPr>
          <w:sz w:val="20"/>
        </w:rPr>
      </w:pPr>
      <w:r>
        <w:rPr>
          <w:sz w:val="20"/>
        </w:rPr>
        <w:t>In this </w:t>
      </w:r>
      <w:r>
        <w:rPr>
          <w:spacing w:val="-2"/>
          <w:sz w:val="20"/>
        </w:rPr>
        <w:t>Agreement:</w:t>
      </w:r>
    </w:p>
    <w:p>
      <w:pPr>
        <w:pStyle w:val="BodyText"/>
        <w:spacing w:line="187" w:lineRule="auto" w:before="96"/>
        <w:ind w:right="174"/>
      </w:pPr>
      <w:r>
        <w:rPr>
          <w:rFonts w:ascii="Tahoma"/>
          <w:b/>
        </w:rPr>
        <w:t>"Book"</w:t>
      </w:r>
      <w:r>
        <w:rPr>
          <w:rFonts w:ascii="Tahoma"/>
          <w:b/>
          <w:spacing w:val="-9"/>
        </w:rPr>
        <w:t> </w:t>
      </w:r>
      <w:r>
        <w:rPr/>
        <w:t>means the Operator's right to Commission on its Introduced Landlords,</w:t>
      </w:r>
      <w:r>
        <w:rPr>
          <w:spacing w:val="-1"/>
        </w:rPr>
        <w:t> </w:t>
      </w:r>
      <w:r>
        <w:rPr/>
        <w:t>together </w:t>
      </w:r>
      <w:r>
        <w:rPr/>
        <w:t>with</w:t>
      </w:r>
      <w:r>
        <w:rPr/>
        <w:t> its relationship role under clause 6.5, as recorded on the Register.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"Booking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Channel" </w:t>
      </w:r>
      <w:r>
        <w:rPr/>
        <w:t>means any online travel agency or marketplace (including </w:t>
      </w:r>
      <w:r>
        <w:rPr/>
        <w:t>Airbnb,</w:t>
      </w:r>
      <w:r>
        <w:rPr/>
        <w:t> Booking.com and Vrbo), PropertyFlow's own direct booking site, or other channel </w:t>
      </w:r>
      <w:r>
        <w:rPr/>
        <w:t>through</w:t>
      </w:r>
      <w:r>
        <w:rPr/>
        <w:t> which a Guest books.</w:t>
      </w:r>
    </w:p>
    <w:p>
      <w:pPr>
        <w:pStyle w:val="BodyText"/>
        <w:spacing w:line="187" w:lineRule="auto" w:before="115"/>
        <w:ind w:right="224"/>
      </w:pPr>
      <w:r>
        <w:rPr>
          <w:rFonts w:ascii="Tahoma"/>
          <w:b/>
        </w:rPr>
        <w:t>"Business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</w:rPr>
        <w:t>Day"</w:t>
      </w:r>
      <w:r>
        <w:rPr>
          <w:rFonts w:ascii="Tahoma"/>
          <w:b/>
          <w:spacing w:val="-2"/>
        </w:rPr>
        <w:t> </w:t>
      </w:r>
      <w:r>
        <w:rPr/>
        <w:t>means a day other than a Saturday, Sunday or a bank or public holiday </w:t>
      </w:r>
      <w:r>
        <w:rPr/>
        <w:t>in</w:t>
      </w:r>
      <w:r>
        <w:rPr/>
        <w:t> England and Wales.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"Client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</w:rPr>
        <w:t>Account" </w:t>
      </w:r>
      <w:r>
        <w:rPr/>
        <w:t>means the designated client bank account held by PropertyFlow, se</w:t>
      </w:r>
      <w:r>
        <w:rPr/>
        <w:t>parate</w:t>
      </w:r>
      <w:r>
        <w:rPr/>
        <w:t> from its own funds, used only for Client Money.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"Client</w:t>
      </w:r>
      <w:r>
        <w:rPr>
          <w:rFonts w:ascii="Tahoma"/>
          <w:b/>
          <w:spacing w:val="-14"/>
        </w:rPr>
        <w:t> </w:t>
      </w:r>
      <w:r>
        <w:rPr>
          <w:rFonts w:ascii="Tahoma"/>
          <w:b/>
        </w:rPr>
        <w:t>Ledger"</w:t>
      </w:r>
      <w:r>
        <w:rPr>
          <w:rFonts w:ascii="Tahoma"/>
          <w:b/>
          <w:spacing w:val="-3"/>
        </w:rPr>
        <w:t> </w:t>
      </w:r>
      <w:r>
        <w:rPr/>
        <w:t>means the account within the Client Account kept for each </w:t>
      </w:r>
      <w:r>
        <w:rPr/>
        <w:t>Introduced</w:t>
      </w:r>
      <w:r>
        <w:rPr/>
        <w:t> </w:t>
      </w:r>
      <w:r>
        <w:rPr>
          <w:spacing w:val="-2"/>
        </w:rPr>
        <w:t>Property.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"Client</w:t>
      </w:r>
      <w:r>
        <w:rPr>
          <w:rFonts w:ascii="Tahoma"/>
          <w:b/>
          <w:spacing w:val="-1"/>
        </w:rPr>
        <w:t> </w:t>
      </w:r>
      <w:r>
        <w:rPr>
          <w:rFonts w:ascii="Tahoma"/>
          <w:b/>
        </w:rPr>
        <w:t>Money" </w:t>
      </w:r>
      <w:r>
        <w:rPr/>
        <w:t>means all sums paid by or for Guests, and any other money Prope</w:t>
      </w:r>
      <w:r>
        <w:rPr/>
        <w:t>rtyFlow</w:t>
      </w:r>
      <w:r>
        <w:rPr/>
        <w:t> receives or holds for a Landlord or Guest, pending application under the Landlord Agreement.</w:t>
      </w:r>
    </w:p>
    <w:p>
      <w:pPr>
        <w:pStyle w:val="BodyText"/>
        <w:spacing w:before="62"/>
      </w:pPr>
      <w:r>
        <w:rPr>
          <w:rFonts w:ascii="Tahoma"/>
          <w:b/>
        </w:rPr>
        <w:t>"Commission"</w:t>
      </w:r>
      <w:r>
        <w:rPr>
          <w:rFonts w:ascii="Tahoma"/>
          <w:b/>
          <w:spacing w:val="-7"/>
        </w:rPr>
        <w:t> </w:t>
      </w:r>
      <w:r>
        <w:rPr/>
        <w:t>means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sum payable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Operator under</w:t>
      </w:r>
      <w:r>
        <w:rPr>
          <w:spacing w:val="1"/>
        </w:rPr>
        <w:t> </w:t>
      </w:r>
      <w:r>
        <w:rPr/>
        <w:t>clause</w:t>
      </w:r>
      <w:r>
        <w:rPr>
          <w:spacing w:val="1"/>
        </w:rPr>
        <w:t> </w:t>
      </w:r>
      <w:r>
        <w:rPr>
          <w:spacing w:val="-5"/>
        </w:rPr>
        <w:t>8.</w:t>
      </w:r>
    </w:p>
    <w:p>
      <w:pPr>
        <w:pStyle w:val="BodyText"/>
        <w:spacing w:line="187" w:lineRule="auto" w:before="96"/>
        <w:ind w:right="289"/>
      </w:pPr>
      <w:r>
        <w:rPr>
          <w:rFonts w:ascii="Tahoma"/>
          <w:b/>
        </w:rPr>
        <w:t>"Connected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Person" </w:t>
      </w:r>
      <w:r>
        <w:rPr/>
        <w:t>means a person who is a member of the same household as, a </w:t>
      </w:r>
      <w:r>
        <w:rPr/>
        <w:t>relative</w:t>
      </w:r>
      <w:r>
        <w:rPr/>
        <w:t> of, or a business associate of, an Operator Principal or Group personnel, as the </w:t>
      </w:r>
      <w:r>
        <w:rPr/>
        <w:t>context</w:t>
      </w:r>
      <w:r>
        <w:rPr/>
        <w:t> </w:t>
      </w:r>
      <w:r>
        <w:rPr>
          <w:spacing w:val="-2"/>
        </w:rPr>
        <w:t>requires.</w:t>
      </w:r>
    </w:p>
    <w:p>
      <w:pPr>
        <w:pStyle w:val="BodyText"/>
        <w:spacing w:line="187" w:lineRule="auto" w:before="115"/>
        <w:ind w:right="224"/>
      </w:pPr>
      <w:r>
        <w:rPr>
          <w:rFonts w:ascii="Tahoma"/>
          <w:b/>
        </w:rPr>
        <w:t>"Council</w:t>
      </w:r>
      <w:r>
        <w:rPr>
          <w:rFonts w:ascii="Tahoma"/>
          <w:b/>
          <w:spacing w:val="-9"/>
        </w:rPr>
        <w:t> </w:t>
      </w:r>
      <w:r>
        <w:rPr>
          <w:rFonts w:ascii="Tahoma"/>
          <w:b/>
        </w:rPr>
        <w:t>Card" </w:t>
      </w:r>
      <w:r>
        <w:rPr/>
        <w:t>means PropertyFlow's published statement, on the Platform, of the lice</w:t>
      </w:r>
      <w:r>
        <w:rPr/>
        <w:t>nsing,</w:t>
      </w:r>
      <w:r>
        <w:rPr/>
        <w:t> planning, certification and tax requirements it applies for a particular council area.</w:t>
      </w:r>
    </w:p>
    <w:p>
      <w:pPr>
        <w:pStyle w:val="BodyText"/>
        <w:spacing w:line="187" w:lineRule="auto"/>
        <w:ind w:right="512"/>
        <w:jc w:val="both"/>
      </w:pPr>
      <w:r>
        <w:rPr>
          <w:rFonts w:ascii="Tahoma"/>
          <w:b/>
        </w:rPr>
        <w:t>"Fee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</w:rPr>
        <w:t>Received" </w:t>
      </w:r>
      <w:r>
        <w:rPr/>
        <w:t>means the Management Fee, excluding any VAT charged on it, deducte</w:t>
      </w:r>
      <w:r>
        <w:rPr/>
        <w:t>d</w:t>
      </w:r>
      <w:r>
        <w:rPr/>
        <w:t> from a Client Ledger at the monthly reconciliation and received by PropertyFlow in cleare</w:t>
      </w:r>
      <w:r>
        <w:rPr/>
        <w:t>d</w:t>
      </w:r>
      <w:r>
        <w:rPr/>
        <w:t> funds, less any amount refunded, credited, charged back, reversed or written off.</w:t>
      </w:r>
    </w:p>
    <w:p>
      <w:pPr>
        <w:pStyle w:val="BodyText"/>
        <w:spacing w:line="187" w:lineRule="auto" w:before="116"/>
        <w:ind w:right="224"/>
      </w:pPr>
      <w:r>
        <w:rPr>
          <w:rFonts w:ascii="Tahoma"/>
          <w:b/>
        </w:rPr>
        <w:t>"Go-live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</w:rPr>
        <w:t>Sign-off" </w:t>
      </w:r>
      <w:r>
        <w:rPr/>
        <w:t>means PropertyFlow's written confirmation under clause 4.4 that </w:t>
      </w:r>
      <w:r>
        <w:rPr/>
        <w:t>an</w:t>
      </w:r>
      <w:r>
        <w:rPr/>
        <w:t> Introduced Property may be marketed and hosted.</w:t>
      </w:r>
    </w:p>
    <w:p>
      <w:pPr>
        <w:pStyle w:val="BodyText"/>
        <w:spacing w:line="187" w:lineRule="auto"/>
      </w:pPr>
      <w:r>
        <w:rPr>
          <w:rFonts w:ascii="Tahoma"/>
          <w:b/>
        </w:rPr>
        <w:t>"Gross</w:t>
      </w:r>
      <w:r>
        <w:rPr>
          <w:rFonts w:ascii="Tahoma"/>
          <w:b/>
          <w:spacing w:val="-7"/>
        </w:rPr>
        <w:t> </w:t>
      </w:r>
      <w:r>
        <w:rPr>
          <w:rFonts w:ascii="Tahoma"/>
          <w:b/>
        </w:rPr>
        <w:t>Revenue" </w:t>
      </w:r>
      <w:r>
        <w:rPr/>
        <w:t>means for an Introduced Property and a calendar month, the total paid </w:t>
      </w:r>
      <w:r>
        <w:rPr/>
        <w:t>by</w:t>
      </w:r>
      <w:r>
        <w:rPr/>
        <w:t> Guests for every booking with a check-out date in that month, comprising the </w:t>
      </w:r>
      <w:r>
        <w:rPr/>
        <w:t>accommodation</w:t>
      </w:r>
      <w:r>
        <w:rPr/>
        <w:t> charge, any guest cleaning fee and any other charge to the Guest, before any deduction.</w:t>
      </w:r>
    </w:p>
    <w:p>
      <w:pPr>
        <w:pStyle w:val="BodyText"/>
        <w:spacing w:line="187" w:lineRule="auto" w:before="115"/>
        <w:ind w:right="224"/>
      </w:pPr>
      <w:r>
        <w:rPr>
          <w:rFonts w:ascii="Tahoma"/>
          <w:b/>
        </w:rPr>
        <w:t>"Group" </w:t>
      </w:r>
      <w:r>
        <w:rPr/>
        <w:t>means PropertyFlow, PropertyFlow Technologies Ltd (company number </w:t>
      </w:r>
      <w:r>
        <w:rPr/>
        <w:t>16927756)</w:t>
      </w:r>
      <w:r>
        <w:rPr/>
        <w:t> and any subsidiary or holding company of either; "Group personnel" means an employee</w:t>
      </w:r>
      <w:r>
        <w:rPr/>
        <w:t>,</w:t>
      </w:r>
      <w:r>
        <w:rPr/>
        <w:t> worker, officer or consultant of a Group company.</w:t>
      </w:r>
    </w:p>
    <w:p>
      <w:pPr>
        <w:pStyle w:val="BodyText"/>
        <w:spacing w:after="0" w:line="187" w:lineRule="auto"/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5" coordorigin="0,0" coordsize="9637,15">
                <v:shape style="position:absolute;left:0;top:7;width:9637;height:2" id="docshape16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4"/>
      </w:pPr>
      <w:r>
        <w:rPr>
          <w:rFonts w:ascii="Tahoma"/>
          <w:b/>
        </w:rPr>
        <w:t>"Guest"</w:t>
      </w:r>
      <w:r>
        <w:rPr>
          <w:rFonts w:ascii="Tahoma"/>
          <w:b/>
          <w:spacing w:val="-4"/>
        </w:rPr>
        <w:t> </w:t>
      </w:r>
      <w:r>
        <w:rPr/>
        <w:t>means</w:t>
      </w:r>
      <w:r>
        <w:rPr>
          <w:spacing w:val="5"/>
        </w:rPr>
        <w:t> </w:t>
      </w:r>
      <w:r>
        <w:rPr/>
        <w:t>any</w:t>
      </w:r>
      <w:r>
        <w:rPr>
          <w:spacing w:val="5"/>
        </w:rPr>
        <w:t> </w:t>
      </w:r>
      <w:r>
        <w:rPr/>
        <w:t>person</w:t>
      </w:r>
      <w:r>
        <w:rPr>
          <w:spacing w:val="5"/>
        </w:rPr>
        <w:t> </w:t>
      </w:r>
      <w:r>
        <w:rPr/>
        <w:t>who</w:t>
      </w:r>
      <w:r>
        <w:rPr>
          <w:spacing w:val="5"/>
        </w:rPr>
        <w:t> </w:t>
      </w:r>
      <w:r>
        <w:rPr/>
        <w:t>books</w:t>
      </w:r>
      <w:r>
        <w:rPr>
          <w:spacing w:val="5"/>
        </w:rPr>
        <w:t> </w:t>
      </w:r>
      <w:r>
        <w:rPr/>
        <w:t>or</w:t>
      </w:r>
      <w:r>
        <w:rPr>
          <w:spacing w:val="5"/>
        </w:rPr>
        <w:t> </w:t>
      </w:r>
      <w:r>
        <w:rPr/>
        <w:t>occupies</w:t>
      </w:r>
      <w:r>
        <w:rPr>
          <w:spacing w:val="5"/>
        </w:rPr>
        <w:t> </w:t>
      </w:r>
      <w:r>
        <w:rPr/>
        <w:t>an</w:t>
      </w:r>
      <w:r>
        <w:rPr>
          <w:spacing w:val="5"/>
        </w:rPr>
        <w:t> </w:t>
      </w:r>
      <w:r>
        <w:rPr/>
        <w:t>Introduced</w:t>
      </w:r>
      <w:r>
        <w:rPr>
          <w:spacing w:val="5"/>
        </w:rPr>
        <w:t> </w:t>
      </w:r>
      <w:r>
        <w:rPr>
          <w:spacing w:val="-2"/>
        </w:rPr>
        <w:t>Property.</w:t>
      </w:r>
    </w:p>
    <w:p>
      <w:pPr>
        <w:pStyle w:val="BodyText"/>
        <w:spacing w:line="187" w:lineRule="auto" w:before="96"/>
        <w:ind w:right="224"/>
      </w:pPr>
      <w:r>
        <w:rPr>
          <w:rFonts w:ascii="Tahoma"/>
          <w:b/>
        </w:rPr>
        <w:t>"Intake"</w:t>
      </w:r>
      <w:r>
        <w:rPr>
          <w:rFonts w:ascii="Tahoma"/>
          <w:b/>
          <w:spacing w:val="-10"/>
        </w:rPr>
        <w:t> </w:t>
      </w:r>
      <w:r>
        <w:rPr/>
        <w:t>means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stage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Onboarding</w:t>
      </w:r>
      <w:r>
        <w:rPr>
          <w:spacing w:val="-2"/>
        </w:rPr>
        <w:t> </w:t>
      </w:r>
      <w:r>
        <w:rPr/>
        <w:t>Pack,</w:t>
      </w:r>
      <w:r>
        <w:rPr>
          <w:spacing w:val="-2"/>
        </w:rPr>
        <w:t> </w:t>
      </w:r>
      <w:r>
        <w:rPr/>
        <w:t>completed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Operator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/>
        <w:t> Platform before a Landlord Agreement is initiated (Schedule 4 Part A).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"Introduced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</w:rPr>
        <w:t>Landlord"</w:t>
      </w:r>
      <w:r>
        <w:rPr>
          <w:rFonts w:ascii="Tahoma"/>
          <w:b/>
          <w:spacing w:val="-8"/>
        </w:rPr>
        <w:t> </w:t>
      </w:r>
      <w:r>
        <w:rPr/>
        <w:t>means a Landlord introduced by the Operator and recorded as </w:t>
      </w:r>
      <w:r>
        <w:rPr/>
        <w:t>such</w:t>
      </w:r>
      <w:r>
        <w:rPr/>
        <w:t> on the Register under clause 6.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"Introduced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</w:rPr>
        <w:t>Property"</w:t>
      </w:r>
      <w:r>
        <w:rPr>
          <w:rFonts w:ascii="Tahoma"/>
          <w:b/>
          <w:spacing w:val="-13"/>
        </w:rPr>
        <w:t> </w:t>
      </w:r>
      <w:r>
        <w:rPr/>
        <w:t>means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Introduced</w:t>
      </w:r>
      <w:r>
        <w:rPr>
          <w:spacing w:val="-3"/>
        </w:rPr>
        <w:t> </w:t>
      </w:r>
      <w:r>
        <w:rPr/>
        <w:t>Landlord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Landlord</w:t>
      </w:r>
      <w:r>
        <w:rPr/>
        <w:t> Agreement and recorded on the Register.</w:t>
      </w:r>
    </w:p>
    <w:p>
      <w:pPr>
        <w:pStyle w:val="BodyText"/>
        <w:spacing w:before="61"/>
      </w:pPr>
      <w:r>
        <w:rPr>
          <w:rFonts w:ascii="Tahoma"/>
          <w:b/>
        </w:rPr>
        <w:t>"Landlord"</w:t>
      </w:r>
      <w:r>
        <w:rPr>
          <w:rFonts w:ascii="Tahoma"/>
          <w:b/>
          <w:spacing w:val="-6"/>
        </w:rPr>
        <w:t> </w:t>
      </w:r>
      <w:r>
        <w:rPr/>
        <w:t>means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owner</w:t>
      </w:r>
      <w:r>
        <w:rPr>
          <w:spacing w:val="1"/>
        </w:rPr>
        <w:t> </w:t>
      </w:r>
      <w:r>
        <w:rPr/>
        <w:t>of,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person</w:t>
      </w:r>
      <w:r>
        <w:rPr>
          <w:spacing w:val="2"/>
        </w:rPr>
        <w:t> </w:t>
      </w:r>
      <w:r>
        <w:rPr/>
        <w:t>otherwise</w:t>
      </w:r>
      <w:r>
        <w:rPr>
          <w:spacing w:val="2"/>
        </w:rPr>
        <w:t> </w:t>
      </w:r>
      <w:r>
        <w:rPr/>
        <w:t>entitled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let,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>
          <w:spacing w:val="-2"/>
        </w:rPr>
        <w:t>property.</w:t>
      </w:r>
    </w:p>
    <w:p>
      <w:pPr>
        <w:pStyle w:val="BodyText"/>
        <w:spacing w:line="187" w:lineRule="auto" w:before="96"/>
        <w:ind w:right="224"/>
      </w:pPr>
      <w:r>
        <w:rPr>
          <w:rFonts w:ascii="Tahoma"/>
          <w:b/>
        </w:rPr>
        <w:t>"Landlord Agreement" </w:t>
      </w:r>
      <w:r>
        <w:rPr/>
        <w:t>means PropertyFlow's standard form management agreeme</w:t>
      </w:r>
      <w:r>
        <w:rPr/>
        <w:t>nt</w:t>
      </w:r>
      <w:r>
        <w:rPr/>
        <w:t> between PropertyFlow (as agent) and a Landlord, initiated through the Platform and </w:t>
      </w:r>
      <w:r>
        <w:rPr/>
        <w:t>signed</w:t>
      </w:r>
      <w:r>
        <w:rPr/>
        <w:t> electronically, as amended by PropertyFlow from time to time.</w:t>
      </w:r>
    </w:p>
    <w:p>
      <w:pPr>
        <w:pStyle w:val="BodyText"/>
        <w:spacing w:line="187" w:lineRule="auto" w:before="116"/>
        <w:ind w:right="160"/>
      </w:pPr>
      <w:r>
        <w:rPr>
          <w:rFonts w:ascii="Tahoma"/>
          <w:b/>
        </w:rPr>
        <w:t>"Licence" </w:t>
      </w:r>
      <w:r>
        <w:rPr/>
        <w:t>means any licence, registration, certificate, temporary licence or tem</w:t>
      </w:r>
      <w:r>
        <w:rPr/>
        <w:t>porary</w:t>
      </w:r>
      <w:r>
        <w:rPr/>
        <w:t> exemption that the law of the part of the United Kingdom where a property is situated re</w:t>
      </w:r>
      <w:r>
        <w:rPr/>
        <w:t>quires</w:t>
      </w:r>
      <w:r>
        <w:rPr/>
        <w:t> for it to be used as a short-term let (including under the Civic Government (Scotland) Act </w:t>
      </w:r>
      <w:r>
        <w:rPr/>
        <w:t>1982</w:t>
      </w:r>
      <w:r>
        <w:rPr/>
        <w:t> (Licensing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Short-term</w:t>
      </w:r>
      <w:r>
        <w:rPr>
          <w:spacing w:val="23"/>
        </w:rPr>
        <w:t> </w:t>
      </w:r>
      <w:r>
        <w:rPr/>
        <w:t>Lets)</w:t>
      </w:r>
      <w:r>
        <w:rPr>
          <w:spacing w:val="23"/>
        </w:rPr>
        <w:t> </w:t>
      </w:r>
      <w:r>
        <w:rPr/>
        <w:t>Order</w:t>
      </w:r>
      <w:r>
        <w:rPr>
          <w:spacing w:val="23"/>
        </w:rPr>
        <w:t> </w:t>
      </w:r>
      <w:r>
        <w:rPr/>
        <w:t>2022,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registration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licensing</w:t>
      </w:r>
      <w:r>
        <w:rPr>
          <w:spacing w:val="23"/>
        </w:rPr>
        <w:t> </w:t>
      </w:r>
      <w:r>
        <w:rPr/>
        <w:t>scheme</w:t>
      </w:r>
      <w:r>
        <w:rPr>
          <w:spacing w:val="23"/>
        </w:rPr>
        <w:t> </w:t>
      </w:r>
      <w:r>
        <w:rPr/>
        <w:t>for</w:t>
      </w:r>
      <w:r>
        <w:rPr>
          <w:spacing w:val="80"/>
        </w:rPr>
        <w:t> </w:t>
      </w:r>
      <w:r>
        <w:rPr/>
        <w:t>short</w:t>
      </w:r>
      <w:r>
        <w:rPr/>
        <w:t>-</w:t>
      </w:r>
      <w:r>
        <w:rPr/>
        <w:t>term lets in England or Wales, and certification under the Tourism (Northern Ireland) Orde</w:t>
      </w:r>
      <w:r>
        <w:rPr/>
        <w:t>r</w:t>
      </w:r>
      <w:r>
        <w:rPr/>
        <w:t> 1992),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any</w:t>
      </w:r>
      <w:r>
        <w:rPr>
          <w:spacing w:val="20"/>
        </w:rPr>
        <w:t> </w:t>
      </w:r>
      <w:r>
        <w:rPr/>
        <w:t>planning</w:t>
      </w:r>
      <w:r>
        <w:rPr>
          <w:spacing w:val="20"/>
        </w:rPr>
        <w:t> </w:t>
      </w:r>
      <w:r>
        <w:rPr/>
        <w:t>permission,</w:t>
      </w:r>
      <w:r>
        <w:rPr>
          <w:spacing w:val="20"/>
        </w:rPr>
        <w:t> </w:t>
      </w:r>
      <w:r>
        <w:rPr/>
        <w:t>certificate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lawfulness</w:t>
      </w:r>
      <w:r>
        <w:rPr>
          <w:spacing w:val="20"/>
        </w:rPr>
        <w:t> </w:t>
      </w:r>
      <w:r>
        <w:rPr/>
        <w:t>or</w:t>
      </w:r>
      <w:r>
        <w:rPr>
          <w:spacing w:val="20"/>
        </w:rPr>
        <w:t> </w:t>
      </w:r>
      <w:r>
        <w:rPr/>
        <w:t>other</w:t>
      </w:r>
      <w:r>
        <w:rPr>
          <w:spacing w:val="20"/>
        </w:rPr>
        <w:t> </w:t>
      </w:r>
      <w:r>
        <w:rPr/>
        <w:t>consent</w:t>
      </w:r>
      <w:r>
        <w:rPr>
          <w:spacing w:val="20"/>
        </w:rPr>
        <w:t> </w:t>
      </w:r>
      <w:r>
        <w:rPr/>
        <w:t>required</w:t>
      </w:r>
      <w:r>
        <w:rPr>
          <w:spacing w:val="20"/>
        </w:rPr>
        <w:t> </w:t>
      </w:r>
      <w:r>
        <w:rPr/>
        <w:t>for</w:t>
      </w:r>
      <w:r>
        <w:rPr/>
        <w:t> that use.</w:t>
      </w:r>
    </w:p>
    <w:p>
      <w:pPr>
        <w:pStyle w:val="BodyText"/>
        <w:spacing w:line="187" w:lineRule="auto" w:before="109"/>
        <w:ind w:right="224"/>
      </w:pPr>
      <w:r>
        <w:rPr>
          <w:rFonts w:ascii="Tahoma"/>
          <w:b/>
        </w:rPr>
        <w:t>"Maintenance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</w:rPr>
        <w:t>Partner"</w:t>
      </w:r>
      <w:r>
        <w:rPr>
          <w:rFonts w:ascii="Tahoma"/>
          <w:b/>
          <w:spacing w:val="-2"/>
        </w:rPr>
        <w:t> </w:t>
      </w:r>
      <w:r>
        <w:rPr/>
        <w:t>means a maintenance provider engaged by PropertyFlow, as </w:t>
      </w:r>
      <w:r>
        <w:rPr/>
        <w:t>agent</w:t>
      </w:r>
      <w:r>
        <w:rPr/>
        <w:t> for the Landlord, under a Service Partner Agreement.</w:t>
      </w:r>
    </w:p>
    <w:p>
      <w:pPr>
        <w:pStyle w:val="BodyText"/>
        <w:spacing w:line="187" w:lineRule="auto"/>
        <w:ind w:right="276"/>
      </w:pPr>
      <w:r>
        <w:rPr>
          <w:rFonts w:ascii="Tahoma"/>
          <w:b/>
        </w:rPr>
        <w:t>"Management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</w:rPr>
        <w:t>Fee"</w:t>
      </w:r>
      <w:r>
        <w:rPr>
          <w:rFonts w:ascii="Tahoma"/>
          <w:b/>
          <w:spacing w:val="-7"/>
        </w:rPr>
        <w:t> </w:t>
      </w:r>
      <w:r>
        <w:rPr/>
        <w:t>means the management fee payable by a Landlord under the </w:t>
      </w:r>
      <w:r>
        <w:rPr/>
        <w:t>Landlord</w:t>
      </w:r>
      <w:r>
        <w:rPr/>
        <w:t> Agreement, expressed as a percentage of Net Revenue and stated in that </w:t>
      </w:r>
      <w:r>
        <w:rPr/>
        <w:t>Landlord</w:t>
      </w:r>
      <w:r>
        <w:rPr/>
        <w:t> Agreement,</w:t>
      </w:r>
      <w:r>
        <w:rPr>
          <w:spacing w:val="32"/>
        </w:rPr>
        <w:t> </w:t>
      </w:r>
      <w:r>
        <w:rPr/>
        <w:t>exclusive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VAT.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standard</w:t>
      </w:r>
      <w:r>
        <w:rPr>
          <w:spacing w:val="32"/>
        </w:rPr>
        <w:t> </w:t>
      </w:r>
      <w:r>
        <w:rPr/>
        <w:t>rate</w:t>
      </w:r>
      <w:r>
        <w:rPr>
          <w:spacing w:val="32"/>
        </w:rPr>
        <w:t> </w:t>
      </w:r>
      <w:r>
        <w:rPr/>
        <w:t>is</w:t>
      </w:r>
      <w:r>
        <w:rPr>
          <w:spacing w:val="32"/>
        </w:rPr>
        <w:t> </w:t>
      </w:r>
      <w:r>
        <w:rPr/>
        <w:t>20%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Net</w:t>
      </w:r>
      <w:r>
        <w:rPr>
          <w:spacing w:val="32"/>
        </w:rPr>
        <w:t> </w:t>
      </w:r>
      <w:r>
        <w:rPr/>
        <w:t>Revenue.</w:t>
      </w:r>
    </w:p>
    <w:p>
      <w:pPr>
        <w:spacing w:before="60"/>
        <w:ind w:left="723" w:right="0" w:firstLine="0"/>
        <w:jc w:val="left"/>
        <w:rPr>
          <w:sz w:val="20"/>
        </w:rPr>
      </w:pPr>
      <w:r>
        <w:rPr>
          <w:rFonts w:ascii="Tahoma" w:hAnsi="Tahoma"/>
          <w:b/>
          <w:sz w:val="20"/>
        </w:rPr>
        <w:t>"Money</w:t>
      </w:r>
      <w:r>
        <w:rPr>
          <w:rFonts w:ascii="Tahoma" w:hAnsi="Tahoma"/>
          <w:b/>
          <w:spacing w:val="-6"/>
          <w:sz w:val="20"/>
        </w:rPr>
        <w:t> </w:t>
      </w:r>
      <w:r>
        <w:rPr>
          <w:rFonts w:ascii="Tahoma" w:hAnsi="Tahoma"/>
          <w:b/>
          <w:sz w:val="20"/>
        </w:rPr>
        <w:t>Service</w:t>
      </w:r>
      <w:r>
        <w:rPr>
          <w:rFonts w:ascii="Tahoma" w:hAnsi="Tahoma"/>
          <w:b/>
          <w:spacing w:val="-6"/>
          <w:sz w:val="20"/>
        </w:rPr>
        <w:t> </w:t>
      </w:r>
      <w:r>
        <w:rPr>
          <w:rFonts w:ascii="Tahoma" w:hAnsi="Tahoma"/>
          <w:b/>
          <w:sz w:val="20"/>
        </w:rPr>
        <w:t>Standard"</w:t>
      </w:r>
      <w:r>
        <w:rPr>
          <w:rFonts w:ascii="Tahoma" w:hAnsi="Tahoma"/>
          <w:b/>
          <w:spacing w:val="6"/>
          <w:sz w:val="20"/>
        </w:rPr>
        <w:t> </w:t>
      </w:r>
      <w:r>
        <w:rPr>
          <w:sz w:val="20"/>
        </w:rPr>
        <w:t>means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3"/>
          <w:sz w:val="20"/>
        </w:rPr>
        <w:t> </w:t>
      </w:r>
      <w:r>
        <w:rPr>
          <w:sz w:val="20"/>
        </w:rPr>
        <w:t>Service</w:t>
      </w:r>
      <w:r>
        <w:rPr>
          <w:spacing w:val="13"/>
          <w:sz w:val="20"/>
        </w:rPr>
        <w:t> </w:t>
      </w:r>
      <w:r>
        <w:rPr>
          <w:sz w:val="20"/>
        </w:rPr>
        <w:t>Standard</w:t>
      </w:r>
      <w:r>
        <w:rPr>
          <w:spacing w:val="14"/>
          <w:sz w:val="20"/>
        </w:rPr>
        <w:t> </w:t>
      </w:r>
      <w:r>
        <w:rPr>
          <w:sz w:val="20"/>
        </w:rPr>
        <w:t>marked</w:t>
      </w:r>
      <w:r>
        <w:rPr>
          <w:spacing w:val="13"/>
          <w:sz w:val="20"/>
        </w:rPr>
        <w:t> </w:t>
      </w:r>
      <w:r>
        <w:rPr>
          <w:sz w:val="20"/>
        </w:rPr>
        <w:t>★</w:t>
      </w:r>
      <w:r>
        <w:rPr>
          <w:spacing w:val="13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sz w:val="20"/>
        </w:rPr>
        <w:t>Schedule</w:t>
      </w:r>
      <w:r>
        <w:rPr>
          <w:spacing w:val="13"/>
          <w:sz w:val="20"/>
        </w:rPr>
        <w:t> </w:t>
      </w:r>
      <w:r>
        <w:rPr>
          <w:spacing w:val="-5"/>
          <w:sz w:val="20"/>
        </w:rPr>
        <w:t>3.</w:t>
      </w:r>
    </w:p>
    <w:p>
      <w:pPr>
        <w:pStyle w:val="BodyText"/>
        <w:spacing w:line="187" w:lineRule="auto" w:before="96"/>
        <w:ind w:right="224"/>
      </w:pPr>
      <w:r>
        <w:rPr>
          <w:rFonts w:ascii="Tahoma"/>
          <w:b/>
        </w:rPr>
        <w:t>"Net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</w:rPr>
        <w:t>Revenue" </w:t>
      </w:r>
      <w:r>
        <w:rPr/>
        <w:t>means for an Introduced Property and a calendar month, Gross Revenue </w:t>
      </w:r>
      <w:r>
        <w:rPr/>
        <w:t>less</w:t>
      </w:r>
      <w:r>
        <w:rPr/>
        <w:t> Booking Channel commission, payment processing fees and refunds made to Guests. </w:t>
      </w:r>
      <w:r>
        <w:rPr/>
        <w:t>Net</w:t>
      </w:r>
      <w:r>
        <w:rPr/>
        <w:t> Revenue is calculated before Tourist Tax is deducted.</w:t>
      </w:r>
    </w:p>
    <w:p>
      <w:pPr>
        <w:pStyle w:val="BodyText"/>
        <w:spacing w:line="187" w:lineRule="auto" w:before="115"/>
        <w:ind w:right="224"/>
      </w:pPr>
      <w:r>
        <w:rPr>
          <w:rFonts w:ascii="Tahoma"/>
          <w:b/>
        </w:rPr>
        <w:t>"Onboarding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</w:rPr>
        <w:t>Pack"</w:t>
      </w:r>
      <w:r>
        <w:rPr>
          <w:rFonts w:ascii="Tahoma"/>
          <w:b/>
          <w:spacing w:val="-1"/>
        </w:rPr>
        <w:t> </w:t>
      </w:r>
      <w:r>
        <w:rPr/>
        <w:t>means PropertyFlow's Property Onboarding Pack, completed on </w:t>
      </w:r>
      <w:r>
        <w:rPr/>
        <w:t>the</w:t>
      </w:r>
      <w:r>
        <w:rPr/>
        <w:t> Platform in two stages, Intake and Onboarding, as described in Schedule 4.</w:t>
      </w:r>
    </w:p>
    <w:p>
      <w:pPr>
        <w:pStyle w:val="BodyText"/>
        <w:spacing w:line="187" w:lineRule="auto"/>
        <w:ind w:right="224"/>
      </w:pPr>
      <w:r>
        <w:rPr>
          <w:rFonts w:ascii="Tahoma" w:hAnsi="Tahoma"/>
          <w:b/>
        </w:rPr>
        <w:t>"Operating</w:t>
      </w:r>
      <w:r>
        <w:rPr>
          <w:rFonts w:ascii="Tahoma" w:hAnsi="Tahoma"/>
          <w:b/>
          <w:spacing w:val="-14"/>
        </w:rPr>
        <w:t> </w:t>
      </w:r>
      <w:r>
        <w:rPr>
          <w:rFonts w:ascii="Tahoma" w:hAnsi="Tahoma"/>
          <w:b/>
        </w:rPr>
        <w:t>Advance"</w:t>
      </w:r>
      <w:r>
        <w:rPr>
          <w:rFonts w:ascii="Tahoma" w:hAnsi="Tahoma"/>
          <w:b/>
          <w:spacing w:val="-2"/>
        </w:rPr>
        <w:t> </w:t>
      </w:r>
      <w:r>
        <w:rPr/>
        <w:t>means an advance that PropertyFlow may lend to a Landlord under </w:t>
      </w:r>
      <w:r>
        <w:rPr/>
        <w:t>the</w:t>
      </w:r>
      <w:r>
        <w:rPr/>
        <w:t> Landlord Agreement to fund initial property costs, repayable from payouts: up to £500 </w:t>
      </w:r>
      <w:r>
        <w:rPr/>
        <w:t>as</w:t>
      </w:r>
      <w:r>
        <w:rPr/>
        <w:t> standard, and up to £1,500 where PropertyFlow chooses to fund a Licence application fee.</w:t>
      </w:r>
    </w:p>
    <w:p>
      <w:pPr>
        <w:pStyle w:val="BodyText"/>
        <w:spacing w:line="187" w:lineRule="auto" w:before="116"/>
        <w:ind w:right="224"/>
      </w:pPr>
      <w:r>
        <w:rPr>
          <w:rFonts w:ascii="Tahoma"/>
          <w:b/>
        </w:rPr>
        <w:t>"Operator</w:t>
      </w:r>
      <w:r>
        <w:rPr>
          <w:rFonts w:ascii="Tahoma"/>
          <w:b/>
          <w:spacing w:val="-15"/>
        </w:rPr>
        <w:t> </w:t>
      </w:r>
      <w:r>
        <w:rPr>
          <w:rFonts w:ascii="Tahoma"/>
          <w:b/>
        </w:rPr>
        <w:t>Credentials"</w:t>
      </w:r>
      <w:r>
        <w:rPr>
          <w:rFonts w:ascii="Tahoma"/>
          <w:b/>
          <w:spacing w:val="-4"/>
        </w:rPr>
        <w:t> </w:t>
      </w:r>
      <w:r>
        <w:rPr/>
        <w:t>means the Platform login and the PropertyFlow email address issue</w:t>
      </w:r>
      <w:r>
        <w:rPr/>
        <w:t>d</w:t>
      </w:r>
      <w:r>
        <w:rPr/>
        <w:t> to the Operator under clause 5.7.</w:t>
      </w:r>
    </w:p>
    <w:p>
      <w:pPr>
        <w:pStyle w:val="BodyText"/>
        <w:spacing w:line="187" w:lineRule="auto"/>
        <w:ind w:right="224"/>
      </w:pPr>
      <w:r>
        <w:rPr>
          <w:rFonts w:ascii="Tahoma"/>
          <w:b/>
        </w:rPr>
        <w:t>"Platform" </w:t>
      </w:r>
      <w:r>
        <w:rPr/>
        <w:t>means the PropertyFlow property management platform provided </w:t>
      </w:r>
      <w:r>
        <w:rPr/>
        <w:t>by</w:t>
      </w:r>
      <w:r>
        <w:rPr/>
        <w:t> PropertyFlow Technologies Ltd, on the web and in the PropertyFlow app, including </w:t>
      </w:r>
      <w:r>
        <w:rPr/>
        <w:t>the</w:t>
      </w:r>
      <w:r>
        <w:rPr/>
        <w:t> operator portal and the landlord portal.</w:t>
      </w:r>
    </w:p>
    <w:p>
      <w:pPr>
        <w:pStyle w:val="BodyText"/>
        <w:spacing w:line="187" w:lineRule="auto" w:before="115"/>
        <w:ind w:right="289"/>
      </w:pPr>
      <w:r>
        <w:rPr>
          <w:rFonts w:ascii="Tahoma"/>
          <w:b/>
        </w:rPr>
        <w:t>"Portfolio</w:t>
      </w:r>
      <w:r>
        <w:rPr>
          <w:rFonts w:ascii="Tahoma"/>
          <w:b/>
          <w:spacing w:val="-5"/>
        </w:rPr>
        <w:t> </w:t>
      </w:r>
      <w:r>
        <w:rPr>
          <w:rFonts w:ascii="Tahoma"/>
          <w:b/>
        </w:rPr>
        <w:t>Manager" </w:t>
      </w:r>
      <w:r>
        <w:rPr/>
        <w:t>means the member of PropertyFlow's back office named on </w:t>
      </w:r>
      <w:r>
        <w:rPr/>
        <w:t>the</w:t>
      </w:r>
      <w:r>
        <w:rPr/>
        <w:t> Platform as the day-to-day contact for the Operator and for each Introduced Landlord.</w:t>
      </w:r>
    </w:p>
    <w:p>
      <w:pPr>
        <w:spacing w:before="62"/>
        <w:ind w:left="723" w:right="0" w:firstLine="0"/>
        <w:jc w:val="left"/>
        <w:rPr>
          <w:sz w:val="20"/>
        </w:rPr>
      </w:pPr>
      <w:r>
        <w:rPr>
          <w:rFonts w:ascii="Tahoma"/>
          <w:b/>
          <w:sz w:val="20"/>
        </w:rPr>
        <w:t>"Ramp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Period"</w:t>
      </w:r>
      <w:r>
        <w:rPr>
          <w:rFonts w:ascii="Tahoma"/>
          <w:b/>
          <w:spacing w:val="-15"/>
          <w:sz w:val="20"/>
        </w:rPr>
        <w:t> </w:t>
      </w:r>
      <w:r>
        <w:rPr>
          <w:sz w:val="20"/>
        </w:rPr>
        <w:t>means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period</w:t>
      </w:r>
      <w:r>
        <w:rPr>
          <w:spacing w:val="-5"/>
          <w:sz w:val="20"/>
        </w:rPr>
        <w:t> </w:t>
      </w:r>
      <w:r>
        <w:rPr>
          <w:sz w:val="20"/>
        </w:rPr>
        <w:t>stated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Particulars.</w:t>
      </w:r>
    </w:p>
    <w:p>
      <w:pPr>
        <w:pStyle w:val="BodyText"/>
        <w:spacing w:line="187" w:lineRule="auto" w:before="96"/>
        <w:ind w:right="224"/>
      </w:pPr>
      <w:r>
        <w:rPr>
          <w:rFonts w:ascii="Tahoma"/>
          <w:b/>
        </w:rPr>
        <w:t>"Register" </w:t>
      </w:r>
      <w:r>
        <w:rPr/>
        <w:t>means PropertyFlow's register of Introduced Landlords and Introduced Propertie</w:t>
      </w:r>
      <w:r>
        <w:rPr/>
        <w:t>s,</w:t>
      </w:r>
      <w:r>
        <w:rPr/>
        <w:t> kept on the Platform and viewable by the Operator.</w:t>
      </w:r>
    </w:p>
    <w:p>
      <w:pPr>
        <w:spacing w:before="61"/>
        <w:ind w:left="723" w:right="0" w:firstLine="0"/>
        <w:jc w:val="left"/>
        <w:rPr>
          <w:sz w:val="20"/>
        </w:rPr>
      </w:pPr>
      <w:r>
        <w:rPr>
          <w:rFonts w:ascii="Tahoma"/>
          <w:b/>
          <w:sz w:val="20"/>
        </w:rPr>
        <w:t>"Sales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Target"</w:t>
      </w:r>
      <w:r>
        <w:rPr>
          <w:rFonts w:ascii="Tahoma"/>
          <w:b/>
          <w:spacing w:val="-7"/>
          <w:sz w:val="20"/>
        </w:rPr>
        <w:t> </w:t>
      </w:r>
      <w:r>
        <w:rPr>
          <w:sz w:val="20"/>
        </w:rPr>
        <w:t>means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2"/>
          <w:sz w:val="20"/>
        </w:rPr>
        <w:t> </w:t>
      </w:r>
      <w:r>
        <w:rPr>
          <w:sz w:val="20"/>
        </w:rPr>
        <w:t>target</w:t>
      </w:r>
      <w:r>
        <w:rPr>
          <w:spacing w:val="2"/>
          <w:sz w:val="20"/>
        </w:rPr>
        <w:t> </w:t>
      </w:r>
      <w:r>
        <w:rPr>
          <w:sz w:val="20"/>
        </w:rPr>
        <w:t>notified</w:t>
      </w:r>
      <w:r>
        <w:rPr>
          <w:spacing w:val="1"/>
          <w:sz w:val="20"/>
        </w:rPr>
        <w:t> </w:t>
      </w:r>
      <w:r>
        <w:rPr>
          <w:sz w:val="20"/>
        </w:rPr>
        <w:t>under</w:t>
      </w:r>
      <w:r>
        <w:rPr>
          <w:spacing w:val="2"/>
          <w:sz w:val="20"/>
        </w:rPr>
        <w:t> </w:t>
      </w:r>
      <w:r>
        <w:rPr>
          <w:sz w:val="20"/>
        </w:rPr>
        <w:t>clause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5.5.</w:t>
      </w:r>
    </w:p>
    <w:p>
      <w:pPr>
        <w:spacing w:after="0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7" coordorigin="0,0" coordsize="9637,15">
                <v:shape style="position:absolute;left:0;top:7;width:9637;height:2" id="docshape18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87" w:lineRule="auto" w:before="160"/>
        <w:ind w:right="224"/>
      </w:pPr>
      <w:r>
        <w:rPr>
          <w:rFonts w:ascii="Tahoma"/>
          <w:b/>
        </w:rPr>
        <w:t>"Service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</w:rPr>
        <w:t>Partner"</w:t>
      </w:r>
      <w:r>
        <w:rPr>
          <w:rFonts w:ascii="Tahoma"/>
          <w:b/>
          <w:spacing w:val="-1"/>
        </w:rPr>
        <w:t> </w:t>
      </w:r>
      <w:r>
        <w:rPr/>
        <w:t>means a cleaning, changeover, linen or similar provider engaged </w:t>
      </w:r>
      <w:r>
        <w:rPr/>
        <w:t>by</w:t>
      </w:r>
      <w:r>
        <w:rPr/>
        <w:t> PropertyFlow, as agent for the Landlord, under a Service Partner Agreement.</w:t>
      </w:r>
    </w:p>
    <w:p>
      <w:pPr>
        <w:spacing w:before="61"/>
        <w:ind w:left="723" w:right="0" w:firstLine="0"/>
        <w:jc w:val="left"/>
        <w:rPr>
          <w:sz w:val="20"/>
        </w:rPr>
      </w:pPr>
      <w:r>
        <w:rPr>
          <w:rFonts w:ascii="Tahoma"/>
          <w:b/>
          <w:sz w:val="20"/>
        </w:rPr>
        <w:t>"Service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Standards"</w:t>
      </w:r>
      <w:r>
        <w:rPr>
          <w:rFonts w:ascii="Tahoma"/>
          <w:b/>
          <w:spacing w:val="5"/>
          <w:sz w:val="20"/>
        </w:rPr>
        <w:t> </w:t>
      </w:r>
      <w:r>
        <w:rPr>
          <w:sz w:val="20"/>
        </w:rPr>
        <w:t>means</w:t>
      </w:r>
      <w:r>
        <w:rPr>
          <w:spacing w:val="10"/>
          <w:sz w:val="20"/>
        </w:rPr>
        <w:t> </w:t>
      </w:r>
      <w:r>
        <w:rPr>
          <w:sz w:val="20"/>
        </w:rPr>
        <w:t>Schedule</w:t>
      </w:r>
      <w:r>
        <w:rPr>
          <w:spacing w:val="11"/>
          <w:sz w:val="20"/>
        </w:rPr>
        <w:t> </w:t>
      </w:r>
      <w:r>
        <w:rPr>
          <w:spacing w:val="-5"/>
          <w:sz w:val="20"/>
        </w:rPr>
        <w:t>3.</w:t>
      </w:r>
    </w:p>
    <w:p>
      <w:pPr>
        <w:pStyle w:val="BodyText"/>
        <w:spacing w:line="187" w:lineRule="auto" w:before="96"/>
        <w:ind w:right="224"/>
      </w:pPr>
      <w:r>
        <w:rPr>
          <w:rFonts w:ascii="Tahoma"/>
          <w:b/>
        </w:rPr>
        <w:t>"Statement" </w:t>
      </w:r>
      <w:r>
        <w:rPr/>
        <w:t>means the monthly statement PropertyFlow issues to a Landlord for </w:t>
      </w:r>
      <w:r>
        <w:rPr/>
        <w:t>each</w:t>
      </w:r>
      <w:r>
        <w:rPr/>
        <w:t> Introduced Property, and the monthly statement it issues to the Operator under clause 8.6.</w:t>
      </w:r>
    </w:p>
    <w:p>
      <w:pPr>
        <w:spacing w:before="61"/>
        <w:ind w:left="723" w:right="0" w:firstLine="0"/>
        <w:jc w:val="left"/>
        <w:rPr>
          <w:sz w:val="20"/>
        </w:rPr>
      </w:pPr>
      <w:r>
        <w:rPr>
          <w:rFonts w:ascii="Tahoma"/>
          <w:b/>
          <w:sz w:val="20"/>
        </w:rPr>
        <w:t>"Structural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Terms"</w:t>
      </w:r>
      <w:r>
        <w:rPr>
          <w:rFonts w:ascii="Tahoma"/>
          <w:b/>
          <w:spacing w:val="-4"/>
          <w:sz w:val="20"/>
        </w:rPr>
        <w:t> </w:t>
      </w:r>
      <w:r>
        <w:rPr>
          <w:sz w:val="20"/>
        </w:rPr>
        <w:t>means</w:t>
      </w:r>
      <w:r>
        <w:rPr>
          <w:spacing w:val="2"/>
          <w:sz w:val="20"/>
        </w:rPr>
        <w:t> </w:t>
      </w:r>
      <w:r>
        <w:rPr>
          <w:sz w:val="20"/>
        </w:rPr>
        <w:t>clauses</w:t>
      </w:r>
      <w:r>
        <w:rPr>
          <w:spacing w:val="3"/>
          <w:sz w:val="20"/>
        </w:rPr>
        <w:t> </w:t>
      </w:r>
      <w:r>
        <w:rPr>
          <w:sz w:val="20"/>
        </w:rPr>
        <w:t>3.1</w:t>
      </w:r>
      <w:r>
        <w:rPr>
          <w:spacing w:val="2"/>
          <w:sz w:val="20"/>
        </w:rPr>
        <w:t> </w:t>
      </w:r>
      <w:r>
        <w:rPr>
          <w:sz w:val="20"/>
        </w:rPr>
        <w:t>to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3.6.</w:t>
      </w:r>
    </w:p>
    <w:p>
      <w:pPr>
        <w:pStyle w:val="BodyText"/>
        <w:spacing w:line="187" w:lineRule="auto" w:before="96"/>
        <w:ind w:right="174"/>
      </w:pPr>
      <w:r>
        <w:rPr>
          <w:rFonts w:ascii="Tahoma"/>
          <w:b/>
        </w:rPr>
        <w:t>"Term"</w:t>
      </w:r>
      <w:r>
        <w:rPr>
          <w:rFonts w:ascii="Tahoma"/>
          <w:b/>
          <w:spacing w:val="-10"/>
        </w:rPr>
        <w:t> </w:t>
      </w:r>
      <w:r>
        <w:rPr/>
        <w:t>means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period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Commencement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until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Agreement</w:t>
      </w:r>
      <w:r>
        <w:rPr>
          <w:spacing w:val="-2"/>
        </w:rPr>
        <w:t> </w:t>
      </w:r>
      <w:r>
        <w:rPr/>
        <w:t>ends</w:t>
      </w:r>
      <w:r>
        <w:rPr>
          <w:spacing w:val="-2"/>
        </w:rPr>
        <w:t> </w:t>
      </w:r>
      <w:r>
        <w:rPr/>
        <w:t>unde</w:t>
      </w:r>
      <w:r>
        <w:rPr/>
        <w:t>r</w:t>
      </w:r>
      <w:r>
        <w:rPr/>
        <w:t> clause 15.</w:t>
      </w:r>
    </w:p>
    <w:p>
      <w:pPr>
        <w:spacing w:before="61"/>
        <w:ind w:left="723" w:right="0" w:firstLine="0"/>
        <w:jc w:val="left"/>
        <w:rPr>
          <w:sz w:val="20"/>
        </w:rPr>
      </w:pPr>
      <w:r>
        <w:rPr>
          <w:rFonts w:ascii="Tahoma"/>
          <w:b/>
          <w:sz w:val="20"/>
        </w:rPr>
        <w:t>"Territory"</w:t>
      </w:r>
      <w:r>
        <w:rPr>
          <w:rFonts w:ascii="Tahoma"/>
          <w:b/>
          <w:spacing w:val="-7"/>
          <w:sz w:val="20"/>
        </w:rPr>
        <w:t> </w:t>
      </w:r>
      <w:r>
        <w:rPr>
          <w:sz w:val="20"/>
        </w:rPr>
        <w:t>means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area</w:t>
      </w:r>
      <w:r>
        <w:rPr>
          <w:spacing w:val="1"/>
          <w:sz w:val="20"/>
        </w:rPr>
        <w:t> </w:t>
      </w:r>
      <w:r>
        <w:rPr>
          <w:sz w:val="20"/>
        </w:rPr>
        <w:t>stated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Particulars.</w:t>
      </w:r>
    </w:p>
    <w:p>
      <w:pPr>
        <w:pStyle w:val="BodyText"/>
        <w:spacing w:line="187" w:lineRule="auto" w:before="96"/>
        <w:ind w:right="174"/>
      </w:pPr>
      <w:r>
        <w:rPr>
          <w:rFonts w:ascii="Tahoma"/>
          <w:b/>
        </w:rPr>
        <w:t>"Tourist</w:t>
      </w:r>
      <w:r>
        <w:rPr>
          <w:rFonts w:ascii="Tahoma"/>
          <w:b/>
          <w:spacing w:val="-10"/>
        </w:rPr>
        <w:t> </w:t>
      </w:r>
      <w:r>
        <w:rPr>
          <w:rFonts w:ascii="Tahoma"/>
          <w:b/>
        </w:rPr>
        <w:t>Tax" </w:t>
      </w:r>
      <w:r>
        <w:rPr/>
        <w:t>means any visitor levy, tourist tax or similar charge on overnight stays </w:t>
      </w:r>
      <w:r>
        <w:rPr/>
        <w:t>imposed</w:t>
      </w:r>
      <w:r>
        <w:rPr/>
        <w:t> by a local authority, whatever the authority calls it, including the Edinburgh visitor levy unde</w:t>
      </w:r>
      <w:r>
        <w:rPr/>
        <w:t>r</w:t>
      </w:r>
      <w:r>
        <w:rPr/>
        <w:t> the Visitor Levy (Scotland) Act 2024.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  <w:tab w:pos="723" w:val="left" w:leader="none"/>
        </w:tabs>
        <w:spacing w:line="187" w:lineRule="auto" w:before="116" w:after="0"/>
        <w:ind w:left="723" w:right="158" w:hanging="720"/>
        <w:jc w:val="both"/>
        <w:rPr>
          <w:sz w:val="20"/>
        </w:rPr>
      </w:pPr>
      <w:r>
        <w:rPr>
          <w:sz w:val="20"/>
        </w:rPr>
        <w:t>Headings are for convenience. "Including" means without limitation. The Schedules form </w:t>
      </w:r>
      <w:r>
        <w:rPr>
          <w:sz w:val="20"/>
        </w:rPr>
        <w:t>part</w:t>
      </w:r>
      <w:r>
        <w:rPr>
          <w:spacing w:val="40"/>
          <w:sz w:val="20"/>
        </w:rPr>
        <w:t> </w:t>
      </w:r>
      <w:r>
        <w:rPr>
          <w:sz w:val="20"/>
        </w:rPr>
        <w:t>of this Agreement; the clauses prevail over the Schedules, and the Particulars prevail as to </w:t>
      </w:r>
      <w:r>
        <w:rPr>
          <w:sz w:val="20"/>
        </w:rPr>
        <w:t>the</w:t>
      </w:r>
      <w:r>
        <w:rPr>
          <w:sz w:val="20"/>
        </w:rPr>
        <w:t> values they set. Legislation includes it as amended.</w:t>
      </w: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1"/>
        </w:numPr>
        <w:tabs>
          <w:tab w:pos="275" w:val="left" w:leader="none"/>
        </w:tabs>
        <w:spacing w:line="240" w:lineRule="auto" w:before="0" w:after="71"/>
        <w:ind w:left="275" w:right="0" w:hanging="273"/>
        <w:jc w:val="left"/>
      </w:pPr>
      <w:bookmarkStart w:name="2. Appointment and status" w:id="3"/>
      <w:bookmarkEnd w:id="3"/>
      <w:r>
        <w:rPr>
          <w:b w:val="0"/>
        </w:rPr>
      </w:r>
      <w:r>
        <w:rPr>
          <w:color w:val="0B0B0E"/>
          <w:spacing w:val="2"/>
          <w:w w:val="90"/>
        </w:rPr>
        <w:t>Appointment</w:t>
      </w:r>
      <w:r>
        <w:rPr>
          <w:color w:val="0B0B0E"/>
          <w:spacing w:val="13"/>
        </w:rPr>
        <w:t> </w:t>
      </w:r>
      <w:r>
        <w:rPr>
          <w:color w:val="0B0B0E"/>
          <w:spacing w:val="2"/>
          <w:w w:val="90"/>
        </w:rPr>
        <w:t>and</w:t>
      </w:r>
      <w:r>
        <w:rPr>
          <w:color w:val="0B0B0E"/>
          <w:spacing w:val="14"/>
        </w:rPr>
        <w:t> </w:t>
      </w:r>
      <w:r>
        <w:rPr>
          <w:color w:val="0B0B0E"/>
          <w:spacing w:val="-2"/>
          <w:w w:val="90"/>
        </w:rPr>
        <w:t>status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9" coordorigin="0,0" coordsize="9637,15">
                <v:shape style="position:absolute;left:0;top:7;width:9637;height:2" id="docshape20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77" w:after="0"/>
        <w:ind w:left="723" w:right="280" w:hanging="720"/>
        <w:jc w:val="left"/>
        <w:rPr>
          <w:sz w:val="20"/>
        </w:rPr>
      </w:pPr>
      <w:r>
        <w:rPr>
          <w:sz w:val="20"/>
        </w:rPr>
        <w:t>PropertyFlow appoints the Operator, and the Operator accepts appointment, as a non</w:t>
      </w:r>
      <w:r>
        <w:rPr>
          <w:sz w:val="20"/>
        </w:rPr>
        <w:t>-</w:t>
      </w:r>
      <w:r>
        <w:rPr>
          <w:sz w:val="20"/>
        </w:rPr>
        <w:t>exclusive operator in the Territory to introduce Landlords to PropertyFlow and to perform </w:t>
      </w:r>
      <w:r>
        <w:rPr>
          <w:sz w:val="20"/>
        </w:rPr>
        <w:t>the</w:t>
      </w:r>
      <w:r>
        <w:rPr>
          <w:sz w:val="20"/>
        </w:rPr>
        <w:t> services in Schedule 1 Part B.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5" w:after="0"/>
        <w:ind w:left="723" w:right="170" w:hanging="720"/>
        <w:jc w:val="left"/>
        <w:rPr>
          <w:sz w:val="20"/>
        </w:rPr>
      </w:pPr>
      <w:r>
        <w:rPr>
          <w:rFonts w:ascii="Tahoma"/>
          <w:b/>
          <w:sz w:val="20"/>
        </w:rPr>
        <w:t>Independent</w:t>
      </w:r>
      <w:r>
        <w:rPr>
          <w:rFonts w:ascii="Tahoma"/>
          <w:b/>
          <w:spacing w:val="-11"/>
          <w:sz w:val="20"/>
        </w:rPr>
        <w:t> </w:t>
      </w:r>
      <w:r>
        <w:rPr>
          <w:rFonts w:ascii="Tahoma"/>
          <w:b/>
          <w:sz w:val="20"/>
        </w:rPr>
        <w:t>business. </w:t>
      </w:r>
      <w:r>
        <w:rPr>
          <w:sz w:val="20"/>
        </w:rPr>
        <w:t>The Operator is an independent business, whether a company, a </w:t>
      </w:r>
      <w:r>
        <w:rPr>
          <w:sz w:val="20"/>
        </w:rPr>
        <w:t>sole</w:t>
      </w:r>
      <w:r>
        <w:rPr>
          <w:sz w:val="20"/>
        </w:rPr>
        <w:t> trader or an individual.</w:t>
      </w:r>
      <w:r>
        <w:rPr>
          <w:spacing w:val="-1"/>
          <w:sz w:val="20"/>
        </w:rPr>
        <w:t> </w:t>
      </w:r>
      <w:r>
        <w:rPr>
          <w:sz w:val="20"/>
        </w:rPr>
        <w:t>Nothing in this Agreement creates a partnership (within the </w:t>
      </w:r>
      <w:r>
        <w:rPr>
          <w:sz w:val="20"/>
        </w:rPr>
        <w:t>Partnership</w:t>
      </w:r>
      <w:r>
        <w:rPr>
          <w:sz w:val="20"/>
        </w:rPr>
        <w:t> Act 1890 or otherwise), joint venture, franchise, agency or employment relationship </w:t>
      </w:r>
      <w:r>
        <w:rPr>
          <w:sz w:val="20"/>
        </w:rPr>
        <w:t>between</w:t>
      </w:r>
      <w:r>
        <w:rPr>
          <w:sz w:val="20"/>
        </w:rPr>
        <w:t> the parties, or between the Operator and any Landlord or Guest; "operator", "partner" </w:t>
      </w:r>
      <w:r>
        <w:rPr>
          <w:sz w:val="20"/>
        </w:rPr>
        <w:t>and</w:t>
      </w:r>
      <w:r>
        <w:rPr>
          <w:sz w:val="20"/>
        </w:rPr>
        <w:t> "PropertyFlow Verified Partner" are commercial labels only. The Operator decides its </w:t>
      </w:r>
      <w:r>
        <w:rPr>
          <w:sz w:val="20"/>
        </w:rPr>
        <w:t>own</w:t>
      </w:r>
      <w:r>
        <w:rPr>
          <w:sz w:val="20"/>
        </w:rPr>
        <w:t> working hours and methods, has no minimum hours, is paid by results, may use its own </w:t>
      </w:r>
      <w:r>
        <w:rPr>
          <w:sz w:val="20"/>
        </w:rPr>
        <w:t>staff</w:t>
      </w:r>
      <w:r>
        <w:rPr>
          <w:sz w:val="20"/>
        </w:rPr>
        <w:t> and may with PropertyFlow's consent substitute another person to perform its service</w:t>
      </w:r>
      <w:r>
        <w:rPr>
          <w:sz w:val="20"/>
        </w:rPr>
        <w:t>s.</w:t>
      </w:r>
      <w:r>
        <w:rPr>
          <w:spacing w:val="80"/>
          <w:sz w:val="20"/>
        </w:rPr>
        <w:t> </w:t>
      </w:r>
      <w:r>
        <w:rPr>
          <w:sz w:val="20"/>
        </w:rPr>
        <w:t>Neither party may bind the other.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08" w:after="0"/>
        <w:ind w:left="723" w:right="218" w:hanging="720"/>
        <w:jc w:val="left"/>
        <w:rPr>
          <w:sz w:val="20"/>
        </w:rPr>
      </w:pPr>
      <w:r>
        <w:rPr>
          <w:rFonts w:ascii="Tahoma"/>
          <w:b/>
          <w:sz w:val="20"/>
        </w:rPr>
        <w:t>No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authority.</w:t>
      </w:r>
      <w:r>
        <w:rPr>
          <w:rFonts w:ascii="Tahoma"/>
          <w:b/>
          <w:spacing w:val="-3"/>
          <w:sz w:val="20"/>
        </w:rPr>
        <w:t> </w:t>
      </w:r>
      <w:r>
        <w:rPr>
          <w:sz w:val="20"/>
        </w:rPr>
        <w:t>The Operator shall not, and has no authority to: (a) vary, waive or terminate </w:t>
      </w:r>
      <w:r>
        <w:rPr>
          <w:sz w:val="20"/>
        </w:rPr>
        <w:t>any</w:t>
      </w:r>
      <w:r>
        <w:rPr>
          <w:sz w:val="20"/>
        </w:rPr>
        <w:t> Landlord Agreement or other contract for PropertyFlow or a Landlord, or agree any term of </w:t>
      </w:r>
      <w:r>
        <w:rPr>
          <w:sz w:val="20"/>
        </w:rPr>
        <w:t>a</w:t>
      </w:r>
      <w:r>
        <w:rPr>
          <w:sz w:val="20"/>
        </w:rPr>
        <w:t> Landlord Agreement other than the Management Fee within the range permitted by clause</w:t>
      </w:r>
    </w:p>
    <w:p>
      <w:pPr>
        <w:pStyle w:val="BodyText"/>
        <w:spacing w:line="187" w:lineRule="auto" w:before="0"/>
        <w:ind w:right="224"/>
      </w:pPr>
      <w:r>
        <w:rPr/>
        <w:t>6.4; (b) give any warranty, representation or guarantee beyond PropertyFlow's </w:t>
      </w:r>
      <w:r>
        <w:rPr/>
        <w:t>approved</w:t>
      </w:r>
      <w:r>
        <w:rPr/>
        <w:t> materials; (c) receive, hold, control or direct Client Money; (d) apply for, hold or vary </w:t>
      </w:r>
      <w:r>
        <w:rPr/>
        <w:t>any</w:t>
      </w:r>
      <w:r>
        <w:rPr/>
        <w:t> Licence, or deal with any licensing or planning authority, except as PropertyFlow directs </w:t>
      </w:r>
      <w:r>
        <w:rPr/>
        <w:t>in</w:t>
      </w:r>
      <w:r>
        <w:rPr/>
        <w:t> writing; or (e) engage any supplier or incur any cost for which PropertyFlow or a Landlord </w:t>
      </w:r>
      <w:r>
        <w:rPr/>
        <w:t>will</w:t>
      </w:r>
      <w:r>
        <w:rPr/>
        <w:t> be liable.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08" w:after="0"/>
        <w:ind w:left="723" w:right="594" w:hanging="720"/>
        <w:jc w:val="left"/>
        <w:rPr>
          <w:sz w:val="20"/>
        </w:rPr>
      </w:pPr>
      <w:r>
        <w:rPr>
          <w:sz w:val="20"/>
        </w:rPr>
        <w:t>The Operator is responsible for its own premises, staff, costs, tax, National Insurance </w:t>
      </w:r>
      <w:r>
        <w:rPr>
          <w:sz w:val="20"/>
        </w:rPr>
        <w:t>and</w:t>
      </w:r>
      <w:r>
        <w:rPr>
          <w:sz w:val="20"/>
        </w:rPr>
        <w:t> VAT. No sum is payable to the Operator under this Agreement other than Commission.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7" w:after="0"/>
        <w:ind w:left="723" w:right="168" w:hanging="720"/>
        <w:jc w:val="left"/>
        <w:rPr>
          <w:sz w:val="20"/>
        </w:rPr>
      </w:pPr>
      <w:r>
        <w:rPr>
          <w:sz w:val="20"/>
        </w:rPr>
        <w:t>The Operator shall procure that each Operator Principal complies with clauses 3, 7 and 9 to </w:t>
      </w:r>
      <w:r>
        <w:rPr>
          <w:sz w:val="20"/>
        </w:rPr>
        <w:t>14</w:t>
      </w:r>
      <w:r>
        <w:rPr>
          <w:sz w:val="20"/>
        </w:rPr>
        <w:t> as if a party, and is responsible for their acts and omissions.</w:t>
      </w:r>
    </w:p>
    <w:p>
      <w:pPr>
        <w:pStyle w:val="BodyText"/>
        <w:spacing w:before="18"/>
        <w:ind w:left="0"/>
      </w:pPr>
    </w:p>
    <w:p>
      <w:pPr>
        <w:pStyle w:val="Heading1"/>
        <w:numPr>
          <w:ilvl w:val="0"/>
          <w:numId w:val="1"/>
        </w:numPr>
        <w:tabs>
          <w:tab w:pos="274" w:val="left" w:leader="none"/>
        </w:tabs>
        <w:spacing w:line="240" w:lineRule="auto" w:before="0" w:after="70"/>
        <w:ind w:left="274" w:right="0" w:hanging="272"/>
        <w:jc w:val="left"/>
      </w:pPr>
      <w:bookmarkStart w:name="3. Structural Terms" w:id="4"/>
      <w:bookmarkEnd w:id="4"/>
      <w:r>
        <w:rPr>
          <w:b w:val="0"/>
        </w:rPr>
      </w:r>
      <w:r>
        <w:rPr>
          <w:color w:val="0B0B0E"/>
        </w:rPr>
        <w:t>Structural</w:t>
      </w:r>
      <w:r>
        <w:rPr>
          <w:color w:val="0B0B0E"/>
          <w:spacing w:val="22"/>
        </w:rPr>
        <w:t> </w:t>
      </w:r>
      <w:r>
        <w:rPr>
          <w:color w:val="0B0B0E"/>
          <w:spacing w:val="-2"/>
        </w:rPr>
        <w:t>Terms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952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21" coordorigin="0,0" coordsize="9637,15">
                <v:shape style="position:absolute;left:0;top:7;width:9637;height:2" id="docshape22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line="187" w:lineRule="auto" w:before="178"/>
        <w:ind w:left="2" w:right="174"/>
      </w:pPr>
      <w:r>
        <w:rPr/>
        <w:t>The following principles are fundamental to this Agreement and to PropertyFlow's position with e</w:t>
      </w:r>
      <w:r>
        <w:rPr/>
        <w:t>very</w:t>
      </w:r>
      <w:r>
        <w:rPr/>
        <w:t> Landlord, licensing authority and tax filing. A breach of any of them by the Operator is a mate</w:t>
      </w:r>
      <w:r>
        <w:rPr/>
        <w:t>rial</w:t>
      </w:r>
      <w:r>
        <w:rPr/>
        <w:t> breach that cannot be remedied (clause 15.3(a)).</w:t>
      </w:r>
    </w:p>
    <w:p>
      <w:pPr>
        <w:pStyle w:val="BodyText"/>
        <w:spacing w:after="0" w:line="187" w:lineRule="auto"/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23" coordorigin="0,0" coordsize="9637,15">
                <v:shape style="position:absolute;left:0;top:7;width:9637;height:2" id="docshape24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60" w:after="0"/>
        <w:ind w:left="723" w:right="329" w:hanging="720"/>
        <w:jc w:val="left"/>
        <w:rPr>
          <w:sz w:val="20"/>
        </w:rPr>
      </w:pPr>
      <w:r>
        <w:rPr>
          <w:rFonts w:ascii="Tahoma"/>
          <w:b/>
          <w:sz w:val="20"/>
        </w:rPr>
        <w:t>Agent,</w:t>
      </w:r>
      <w:r>
        <w:rPr>
          <w:rFonts w:ascii="Tahoma"/>
          <w:b/>
          <w:spacing w:val="-2"/>
          <w:sz w:val="20"/>
        </w:rPr>
        <w:t> </w:t>
      </w:r>
      <w:r>
        <w:rPr>
          <w:rFonts w:ascii="Tahoma"/>
          <w:b/>
          <w:sz w:val="20"/>
        </w:rPr>
        <w:t>never</w:t>
      </w:r>
      <w:r>
        <w:rPr>
          <w:rFonts w:ascii="Tahoma"/>
          <w:b/>
          <w:spacing w:val="-2"/>
          <w:sz w:val="20"/>
        </w:rPr>
        <w:t> </w:t>
      </w:r>
      <w:r>
        <w:rPr>
          <w:rFonts w:ascii="Tahoma"/>
          <w:b/>
          <w:sz w:val="20"/>
        </w:rPr>
        <w:t>principal. </w:t>
      </w:r>
      <w:r>
        <w:rPr>
          <w:sz w:val="20"/>
        </w:rPr>
        <w:t>PropertyFlow acts solely as agent of each Landlord in </w:t>
      </w:r>
      <w:r>
        <w:rPr>
          <w:sz w:val="20"/>
        </w:rPr>
        <w:t>marketing,</w:t>
      </w:r>
      <w:r>
        <w:rPr>
          <w:sz w:val="20"/>
        </w:rPr>
        <w:t> letting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managing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Introduced</w:t>
      </w:r>
      <w:r>
        <w:rPr>
          <w:spacing w:val="-1"/>
          <w:sz w:val="20"/>
        </w:rPr>
        <w:t> </w:t>
      </w:r>
      <w:r>
        <w:rPr>
          <w:sz w:val="20"/>
        </w:rPr>
        <w:t>Property.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contract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supply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accommodation</w:t>
      </w:r>
      <w:r>
        <w:rPr>
          <w:sz w:val="20"/>
        </w:rPr>
        <w:t> is between the Landlord and the Guest. The Operator acts as agent for no one under </w:t>
      </w:r>
      <w:r>
        <w:rPr>
          <w:sz w:val="20"/>
        </w:rPr>
        <w:t>this</w:t>
      </w:r>
      <w:r>
        <w:rPr>
          <w:sz w:val="20"/>
        </w:rPr>
        <w:t> Agreement and supplies no accommodation.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4" w:after="0"/>
        <w:ind w:left="723" w:right="366" w:hanging="720"/>
        <w:jc w:val="left"/>
        <w:rPr>
          <w:sz w:val="20"/>
        </w:rPr>
      </w:pPr>
      <w:r>
        <w:rPr>
          <w:rFonts w:ascii="Tahoma"/>
          <w:b/>
          <w:sz w:val="20"/>
        </w:rPr>
        <w:t>One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contracting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party. </w:t>
      </w:r>
      <w:r>
        <w:rPr>
          <w:sz w:val="20"/>
        </w:rPr>
        <w:t>PropertyFlow (or the Group company named in the </w:t>
      </w:r>
      <w:r>
        <w:rPr>
          <w:sz w:val="20"/>
        </w:rPr>
        <w:t>Landlord</w:t>
      </w:r>
      <w:r>
        <w:rPr>
          <w:sz w:val="20"/>
        </w:rPr>
        <w:t> Agreement) is the sole contracting party with each Landlord. Every Introduced Property </w:t>
      </w:r>
      <w:r>
        <w:rPr>
          <w:sz w:val="20"/>
        </w:rPr>
        <w:t>is</w:t>
      </w:r>
      <w:r>
        <w:rPr>
          <w:sz w:val="20"/>
        </w:rPr>
        <w:t> managed under a Landlord Agreement in PropertyFlow's form. No Landlord Agreement,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z w:val="20"/>
        </w:rPr>
        <w:t> no right under one, transfers to the Operator in any circumstances.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4" w:after="0"/>
        <w:ind w:left="723" w:right="220" w:hanging="720"/>
        <w:jc w:val="left"/>
        <w:rPr>
          <w:sz w:val="20"/>
        </w:rPr>
      </w:pPr>
      <w:r>
        <w:rPr>
          <w:rFonts w:ascii="Tahoma"/>
          <w:b/>
          <w:sz w:val="20"/>
        </w:rPr>
        <w:t>Client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Money. </w:t>
      </w:r>
      <w:r>
        <w:rPr>
          <w:sz w:val="20"/>
        </w:rPr>
        <w:t>All Client Money is received and held only in the Client Account. Neither </w:t>
      </w:r>
      <w:r>
        <w:rPr>
          <w:sz w:val="20"/>
        </w:rPr>
        <w:t>the</w:t>
      </w:r>
      <w:r>
        <w:rPr>
          <w:sz w:val="20"/>
        </w:rPr>
        <w:t> Operator nor any Operator Principal shall receive, hold, control, direct or give payme</w:t>
      </w:r>
      <w:r>
        <w:rPr>
          <w:sz w:val="20"/>
        </w:rPr>
        <w:t>nt</w:t>
      </w:r>
      <w:r>
        <w:rPr>
          <w:sz w:val="20"/>
        </w:rPr>
        <w:t> instructions in respect of Client Money: not temporarily, not in transition, not for convenie</w:t>
      </w:r>
      <w:r>
        <w:rPr>
          <w:sz w:val="20"/>
        </w:rPr>
        <w:t>nce,</w:t>
      </w:r>
      <w:r>
        <w:rPr>
          <w:sz w:val="20"/>
        </w:rPr>
        <w:t> and not as agent for any Landlord. No account or Booking Channel payout method of </w:t>
      </w:r>
      <w:r>
        <w:rPr>
          <w:sz w:val="20"/>
        </w:rPr>
        <w:t>the</w:t>
      </w:r>
      <w:r>
        <w:rPr>
          <w:sz w:val="20"/>
        </w:rPr>
        <w:t> Operator or an Operator Principal may be used for any Introduced Property.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2" w:after="0"/>
        <w:ind w:left="723" w:right="165" w:hanging="720"/>
        <w:jc w:val="left"/>
        <w:rPr>
          <w:sz w:val="20"/>
        </w:rPr>
      </w:pPr>
      <w:r>
        <w:rPr>
          <w:rFonts w:ascii="Tahoma"/>
          <w:b/>
          <w:sz w:val="20"/>
        </w:rPr>
        <w:t>Booking</w:t>
      </w:r>
      <w:r>
        <w:rPr>
          <w:rFonts w:ascii="Tahoma"/>
          <w:b/>
          <w:spacing w:val="-2"/>
          <w:sz w:val="20"/>
        </w:rPr>
        <w:t> </w:t>
      </w:r>
      <w:r>
        <w:rPr>
          <w:rFonts w:ascii="Tahoma"/>
          <w:b/>
          <w:sz w:val="20"/>
        </w:rPr>
        <w:t>Channels. </w:t>
      </w:r>
      <w:r>
        <w:rPr>
          <w:sz w:val="20"/>
        </w:rPr>
        <w:t>All Booking Channel accounts, listings, payout settings and </w:t>
      </w:r>
      <w:r>
        <w:rPr>
          <w:sz w:val="20"/>
        </w:rPr>
        <w:t>tax</w:t>
      </w:r>
      <w:r>
        <w:rPr>
          <w:spacing w:val="40"/>
          <w:sz w:val="20"/>
        </w:rPr>
        <w:t> </w:t>
      </w:r>
      <w:r>
        <w:rPr>
          <w:sz w:val="20"/>
        </w:rPr>
        <w:t>information for Introduced Properties are held and controlled by PropertyFlow. Where </w:t>
      </w:r>
      <w:r>
        <w:rPr>
          <w:sz w:val="20"/>
        </w:rPr>
        <w:t>a</w:t>
      </w:r>
      <w:r>
        <w:rPr>
          <w:sz w:val="20"/>
        </w:rPr>
        <w:t> Booking Channel requires a named host, that is PropertyFlow or the Landlord; where </w:t>
      </w:r>
      <w:r>
        <w:rPr>
          <w:sz w:val="20"/>
        </w:rPr>
        <w:t>a</w:t>
      </w:r>
      <w:r>
        <w:rPr>
          <w:sz w:val="20"/>
        </w:rPr>
        <w:t> Landlord's existing listing is kept on the Landlord's own account, PropertyFlow is the manage</w:t>
      </w:r>
      <w:r>
        <w:rPr>
          <w:sz w:val="20"/>
        </w:rPr>
        <w:t>r</w:t>
      </w:r>
      <w:r>
        <w:rPr>
          <w:sz w:val="20"/>
        </w:rPr>
        <w:t> and sole payee. Any existing listing held by the Operator for a property that becomes </w:t>
      </w:r>
      <w:r>
        <w:rPr>
          <w:sz w:val="20"/>
        </w:rPr>
        <w:t>an</w:t>
      </w:r>
      <w:r>
        <w:rPr>
          <w:sz w:val="20"/>
        </w:rPr>
        <w:t> Introduced Property is migrated under Schedule 4 Part C.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1" w:after="0"/>
        <w:ind w:left="723" w:right="432" w:hanging="720"/>
        <w:jc w:val="left"/>
        <w:rPr>
          <w:sz w:val="20"/>
        </w:rPr>
      </w:pPr>
      <w:r>
        <w:rPr>
          <w:rFonts w:ascii="Tahoma"/>
          <w:b/>
          <w:sz w:val="20"/>
        </w:rPr>
        <w:t>Licences. </w:t>
      </w:r>
      <w:r>
        <w:rPr>
          <w:sz w:val="20"/>
        </w:rPr>
        <w:t>PropertyFlow is the applicant for and holder of each Licence (or, where </w:t>
      </w:r>
      <w:r>
        <w:rPr>
          <w:sz w:val="20"/>
        </w:rPr>
        <w:t>the</w:t>
      </w:r>
      <w:r>
        <w:rPr>
          <w:sz w:val="20"/>
        </w:rPr>
        <w:t> authority requires the Landlord to hold it, the named agent on it). The named day-to-</w:t>
      </w:r>
      <w:r>
        <w:rPr>
          <w:sz w:val="20"/>
        </w:rPr>
        <w:t>day</w:t>
      </w:r>
      <w:r>
        <w:rPr>
          <w:sz w:val="20"/>
        </w:rPr>
        <w:t> manager on any Licence is Group personnel, never the Operator. No Introduced Property </w:t>
      </w:r>
      <w:r>
        <w:rPr>
          <w:sz w:val="20"/>
        </w:rPr>
        <w:t>is</w:t>
      </w:r>
      <w:r>
        <w:rPr>
          <w:sz w:val="20"/>
        </w:rPr>
        <w:t> marketed or hosted without a Licence in force for the relevant dates.</w:t>
      </w:r>
    </w:p>
    <w:p>
      <w:pPr>
        <w:pStyle w:val="ListParagraph"/>
        <w:numPr>
          <w:ilvl w:val="1"/>
          <w:numId w:val="1"/>
        </w:numPr>
        <w:tabs>
          <w:tab w:pos="723" w:val="left" w:leader="none"/>
        </w:tabs>
        <w:spacing w:line="187" w:lineRule="auto" w:before="114" w:after="0"/>
        <w:ind w:left="723" w:right="389" w:hanging="720"/>
        <w:jc w:val="left"/>
        <w:rPr>
          <w:sz w:val="20"/>
        </w:rPr>
      </w:pPr>
      <w:r>
        <w:rPr>
          <w:rFonts w:ascii="Tahoma"/>
          <w:b/>
          <w:sz w:val="20"/>
        </w:rPr>
        <w:t>The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Landlord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is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PropertyFlow's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client. </w:t>
      </w:r>
      <w:r>
        <w:rPr>
          <w:sz w:val="20"/>
        </w:rPr>
        <w:t>The Operator introduces Landlords and holds </w:t>
      </w:r>
      <w:r>
        <w:rPr>
          <w:sz w:val="20"/>
        </w:rPr>
        <w:t>the</w:t>
      </w:r>
      <w:r>
        <w:rPr>
          <w:sz w:val="20"/>
        </w:rPr>
        <w:t> relationship on PropertyFlow's behalf. The Operator's only asset under this Agreement is </w:t>
      </w:r>
      <w:r>
        <w:rPr>
          <w:sz w:val="20"/>
        </w:rPr>
        <w:t>its</w:t>
      </w:r>
      <w:r>
        <w:rPr>
          <w:sz w:val="20"/>
        </w:rPr>
        <w:t> Book (clause 15). It acquires no goodwill in, and no other interest in, any Landlord, prope</w:t>
      </w:r>
      <w:r>
        <w:rPr>
          <w:sz w:val="20"/>
        </w:rPr>
        <w:t>rty,</w:t>
      </w:r>
      <w:r>
        <w:rPr>
          <w:sz w:val="20"/>
        </w:rPr>
        <w:t> Landlord Agreement, Licence, listing, review or data.</w:t>
      </w:r>
    </w:p>
    <w:p>
      <w:pPr>
        <w:pStyle w:val="BodyText"/>
        <w:spacing w:before="15"/>
        <w:ind w:left="0"/>
      </w:pPr>
    </w:p>
    <w:p>
      <w:pPr>
        <w:pStyle w:val="Heading1"/>
      </w:pPr>
      <w:bookmarkStart w:name="4. PropertyFlow's obligations" w:id="5"/>
      <w:bookmarkEnd w:id="5"/>
      <w:r>
        <w:rPr>
          <w:b w:val="0"/>
        </w:rPr>
      </w:r>
      <w:r>
        <w:rPr>
          <w:color w:val="0B0B0E"/>
        </w:rPr>
        <w:t>fi.</w:t>
      </w:r>
      <w:r>
        <w:rPr>
          <w:color w:val="0B0B0E"/>
          <w:spacing w:val="13"/>
        </w:rPr>
        <w:t> </w:t>
      </w:r>
      <w:r>
        <w:rPr>
          <w:color w:val="0B0B0E"/>
        </w:rPr>
        <w:t>PropertyFlow's</w:t>
      </w:r>
      <w:r>
        <w:rPr>
          <w:color w:val="0B0B0E"/>
          <w:spacing w:val="13"/>
        </w:rPr>
        <w:t> </w:t>
      </w:r>
      <w:r>
        <w:rPr>
          <w:color w:val="0B0B0E"/>
          <w:spacing w:val="-2"/>
        </w:rPr>
        <w:t>obligations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25" coordorigin="0,0" coordsize="9637,15">
                <v:shape style="position:absolute;left:0;top:7;width:9637;height:2" id="docshape26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2"/>
        </w:numPr>
        <w:tabs>
          <w:tab w:pos="723" w:val="left" w:leader="none"/>
        </w:tabs>
        <w:spacing w:line="187" w:lineRule="auto" w:before="177" w:after="0"/>
        <w:ind w:left="723" w:right="499" w:hanging="720"/>
        <w:jc w:val="left"/>
        <w:rPr>
          <w:sz w:val="20"/>
        </w:rPr>
      </w:pPr>
      <w:r>
        <w:rPr>
          <w:sz w:val="20"/>
        </w:rPr>
        <w:t>PropertyFlow shall provide the services in Schedule 1 Part A to the Service Standards, </w:t>
      </w:r>
      <w:r>
        <w:rPr>
          <w:sz w:val="20"/>
        </w:rPr>
        <w:t>with</w:t>
      </w:r>
      <w:r>
        <w:rPr>
          <w:sz w:val="20"/>
        </w:rPr>
        <w:t> reasonable skill and care.</w:t>
      </w:r>
    </w:p>
    <w:p>
      <w:pPr>
        <w:pStyle w:val="ListParagraph"/>
        <w:numPr>
          <w:ilvl w:val="1"/>
          <w:numId w:val="2"/>
        </w:numPr>
        <w:tabs>
          <w:tab w:pos="723" w:val="left" w:leader="none"/>
        </w:tabs>
        <w:spacing w:line="187" w:lineRule="auto" w:before="117" w:after="0"/>
        <w:ind w:left="723" w:right="173" w:hanging="720"/>
        <w:jc w:val="left"/>
        <w:rPr>
          <w:sz w:val="20"/>
        </w:rPr>
      </w:pPr>
      <w:r>
        <w:rPr>
          <w:rFonts w:ascii="Tahoma"/>
          <w:b/>
          <w:sz w:val="20"/>
        </w:rPr>
        <w:t>Platform. </w:t>
      </w:r>
      <w:r>
        <w:rPr>
          <w:sz w:val="20"/>
        </w:rPr>
        <w:t>PropertyFlow shall issue the Operator Credentials and give the Operator access </w:t>
      </w:r>
      <w:r>
        <w:rPr>
          <w:sz w:val="20"/>
        </w:rPr>
        <w:t>to</w:t>
      </w:r>
      <w:r>
        <w:rPr>
          <w:sz w:val="20"/>
        </w:rPr>
        <w:t> the operator portal on the Platform, on the web and in the app, including: the Register and </w:t>
      </w:r>
      <w:r>
        <w:rPr>
          <w:sz w:val="20"/>
        </w:rPr>
        <w:t>the</w:t>
      </w:r>
      <w:r>
        <w:rPr>
          <w:sz w:val="20"/>
        </w:rPr>
        <w:t> Operator's pipeline; the ability to create Landlord and property records, complete the Intake</w:t>
      </w:r>
      <w:r>
        <w:rPr>
          <w:sz w:val="20"/>
        </w:rPr>
        <w:t>,</w:t>
      </w:r>
      <w:r>
        <w:rPr>
          <w:sz w:val="20"/>
        </w:rPr>
        <w:t> enter the agreed Management Fee and initiate the Landlord Agreement for signature; </w:t>
      </w:r>
      <w:r>
        <w:rPr>
          <w:sz w:val="20"/>
        </w:rPr>
        <w:t>the</w:t>
      </w:r>
      <w:r>
        <w:rPr>
          <w:sz w:val="20"/>
        </w:rPr>
        <w:t> Landlord's contact details against each Introduced Property; and read-only financial </w:t>
      </w:r>
      <w:r>
        <w:rPr>
          <w:sz w:val="20"/>
        </w:rPr>
        <w:t>reporting</w:t>
      </w:r>
      <w:r>
        <w:rPr>
          <w:sz w:val="20"/>
        </w:rPr>
        <w:t> for each Introduced Property showing Gross Revenue, Booking Channel commission </w:t>
      </w:r>
      <w:r>
        <w:rPr>
          <w:sz w:val="20"/>
        </w:rPr>
        <w:t>and</w:t>
      </w:r>
      <w:r>
        <w:rPr>
          <w:sz w:val="20"/>
        </w:rPr>
        <w:t> payment fees, refunds, Net Revenue, the Management Fee and any VAT on it, Landlord </w:t>
      </w:r>
      <w:r>
        <w:rPr>
          <w:sz w:val="20"/>
        </w:rPr>
        <w:t>costs,</w:t>
      </w:r>
      <w:r>
        <w:rPr>
          <w:sz w:val="20"/>
        </w:rPr>
        <w:t> the Landlord payout and the Operator's Commission, with month-to-date figures marke</w:t>
      </w:r>
      <w:r>
        <w:rPr>
          <w:sz w:val="20"/>
        </w:rPr>
        <w:t>d</w:t>
      </w:r>
      <w:r>
        <w:rPr>
          <w:sz w:val="20"/>
        </w:rPr>
        <w:t> provisional until payout day and the Statement final. No Operator user shall have payme</w:t>
      </w:r>
      <w:r>
        <w:rPr>
          <w:sz w:val="20"/>
        </w:rPr>
        <w:t>nt,</w:t>
      </w:r>
      <w:r>
        <w:rPr>
          <w:sz w:val="20"/>
        </w:rPr>
        <w:t> payout, bank, tax-data or Licence permissions, and no Operator user shall see a </w:t>
      </w:r>
      <w:r>
        <w:rPr>
          <w:sz w:val="20"/>
        </w:rPr>
        <w:t>Landlord's</w:t>
      </w:r>
      <w:r>
        <w:rPr>
          <w:sz w:val="20"/>
        </w:rPr>
        <w:t> bank or tax details.</w:t>
      </w:r>
    </w:p>
    <w:p>
      <w:pPr>
        <w:pStyle w:val="ListParagraph"/>
        <w:numPr>
          <w:ilvl w:val="1"/>
          <w:numId w:val="2"/>
        </w:numPr>
        <w:tabs>
          <w:tab w:pos="723" w:val="left" w:leader="none"/>
        </w:tabs>
        <w:spacing w:line="187" w:lineRule="auto" w:before="103" w:after="0"/>
        <w:ind w:left="723" w:right="237" w:hanging="720"/>
        <w:jc w:val="left"/>
        <w:rPr>
          <w:sz w:val="20"/>
        </w:rPr>
      </w:pPr>
      <w:r>
        <w:rPr>
          <w:rFonts w:ascii="Tahoma"/>
          <w:b/>
          <w:sz w:val="20"/>
        </w:rPr>
        <w:t>Landlord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Agreements. </w:t>
      </w:r>
      <w:r>
        <w:rPr>
          <w:sz w:val="20"/>
        </w:rPr>
        <w:t>PropertyFlow shall provide the standard form on the Platform </w:t>
      </w:r>
      <w:r>
        <w:rPr>
          <w:sz w:val="20"/>
        </w:rPr>
        <w:t>and</w:t>
      </w:r>
      <w:r>
        <w:rPr>
          <w:sz w:val="20"/>
        </w:rPr>
        <w:t> manage its electronic signature. The Operator initiates a Landlord Agreement from </w:t>
      </w:r>
      <w:r>
        <w:rPr>
          <w:sz w:val="20"/>
        </w:rPr>
        <w:t>the</w:t>
      </w:r>
      <w:r>
        <w:rPr>
          <w:sz w:val="20"/>
        </w:rPr>
        <w:t> Platform; the Landlord signs on the Landlord's own device; PropertyFlow countersigns </w:t>
      </w:r>
      <w:r>
        <w:rPr>
          <w:sz w:val="20"/>
        </w:rPr>
        <w:t>within</w:t>
      </w:r>
      <w:r>
        <w:rPr>
          <w:spacing w:val="80"/>
          <w:sz w:val="20"/>
        </w:rPr>
        <w:t> </w:t>
      </w:r>
      <w:r>
        <w:rPr>
          <w:sz w:val="20"/>
        </w:rPr>
        <w:t>1 Business Day of a complete Intake, or declines the property giving the Operator its </w:t>
      </w:r>
      <w:r>
        <w:rPr>
          <w:sz w:val="20"/>
        </w:rPr>
        <w:t>reasons</w:t>
      </w:r>
      <w:r>
        <w:rPr>
          <w:sz w:val="20"/>
        </w:rPr>
        <w:t> (it may decline for licensing, planning, compliance, insurance, safety or commercial reasons).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27" coordorigin="0,0" coordsize="9637,15">
                <v:shape style="position:absolute;left:0;top:7;width:9637;height:2" id="docshape28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87" w:lineRule="auto" w:before="160"/>
        <w:ind w:right="224"/>
      </w:pPr>
      <w:r>
        <w:rPr/>
        <w:t>A Landlord Agreement is in force only when PropertyFlow has countersigned it. </w:t>
      </w:r>
      <w:r>
        <w:rPr/>
        <w:t>PropertyFlow</w:t>
      </w:r>
      <w:r>
        <w:rPr/>
        <w:t> keeps each Landlord Agreement current.</w:t>
      </w:r>
    </w:p>
    <w:p>
      <w:pPr>
        <w:pStyle w:val="ListParagraph"/>
        <w:numPr>
          <w:ilvl w:val="1"/>
          <w:numId w:val="2"/>
        </w:numPr>
        <w:tabs>
          <w:tab w:pos="723" w:val="left" w:leader="none"/>
        </w:tabs>
        <w:spacing w:line="187" w:lineRule="auto" w:before="117" w:after="0"/>
        <w:ind w:left="723" w:right="286" w:hanging="720"/>
        <w:jc w:val="left"/>
        <w:rPr>
          <w:sz w:val="20"/>
        </w:rPr>
      </w:pPr>
      <w:r>
        <w:rPr>
          <w:rFonts w:ascii="Tahoma"/>
          <w:b/>
          <w:sz w:val="20"/>
        </w:rPr>
        <w:t>Onboarding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z w:val="20"/>
        </w:rPr>
        <w:t>Go-live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z w:val="20"/>
        </w:rPr>
        <w:t>Sign-off. </w:t>
      </w:r>
      <w:r>
        <w:rPr>
          <w:sz w:val="20"/>
        </w:rPr>
        <w:t>Within 2 Business Days of countersigning a </w:t>
      </w:r>
      <w:r>
        <w:rPr>
          <w:sz w:val="20"/>
        </w:rPr>
        <w:t>Landlord</w:t>
      </w:r>
      <w:r>
        <w:rPr>
          <w:sz w:val="20"/>
        </w:rPr>
        <w:t> Agreement PropertyFlow shall have every compliance item for the property either verified </w:t>
      </w:r>
      <w:r>
        <w:rPr>
          <w:sz w:val="20"/>
        </w:rPr>
        <w:t>or</w:t>
      </w:r>
      <w:r>
        <w:rPr>
          <w:sz w:val="20"/>
        </w:rPr>
        <w:t> booked with a named provider on a confirmed date, and shall issue a Status Report to </w:t>
      </w:r>
      <w:r>
        <w:rPr>
          <w:sz w:val="20"/>
        </w:rPr>
        <w:t>the</w:t>
      </w:r>
      <w:r>
        <w:rPr>
          <w:sz w:val="20"/>
        </w:rPr>
        <w:t> Landlord and the Operator setting out what is in hand, what is booked and when, the </w:t>
      </w:r>
      <w:r>
        <w:rPr>
          <w:sz w:val="20"/>
        </w:rPr>
        <w:t>Licence</w:t>
      </w:r>
      <w:r>
        <w:rPr>
          <w:sz w:val="20"/>
        </w:rPr>
        <w:t> route, the council's timescale and the expected go-live window. No Introduced Property </w:t>
      </w:r>
      <w:r>
        <w:rPr>
          <w:sz w:val="20"/>
        </w:rPr>
        <w:t>is</w:t>
      </w:r>
      <w:r>
        <w:rPr>
          <w:sz w:val="20"/>
        </w:rPr>
        <w:t> marketed or opened for booking until PropertyFlow has confirmed in writing that its </w:t>
      </w:r>
      <w:r>
        <w:rPr>
          <w:sz w:val="20"/>
        </w:rPr>
        <w:t>Licence</w:t>
      </w:r>
      <w:r>
        <w:rPr>
          <w:sz w:val="20"/>
        </w:rPr>
        <w:t> and safety certification are in force and its onboarding is complete. The sign-off </w:t>
      </w:r>
      <w:r>
        <w:rPr>
          <w:sz w:val="20"/>
        </w:rPr>
        <w:t>is</w:t>
      </w:r>
      <w:r>
        <w:rPr>
          <w:sz w:val="20"/>
        </w:rPr>
        <w:t> PropertyFlow's internal process and the Operator shall not promise any go-live date to </w:t>
      </w:r>
      <w:r>
        <w:rPr>
          <w:sz w:val="20"/>
        </w:rPr>
        <w:t>a</w:t>
      </w:r>
      <w:r>
        <w:rPr>
          <w:sz w:val="20"/>
        </w:rPr>
        <w:t> </w:t>
      </w:r>
      <w:r>
        <w:rPr>
          <w:spacing w:val="-2"/>
          <w:sz w:val="20"/>
        </w:rPr>
        <w:t>Landlord.</w:t>
      </w:r>
    </w:p>
    <w:p>
      <w:pPr>
        <w:pStyle w:val="ListParagraph"/>
        <w:numPr>
          <w:ilvl w:val="1"/>
          <w:numId w:val="2"/>
        </w:numPr>
        <w:tabs>
          <w:tab w:pos="723" w:val="left" w:leader="none"/>
        </w:tabs>
        <w:spacing w:line="187" w:lineRule="auto" w:before="106" w:after="0"/>
        <w:ind w:left="723" w:right="511" w:hanging="720"/>
        <w:jc w:val="left"/>
        <w:rPr>
          <w:sz w:val="20"/>
        </w:rPr>
      </w:pPr>
      <w:r>
        <w:rPr>
          <w:rFonts w:ascii="Tahoma"/>
          <w:b/>
          <w:sz w:val="20"/>
        </w:rPr>
        <w:t>Guest issues and call-outs. </w:t>
      </w:r>
      <w:r>
        <w:rPr>
          <w:sz w:val="20"/>
        </w:rPr>
        <w:t>Guest messages are handled by PropertyFlow's back office</w:t>
      </w:r>
      <w:r>
        <w:rPr>
          <w:sz w:val="20"/>
        </w:rPr>
        <w:t>.</w:t>
      </w:r>
      <w:r>
        <w:rPr>
          <w:sz w:val="20"/>
        </w:rPr>
        <w:t> Guest-reported issues escalate to PropertyFlow's Senior Operations Manager, with </w:t>
      </w:r>
      <w:r>
        <w:rPr>
          <w:sz w:val="20"/>
        </w:rPr>
        <w:t>the</w:t>
      </w:r>
      <w:r>
        <w:rPr>
          <w:sz w:val="20"/>
        </w:rPr>
        <w:t> Operator kept informed, who instructs Service Partner or Maintenance Partner call-outs </w:t>
      </w:r>
      <w:r>
        <w:rPr>
          <w:sz w:val="20"/>
        </w:rPr>
        <w:t>as</w:t>
      </w:r>
      <w:r>
        <w:rPr>
          <w:sz w:val="20"/>
        </w:rPr>
        <w:t> Landlord costs. The Operator is neither required nor authorised to attend a property </w:t>
      </w:r>
      <w:r>
        <w:rPr>
          <w:sz w:val="20"/>
        </w:rPr>
        <w:t>or</w:t>
      </w:r>
      <w:r>
        <w:rPr>
          <w:sz w:val="20"/>
        </w:rPr>
        <w:t> instruct a supplier, and shall refer any issue reported to it to PropertyFlow the same day.</w:t>
      </w:r>
    </w:p>
    <w:p>
      <w:pPr>
        <w:pStyle w:val="ListParagraph"/>
        <w:numPr>
          <w:ilvl w:val="1"/>
          <w:numId w:val="2"/>
        </w:numPr>
        <w:tabs>
          <w:tab w:pos="723" w:val="left" w:leader="none"/>
        </w:tabs>
        <w:spacing w:line="187" w:lineRule="auto" w:before="113" w:after="0"/>
        <w:ind w:left="723" w:right="280" w:hanging="720"/>
        <w:jc w:val="left"/>
        <w:rPr>
          <w:sz w:val="20"/>
        </w:rPr>
      </w:pPr>
      <w:r>
        <w:rPr>
          <w:rFonts w:ascii="Tahoma"/>
          <w:b/>
          <w:sz w:val="20"/>
        </w:rPr>
        <w:t>Portfolio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Manager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change. </w:t>
      </w:r>
      <w:r>
        <w:rPr>
          <w:sz w:val="20"/>
        </w:rPr>
        <w:t>PropertyFlow shall name a Portfolio Manager as </w:t>
      </w:r>
      <w:r>
        <w:rPr>
          <w:sz w:val="20"/>
        </w:rPr>
        <w:t>the</w:t>
      </w:r>
      <w:r>
        <w:rPr>
          <w:sz w:val="20"/>
        </w:rPr>
        <w:t> Operator's point of contact, provide a monthly performance report, and give 30 days' </w:t>
      </w:r>
      <w:r>
        <w:rPr>
          <w:sz w:val="20"/>
        </w:rPr>
        <w:t>written</w:t>
      </w:r>
      <w:r>
        <w:rPr>
          <w:sz w:val="20"/>
        </w:rPr>
        <w:t> notice of changes to the Landlord Agreement form, standard fees, providers or the </w:t>
      </w:r>
      <w:r>
        <w:rPr>
          <w:sz w:val="20"/>
        </w:rPr>
        <w:t>Platform</w:t>
      </w:r>
      <w:r>
        <w:rPr>
          <w:sz w:val="20"/>
        </w:rPr>
        <w:t> (immediately where law or safety requires). No change reduces Commission on a </w:t>
      </w:r>
      <w:r>
        <w:rPr>
          <w:sz w:val="20"/>
        </w:rPr>
        <w:t>Landlord</w:t>
      </w:r>
      <w:r>
        <w:rPr>
          <w:sz w:val="20"/>
        </w:rPr>
        <w:t> Agreement already in force without the Operator's written agreement.</w:t>
      </w:r>
    </w:p>
    <w:p>
      <w:pPr>
        <w:pStyle w:val="BodyText"/>
        <w:spacing w:before="13"/>
        <w:ind w:left="0"/>
      </w:pPr>
    </w:p>
    <w:p>
      <w:pPr>
        <w:pStyle w:val="Heading1"/>
        <w:numPr>
          <w:ilvl w:val="0"/>
          <w:numId w:val="3"/>
        </w:numPr>
        <w:tabs>
          <w:tab w:pos="274" w:val="left" w:leader="none"/>
        </w:tabs>
        <w:spacing w:line="240" w:lineRule="auto" w:before="0" w:after="71"/>
        <w:ind w:left="274" w:right="0" w:hanging="272"/>
        <w:jc w:val="left"/>
      </w:pPr>
      <w:bookmarkStart w:name="5. The Operator's obligations" w:id="6"/>
      <w:bookmarkEnd w:id="6"/>
      <w:r>
        <w:rPr>
          <w:b w:val="0"/>
        </w:rPr>
      </w:r>
      <w:r>
        <w:rPr>
          <w:color w:val="0B0B0E"/>
        </w:rPr>
        <w:t>The</w:t>
      </w:r>
      <w:r>
        <w:rPr>
          <w:color w:val="0B0B0E"/>
          <w:spacing w:val="-7"/>
        </w:rPr>
        <w:t> </w:t>
      </w:r>
      <w:r>
        <w:rPr>
          <w:color w:val="0B0B0E"/>
        </w:rPr>
        <w:t>Operator's</w:t>
      </w:r>
      <w:r>
        <w:rPr>
          <w:color w:val="0B0B0E"/>
          <w:spacing w:val="-7"/>
        </w:rPr>
        <w:t> </w:t>
      </w:r>
      <w:r>
        <w:rPr>
          <w:color w:val="0B0B0E"/>
          <w:spacing w:val="-2"/>
        </w:rPr>
        <w:t>obligations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29" coordorigin="0,0" coordsize="9637,15">
                <v:shape style="position:absolute;left:0;top:7;width:9637;height:2" id="docshape30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0" w:val="left" w:leader="none"/>
          <w:tab w:pos="723" w:val="left" w:leader="none"/>
        </w:tabs>
        <w:spacing w:line="187" w:lineRule="auto" w:before="177" w:after="0"/>
        <w:ind w:left="723" w:right="407" w:hanging="720"/>
        <w:jc w:val="both"/>
        <w:rPr>
          <w:sz w:val="20"/>
        </w:rPr>
      </w:pPr>
      <w:r>
        <w:rPr>
          <w:sz w:val="20"/>
        </w:rPr>
        <w:t>The Operator shall perform the services in Schedule 1 Part B to the Service Standards, </w:t>
      </w:r>
      <w:r>
        <w:rPr>
          <w:sz w:val="20"/>
        </w:rPr>
        <w:t>with</w:t>
      </w:r>
      <w:r>
        <w:rPr>
          <w:sz w:val="20"/>
        </w:rPr>
        <w:t> reasonable skill and care and in a manner that maintains the reputation of PropertyFlow </w:t>
      </w:r>
      <w:r>
        <w:rPr>
          <w:sz w:val="20"/>
        </w:rPr>
        <w:t>and</w:t>
      </w:r>
      <w:r>
        <w:rPr>
          <w:sz w:val="20"/>
        </w:rPr>
        <w:t> the programme.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5" w:after="0"/>
        <w:ind w:left="723" w:right="187" w:hanging="720"/>
        <w:jc w:val="left"/>
        <w:rPr>
          <w:sz w:val="20"/>
        </w:rPr>
      </w:pPr>
      <w:r>
        <w:rPr>
          <w:rFonts w:ascii="Tahoma"/>
          <w:b/>
          <w:sz w:val="20"/>
        </w:rPr>
        <w:t>Conduct. </w:t>
      </w:r>
      <w:r>
        <w:rPr>
          <w:sz w:val="20"/>
        </w:rPr>
        <w:t>The Operator shall use only PropertyFlow's approved materials and pricing; prese</w:t>
      </w:r>
      <w:r>
        <w:rPr>
          <w:sz w:val="20"/>
        </w:rPr>
        <w:t>nt</w:t>
      </w:r>
      <w:r>
        <w:rPr>
          <w:sz w:val="20"/>
        </w:rPr>
        <w:t> the</w:t>
      </w:r>
      <w:r>
        <w:rPr>
          <w:spacing w:val="-2"/>
          <w:sz w:val="20"/>
        </w:rPr>
        <w:t> </w:t>
      </w:r>
      <w:r>
        <w:rPr>
          <w:sz w:val="20"/>
        </w:rPr>
        <w:t>Landlord</w:t>
      </w:r>
      <w:r>
        <w:rPr>
          <w:spacing w:val="-2"/>
          <w:sz w:val="20"/>
        </w:rPr>
        <w:t> </w:t>
      </w:r>
      <w:r>
        <w:rPr>
          <w:sz w:val="20"/>
        </w:rPr>
        <w:t>Agreement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unaltered</w:t>
      </w:r>
      <w:r>
        <w:rPr>
          <w:spacing w:val="-2"/>
          <w:sz w:val="20"/>
        </w:rPr>
        <w:t> </w:t>
      </w:r>
      <w:r>
        <w:rPr>
          <w:sz w:val="20"/>
        </w:rPr>
        <w:t>form,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Fee</w:t>
      </w:r>
      <w:r>
        <w:rPr>
          <w:spacing w:val="-2"/>
          <w:sz w:val="20"/>
        </w:rPr>
        <w:t> </w:t>
      </w:r>
      <w:r>
        <w:rPr>
          <w:sz w:val="20"/>
        </w:rPr>
        <w:t>being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term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z w:val="20"/>
        </w:rPr>
        <w:t> agree within clause 6.4; make no misleading or unsubstantiated statement to any Landlord </w:t>
      </w:r>
      <w:r>
        <w:rPr>
          <w:sz w:val="20"/>
        </w:rPr>
        <w:t>or</w:t>
      </w:r>
      <w:r>
        <w:rPr>
          <w:sz w:val="20"/>
        </w:rPr>
        <w:t> Guest</w:t>
      </w:r>
      <w:r>
        <w:rPr>
          <w:spacing w:val="28"/>
          <w:sz w:val="20"/>
        </w:rPr>
        <w:t> </w:t>
      </w:r>
      <w:r>
        <w:rPr>
          <w:sz w:val="20"/>
        </w:rPr>
        <w:t>(including</w:t>
      </w:r>
      <w:r>
        <w:rPr>
          <w:spacing w:val="28"/>
          <w:sz w:val="20"/>
        </w:rPr>
        <w:t> </w:t>
      </w:r>
      <w:r>
        <w:rPr>
          <w:sz w:val="20"/>
        </w:rPr>
        <w:t>as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8"/>
          <w:sz w:val="20"/>
        </w:rPr>
        <w:t> </w:t>
      </w:r>
      <w:r>
        <w:rPr>
          <w:sz w:val="20"/>
        </w:rPr>
        <w:t>revenue,</w:t>
      </w:r>
      <w:r>
        <w:rPr>
          <w:spacing w:val="27"/>
          <w:sz w:val="20"/>
        </w:rPr>
        <w:t> </w:t>
      </w:r>
      <w:r>
        <w:rPr>
          <w:sz w:val="20"/>
        </w:rPr>
        <w:t>occupancy,</w:t>
      </w:r>
      <w:r>
        <w:rPr>
          <w:spacing w:val="28"/>
          <w:sz w:val="20"/>
        </w:rPr>
        <w:t> </w:t>
      </w:r>
      <w:r>
        <w:rPr>
          <w:sz w:val="20"/>
        </w:rPr>
        <w:t>licensing</w:t>
      </w:r>
      <w:r>
        <w:rPr>
          <w:spacing w:val="28"/>
          <w:sz w:val="20"/>
        </w:rPr>
        <w:t> </w:t>
      </w:r>
      <w:r>
        <w:rPr>
          <w:sz w:val="20"/>
        </w:rPr>
        <w:t>outcomes</w:t>
      </w:r>
      <w:r>
        <w:rPr>
          <w:spacing w:val="28"/>
          <w:sz w:val="20"/>
        </w:rPr>
        <w:t> </w:t>
      </w:r>
      <w:r>
        <w:rPr>
          <w:sz w:val="20"/>
        </w:rPr>
        <w:t>or</w:t>
      </w:r>
      <w:r>
        <w:rPr>
          <w:spacing w:val="28"/>
          <w:sz w:val="20"/>
        </w:rPr>
        <w:t> </w:t>
      </w:r>
      <w:r>
        <w:rPr>
          <w:sz w:val="20"/>
        </w:rPr>
        <w:t>timescales);</w:t>
      </w:r>
      <w:r>
        <w:rPr>
          <w:spacing w:val="28"/>
          <w:sz w:val="20"/>
        </w:rPr>
        <w:t> </w:t>
      </w:r>
      <w:r>
        <w:rPr>
          <w:sz w:val="20"/>
        </w:rPr>
        <w:t>give</w:t>
      </w:r>
      <w:r>
        <w:rPr>
          <w:spacing w:val="28"/>
          <w:sz w:val="20"/>
        </w:rPr>
        <w:t> </w:t>
      </w:r>
      <w:r>
        <w:rPr>
          <w:sz w:val="20"/>
        </w:rPr>
        <w:t>no</w:t>
      </w:r>
      <w:r>
        <w:rPr>
          <w:sz w:val="20"/>
        </w:rPr>
        <w:t> revenue guarantee beyond PropertyFlow's approved comparables; and may present </w:t>
      </w:r>
      <w:r>
        <w:rPr>
          <w:sz w:val="20"/>
        </w:rPr>
        <w:t>the</w:t>
      </w:r>
      <w:r>
        <w:rPr>
          <w:sz w:val="20"/>
        </w:rPr>
        <w:t> Operating Advance to a Landlord only as approved material, its availability and amount </w:t>
      </w:r>
      <w:r>
        <w:rPr>
          <w:sz w:val="20"/>
        </w:rPr>
        <w:t>being</w:t>
      </w:r>
      <w:r>
        <w:rPr>
          <w:sz w:val="20"/>
        </w:rPr>
        <w:t> PropertyFlow's decision for each property.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0" w:after="0"/>
        <w:ind w:left="723" w:right="221" w:hanging="720"/>
        <w:jc w:val="left"/>
        <w:rPr>
          <w:sz w:val="20"/>
        </w:rPr>
      </w:pPr>
      <w:r>
        <w:rPr>
          <w:rFonts w:ascii="Tahoma"/>
          <w:b/>
          <w:sz w:val="20"/>
        </w:rPr>
        <w:t>Law.</w:t>
      </w:r>
      <w:r>
        <w:rPr>
          <w:rFonts w:ascii="Tahoma"/>
          <w:b/>
          <w:spacing w:val="-1"/>
          <w:sz w:val="20"/>
        </w:rPr>
        <w:t> </w:t>
      </w:r>
      <w:r>
        <w:rPr>
          <w:sz w:val="20"/>
        </w:rPr>
        <w:t>The Operator shall comply with all applicable law, including short-term let licensing </w:t>
      </w:r>
      <w:r>
        <w:rPr>
          <w:sz w:val="20"/>
        </w:rPr>
        <w:t>and</w:t>
      </w:r>
      <w:r>
        <w:rPr>
          <w:sz w:val="20"/>
        </w:rPr>
        <w:t> planning, data protection, consumer protection, the Bribery Act 2010 and anti-money</w:t>
      </w:r>
      <w:r>
        <w:rPr>
          <w:sz w:val="20"/>
        </w:rPr>
        <w:t>-</w:t>
      </w:r>
      <w:r>
        <w:rPr>
          <w:sz w:val="20"/>
        </w:rPr>
        <w:t>laundering law, and shall not market, take or permit any booking for a property before Go-</w:t>
      </w:r>
      <w:r>
        <w:rPr>
          <w:sz w:val="20"/>
        </w:rPr>
        <w:t>live</w:t>
      </w:r>
      <w:r>
        <w:rPr>
          <w:sz w:val="20"/>
        </w:rPr>
        <w:t> </w:t>
      </w:r>
      <w:r>
        <w:rPr>
          <w:spacing w:val="-2"/>
          <w:sz w:val="20"/>
        </w:rPr>
        <w:t>Sign-off.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472" w:hanging="720"/>
        <w:jc w:val="left"/>
        <w:rPr>
          <w:sz w:val="20"/>
        </w:rPr>
      </w:pPr>
      <w:r>
        <w:rPr>
          <w:rFonts w:ascii="Tahoma"/>
          <w:b/>
          <w:sz w:val="20"/>
        </w:rPr>
        <w:t>Onboarding,</w:t>
      </w:r>
      <w:r>
        <w:rPr>
          <w:rFonts w:ascii="Tahoma"/>
          <w:b/>
          <w:spacing w:val="-11"/>
          <w:sz w:val="20"/>
        </w:rPr>
        <w:t> </w:t>
      </w:r>
      <w:r>
        <w:rPr>
          <w:rFonts w:ascii="Tahoma"/>
          <w:b/>
          <w:sz w:val="20"/>
        </w:rPr>
        <w:t>cooperation</w:t>
      </w:r>
      <w:r>
        <w:rPr>
          <w:rFonts w:ascii="Tahoma"/>
          <w:b/>
          <w:spacing w:val="-11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11"/>
          <w:sz w:val="20"/>
        </w:rPr>
        <w:t> </w:t>
      </w:r>
      <w:r>
        <w:rPr>
          <w:rFonts w:ascii="Tahoma"/>
          <w:b/>
          <w:sz w:val="20"/>
        </w:rPr>
        <w:t>reporting. </w:t>
      </w:r>
      <w:r>
        <w:rPr>
          <w:sz w:val="20"/>
        </w:rPr>
        <w:t>The Operator shall complete the Intake on </w:t>
      </w:r>
      <w:r>
        <w:rPr>
          <w:sz w:val="20"/>
        </w:rPr>
        <w:t>the</w:t>
      </w:r>
      <w:r>
        <w:rPr>
          <w:sz w:val="20"/>
        </w:rPr>
        <w:t> Platform before initiating any Landlord Agreement; ensure the Landlord completes </w:t>
      </w:r>
      <w:r>
        <w:rPr>
          <w:sz w:val="20"/>
        </w:rPr>
        <w:t>the</w:t>
      </w:r>
      <w:r>
        <w:rPr>
          <w:sz w:val="20"/>
        </w:rPr>
        <w:t> Onboarding stage of the Onboarding Pack on the landlord portal with the </w:t>
      </w:r>
      <w:r>
        <w:rPr>
          <w:sz w:val="20"/>
        </w:rPr>
        <w:t>Landlord's</w:t>
      </w:r>
      <w:r>
        <w:rPr>
          <w:sz w:val="20"/>
        </w:rPr>
        <w:t> signature, chasing any missing item so that it is on the Platform within 2 Business Days </w:t>
      </w:r>
      <w:r>
        <w:rPr>
          <w:sz w:val="20"/>
        </w:rPr>
        <w:t>of</w:t>
      </w:r>
      <w:r>
        <w:rPr>
          <w:sz w:val="20"/>
        </w:rPr>
        <w:t> countersignature;</w:t>
      </w:r>
      <w:r>
        <w:rPr>
          <w:spacing w:val="-2"/>
          <w:sz w:val="20"/>
        </w:rPr>
        <w:t> </w:t>
      </w:r>
      <w:r>
        <w:rPr>
          <w:sz w:val="20"/>
        </w:rPr>
        <w:t>log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Landlord</w:t>
      </w:r>
      <w:r>
        <w:rPr>
          <w:spacing w:val="-2"/>
          <w:sz w:val="20"/>
        </w:rPr>
        <w:t> </w:t>
      </w:r>
      <w:r>
        <w:rPr>
          <w:sz w:val="20"/>
        </w:rPr>
        <w:t>communications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Platform;</w:t>
      </w:r>
      <w:r>
        <w:rPr>
          <w:spacing w:val="-2"/>
          <w:sz w:val="20"/>
        </w:rPr>
        <w:t> </w:t>
      </w:r>
      <w:r>
        <w:rPr>
          <w:sz w:val="20"/>
        </w:rPr>
        <w:t>keep</w:t>
      </w:r>
      <w:r>
        <w:rPr>
          <w:spacing w:val="-2"/>
          <w:sz w:val="20"/>
        </w:rPr>
        <w:t> </w:t>
      </w:r>
      <w:r>
        <w:rPr>
          <w:sz w:val="20"/>
        </w:rPr>
        <w:t>its</w:t>
      </w:r>
      <w:r>
        <w:rPr>
          <w:spacing w:val="-2"/>
          <w:sz w:val="20"/>
        </w:rPr>
        <w:t> </w:t>
      </w:r>
      <w:r>
        <w:rPr>
          <w:sz w:val="20"/>
        </w:rPr>
        <w:t>pipeline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z w:val="20"/>
        </w:rPr>
        <w:t> Platform; and report to PropertyFlow on the same day any complaint, incident, safety </w:t>
      </w:r>
      <w:r>
        <w:rPr>
          <w:sz w:val="20"/>
        </w:rPr>
        <w:t>or</w:t>
      </w:r>
      <w:r>
        <w:rPr>
          <w:sz w:val="20"/>
        </w:rPr>
        <w:t> compliance issue, or contact from a council or enforcement body.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9" w:after="0"/>
        <w:ind w:left="723" w:right="279" w:hanging="720"/>
        <w:jc w:val="left"/>
        <w:rPr>
          <w:sz w:val="20"/>
        </w:rPr>
      </w:pPr>
      <w:r>
        <w:rPr>
          <w:rFonts w:ascii="Tahoma"/>
          <w:b/>
          <w:sz w:val="20"/>
        </w:rPr>
        <w:t>Ramp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Period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Sales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Target. </w:t>
      </w:r>
      <w:r>
        <w:rPr>
          <w:sz w:val="20"/>
        </w:rPr>
        <w:t>No Sales Target applies during the Ramp Period. After </w:t>
      </w:r>
      <w:r>
        <w:rPr>
          <w:sz w:val="20"/>
        </w:rPr>
        <w:t>it,</w:t>
      </w:r>
      <w:r>
        <w:rPr>
          <w:sz w:val="20"/>
        </w:rPr>
        <w:t> PropertyFlow may notify a Sales Target in writing, set at a realistic level for the Territory </w:t>
      </w:r>
      <w:r>
        <w:rPr>
          <w:sz w:val="20"/>
        </w:rPr>
        <w:t>and</w:t>
      </w:r>
      <w:r>
        <w:rPr>
          <w:sz w:val="20"/>
        </w:rPr>
        <w:t> measured on Landlord Agreements signed and countersigned (not on go-live, so </w:t>
      </w:r>
      <w:r>
        <w:rPr>
          <w:sz w:val="20"/>
        </w:rPr>
        <w:t>that</w:t>
      </w:r>
      <w:r>
        <w:rPr>
          <w:sz w:val="20"/>
        </w:rPr>
        <w:t> licensing timescales never count against the Operator). Performance is reviewed quarterly. If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31" coordorigin="0,0" coordsize="9637,15">
                <v:shape style="position:absolute;left:0;top:7;width:9637;height:2" id="docshape32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87" w:lineRule="auto" w:before="160"/>
        <w:ind w:right="224"/>
      </w:pPr>
      <w:r>
        <w:rPr/>
        <w:t>the Sales Target is missed in one quarter the parties review; if missed in two </w:t>
      </w:r>
      <w:r>
        <w:rPr/>
        <w:t>consecutive</w:t>
      </w:r>
      <w:r>
        <w:rPr/>
        <w:t> quarters PropertyFlow may give a written warning and a 90-day improvement plan; if the </w:t>
      </w:r>
      <w:r>
        <w:rPr/>
        <w:t>plan</w:t>
      </w:r>
      <w:r>
        <w:rPr/>
        <w:t> is not met PropertyFlow may terminate under clause 15.3(c). No Sales Target is set in </w:t>
      </w:r>
      <w:r>
        <w:rPr/>
        <w:t>this</w:t>
      </w:r>
      <w:r>
        <w:rPr/>
        <w:t> </w:t>
      </w:r>
      <w:r>
        <w:rPr>
          <w:spacing w:val="-2"/>
        </w:rPr>
        <w:t>Agreement.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235" w:hanging="720"/>
        <w:jc w:val="left"/>
        <w:rPr>
          <w:sz w:val="20"/>
        </w:rPr>
      </w:pPr>
      <w:r>
        <w:rPr>
          <w:rFonts w:ascii="Tahoma"/>
          <w:b/>
          <w:sz w:val="20"/>
        </w:rPr>
        <w:t>Insurance,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staff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keys. </w:t>
      </w:r>
      <w:r>
        <w:rPr>
          <w:sz w:val="20"/>
        </w:rPr>
        <w:t>The Operator shall maintain any insurance stated in </w:t>
      </w:r>
      <w:r>
        <w:rPr>
          <w:sz w:val="20"/>
        </w:rPr>
        <w:t>the</w:t>
      </w:r>
      <w:r>
        <w:rPr>
          <w:sz w:val="20"/>
        </w:rPr>
        <w:t> </w:t>
      </w:r>
      <w:r>
        <w:rPr>
          <w:w w:val="105"/>
          <w:sz w:val="20"/>
        </w:rPr>
        <w:t>Particulars;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responsible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its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personnel,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who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PropertyFlow's;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shall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hold</w:t>
      </w:r>
      <w:r>
        <w:rPr>
          <w:w w:val="105"/>
          <w:sz w:val="20"/>
        </w:rPr>
        <w:t> keys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access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codes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Introduced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Property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unless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PropertyFlow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asks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writing,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which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case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held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PropertyFlow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returned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demand.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271" w:hanging="720"/>
        <w:jc w:val="left"/>
        <w:rPr>
          <w:sz w:val="20"/>
        </w:rPr>
      </w:pPr>
      <w:r>
        <w:rPr>
          <w:rFonts w:ascii="Tahoma"/>
          <w:b/>
          <w:sz w:val="20"/>
        </w:rPr>
        <w:t>Operator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Credentials.</w:t>
      </w:r>
      <w:r>
        <w:rPr>
          <w:rFonts w:ascii="Tahoma"/>
          <w:b/>
          <w:spacing w:val="-6"/>
          <w:sz w:val="20"/>
        </w:rPr>
        <w:t> </w:t>
      </w:r>
      <w:r>
        <w:rPr>
          <w:sz w:val="20"/>
        </w:rPr>
        <w:t>PropertyFlow issues the Operator a Platform login and a </w:t>
      </w:r>
      <w:r>
        <w:rPr>
          <w:sz w:val="20"/>
        </w:rPr>
        <w:t>PropertyFlow</w:t>
      </w:r>
      <w:r>
        <w:rPr>
          <w:sz w:val="20"/>
        </w:rPr>
        <w:t> email address so that the Platform can identify the Operator and its role. The </w:t>
      </w:r>
      <w:r>
        <w:rPr>
          <w:sz w:val="20"/>
        </w:rPr>
        <w:t>Operator</w:t>
      </w:r>
      <w:r>
        <w:rPr>
          <w:sz w:val="20"/>
        </w:rPr>
        <w:t> Credentials remain PropertyFlow's property, may not be shared or transferred, and </w:t>
      </w:r>
      <w:r>
        <w:rPr>
          <w:sz w:val="20"/>
        </w:rPr>
        <w:t>are</w:t>
      </w:r>
      <w:r>
        <w:rPr>
          <w:sz w:val="20"/>
        </w:rPr>
        <w:t> revoked when this Agreement ends. Landlord communications sent from the Prope</w:t>
      </w:r>
      <w:r>
        <w:rPr>
          <w:sz w:val="20"/>
        </w:rPr>
        <w:t>rtyFlow</w:t>
      </w:r>
      <w:r>
        <w:rPr>
          <w:sz w:val="20"/>
        </w:rPr>
        <w:t> address are logged on the Platform. Use of the address does not make the Operator </w:t>
      </w:r>
      <w:r>
        <w:rPr>
          <w:sz w:val="20"/>
        </w:rPr>
        <w:t>an</w:t>
      </w:r>
      <w:r>
        <w:rPr>
          <w:sz w:val="20"/>
        </w:rPr>
        <w:t> employee, agent or representative of PropertyFlow and gives it no authority beyond </w:t>
      </w:r>
      <w:r>
        <w:rPr>
          <w:sz w:val="20"/>
        </w:rPr>
        <w:t>this</w:t>
      </w:r>
      <w:r>
        <w:rPr>
          <w:sz w:val="20"/>
        </w:rPr>
        <w:t> Agreement; the Operator shall show its own business name and "PropertyFlow Verifie</w:t>
      </w:r>
      <w:r>
        <w:rPr>
          <w:sz w:val="20"/>
        </w:rPr>
        <w:t>d</w:t>
      </w:r>
      <w:r>
        <w:rPr>
          <w:sz w:val="20"/>
        </w:rPr>
        <w:t> Partner" in its signature block and shall not use the address to give any warranty </w:t>
      </w:r>
      <w:r>
        <w:rPr>
          <w:sz w:val="20"/>
        </w:rPr>
        <w:t>or</w:t>
      </w:r>
      <w:r>
        <w:rPr>
          <w:sz w:val="20"/>
        </w:rPr>
        <w:t> commitment on PropertyFlow's behalf. Service Partner users attached to the </w:t>
      </w:r>
      <w:r>
        <w:rPr>
          <w:sz w:val="20"/>
        </w:rPr>
        <w:t>Operator's</w:t>
      </w:r>
      <w:r>
        <w:rPr>
          <w:sz w:val="20"/>
        </w:rPr>
        <w:t> account by PropertyFlow see tasks only and are PropertyFlow's suppliers, not the </w:t>
      </w:r>
      <w:r>
        <w:rPr>
          <w:sz w:val="20"/>
        </w:rPr>
        <w:t>Operator's</w:t>
      </w:r>
      <w:r>
        <w:rPr>
          <w:sz w:val="20"/>
        </w:rPr>
        <w:t> </w:t>
      </w:r>
      <w:r>
        <w:rPr>
          <w:spacing w:val="-2"/>
          <w:sz w:val="20"/>
        </w:rPr>
        <w:t>personnel.</w:t>
      </w:r>
    </w:p>
    <w:p>
      <w:pPr>
        <w:pStyle w:val="BodyText"/>
        <w:spacing w:before="4"/>
        <w:ind w:left="0"/>
      </w:pPr>
    </w:p>
    <w:p>
      <w:pPr>
        <w:pStyle w:val="Heading1"/>
        <w:numPr>
          <w:ilvl w:val="0"/>
          <w:numId w:val="3"/>
        </w:numPr>
        <w:tabs>
          <w:tab w:pos="277" w:val="left" w:leader="none"/>
        </w:tabs>
        <w:spacing w:line="240" w:lineRule="auto" w:before="0" w:after="71"/>
        <w:ind w:left="277" w:right="0" w:hanging="275"/>
        <w:jc w:val="left"/>
      </w:pPr>
      <w:bookmarkStart w:name="6. Landlords, Territory and the Register" w:id="7"/>
      <w:bookmarkEnd w:id="7"/>
      <w:r>
        <w:rPr>
          <w:b w:val="0"/>
        </w:rPr>
      </w:r>
      <w:r>
        <w:rPr>
          <w:color w:val="0B0B0E"/>
        </w:rPr>
        <w:t>Landlords,</w:t>
      </w:r>
      <w:r>
        <w:rPr>
          <w:color w:val="0B0B0E"/>
          <w:spacing w:val="-6"/>
        </w:rPr>
        <w:t> </w:t>
      </w:r>
      <w:r>
        <w:rPr>
          <w:color w:val="0B0B0E"/>
        </w:rPr>
        <w:t>Territory</w:t>
      </w:r>
      <w:r>
        <w:rPr>
          <w:color w:val="0B0B0E"/>
          <w:spacing w:val="-5"/>
        </w:rPr>
        <w:t> </w:t>
      </w:r>
      <w:r>
        <w:rPr>
          <w:color w:val="0B0B0E"/>
        </w:rPr>
        <w:t>and</w:t>
      </w:r>
      <w:r>
        <w:rPr>
          <w:color w:val="0B0B0E"/>
          <w:spacing w:val="-5"/>
        </w:rPr>
        <w:t> </w:t>
      </w:r>
      <w:r>
        <w:rPr>
          <w:color w:val="0B0B0E"/>
        </w:rPr>
        <w:t>the</w:t>
      </w:r>
      <w:r>
        <w:rPr>
          <w:color w:val="0B0B0E"/>
          <w:spacing w:val="-6"/>
        </w:rPr>
        <w:t> </w:t>
      </w:r>
      <w:r>
        <w:rPr>
          <w:color w:val="0B0B0E"/>
          <w:spacing w:val="-2"/>
        </w:rPr>
        <w:t>Register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33" coordorigin="0,0" coordsize="9637,15">
                <v:shape style="position:absolute;left:0;top:7;width:9637;height:2" id="docshape34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7" w:after="0"/>
        <w:ind w:left="723" w:right="598" w:hanging="720"/>
        <w:jc w:val="left"/>
        <w:rPr>
          <w:sz w:val="20"/>
        </w:rPr>
      </w:pPr>
      <w:r>
        <w:rPr>
          <w:rFonts w:ascii="Tahoma"/>
          <w:b/>
          <w:sz w:val="20"/>
        </w:rPr>
        <w:t>Introductions. </w:t>
      </w:r>
      <w:r>
        <w:rPr>
          <w:sz w:val="20"/>
        </w:rPr>
        <w:t>The Operator registers each prospective Landlord and property on </w:t>
      </w:r>
      <w:r>
        <w:rPr>
          <w:sz w:val="20"/>
        </w:rPr>
        <w:t>the</w:t>
      </w:r>
      <w:r>
        <w:rPr>
          <w:sz w:val="20"/>
        </w:rPr>
        <w:t> Platform. The Platform checks on entry whether the Landlord or the property is already </w:t>
      </w:r>
      <w:r>
        <w:rPr>
          <w:sz w:val="20"/>
        </w:rPr>
        <w:t>in</w:t>
      </w:r>
      <w:r>
        <w:rPr>
          <w:sz w:val="20"/>
        </w:rPr>
        <w:t> PropertyFlow's records or in another operator's pipeline and tells the Operator; where </w:t>
      </w:r>
      <w:r>
        <w:rPr>
          <w:sz w:val="20"/>
        </w:rPr>
        <w:t>the</w:t>
      </w:r>
      <w:r>
        <w:rPr>
          <w:sz w:val="20"/>
        </w:rPr>
        <w:t> check needs a manual review PropertyFlow confirms within 2 Business Days. The </w:t>
      </w:r>
      <w:r>
        <w:rPr>
          <w:sz w:val="20"/>
        </w:rPr>
        <w:t>first</w:t>
      </w:r>
      <w:r>
        <w:rPr>
          <w:sz w:val="20"/>
        </w:rPr>
        <w:t> operator to register a Landlord holds the introduction.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2" w:after="0"/>
        <w:ind w:left="723" w:right="258" w:hanging="720"/>
        <w:jc w:val="left"/>
        <w:rPr>
          <w:sz w:val="20"/>
        </w:rPr>
      </w:pPr>
      <w:r>
        <w:rPr>
          <w:rFonts w:ascii="Tahoma"/>
          <w:b/>
          <w:sz w:val="20"/>
        </w:rPr>
        <w:t>Acceptance. </w:t>
      </w:r>
      <w:r>
        <w:rPr>
          <w:sz w:val="20"/>
        </w:rPr>
        <w:t>A Landlord becomes an Introduced Landlord, and a property an </w:t>
      </w:r>
      <w:r>
        <w:rPr>
          <w:sz w:val="20"/>
        </w:rPr>
        <w:t>Introduced</w:t>
      </w:r>
      <w:r>
        <w:rPr>
          <w:sz w:val="20"/>
        </w:rPr>
        <w:t> Property, only when the Landlord Agreement is signed by the Landlord and countersigned </w:t>
      </w:r>
      <w:r>
        <w:rPr>
          <w:sz w:val="20"/>
        </w:rPr>
        <w:t>by</w:t>
      </w:r>
      <w:r>
        <w:rPr>
          <w:sz w:val="20"/>
        </w:rPr>
        <w:t> PropertyFlow on the Platform, which is the entry on the Register. Further properties of </w:t>
      </w:r>
      <w:r>
        <w:rPr>
          <w:sz w:val="20"/>
        </w:rPr>
        <w:t>an</w:t>
      </w:r>
      <w:r>
        <w:rPr>
          <w:sz w:val="20"/>
        </w:rPr>
        <w:t> Introduced Landlord placed under a Landlord Agreement during the Term are </w:t>
      </w:r>
      <w:r>
        <w:rPr>
          <w:sz w:val="20"/>
        </w:rPr>
        <w:t>Introduced</w:t>
      </w:r>
      <w:r>
        <w:rPr>
          <w:sz w:val="20"/>
        </w:rPr>
        <w:t> </w:t>
      </w:r>
      <w:r>
        <w:rPr>
          <w:spacing w:val="-2"/>
          <w:sz w:val="20"/>
        </w:rPr>
        <w:t>Properties.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3" w:after="0"/>
        <w:ind w:left="723" w:right="219" w:hanging="720"/>
        <w:jc w:val="left"/>
        <w:rPr>
          <w:sz w:val="20"/>
        </w:rPr>
      </w:pPr>
      <w:r>
        <w:rPr>
          <w:rFonts w:ascii="Tahoma"/>
          <w:b/>
          <w:sz w:val="20"/>
        </w:rPr>
        <w:t>Non-exclusive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Territory. </w:t>
      </w:r>
      <w:r>
        <w:rPr>
          <w:sz w:val="20"/>
        </w:rPr>
        <w:t>PropertyFlow may appoint other operators in the Territory and </w:t>
      </w:r>
      <w:r>
        <w:rPr>
          <w:sz w:val="20"/>
        </w:rPr>
        <w:t>may</w:t>
      </w:r>
      <w:r>
        <w:rPr>
          <w:sz w:val="20"/>
        </w:rPr>
        <w:t> contract with Landlords directly, including through its own salaried business </w:t>
      </w:r>
      <w:r>
        <w:rPr>
          <w:sz w:val="20"/>
        </w:rPr>
        <w:t>development</w:t>
      </w:r>
      <w:r>
        <w:rPr>
          <w:sz w:val="20"/>
        </w:rPr>
        <w:t> staff. No Commission is payable on Landlords PropertyFlow contracts directly or </w:t>
      </w:r>
      <w:r>
        <w:rPr>
          <w:sz w:val="20"/>
        </w:rPr>
        <w:t>another</w:t>
      </w:r>
      <w:r>
        <w:rPr>
          <w:sz w:val="20"/>
        </w:rPr>
        <w:t> operator introduces. PropertyFlow may, at its discretion, refer an inbound Landlord enquiry </w:t>
      </w:r>
      <w:r>
        <w:rPr>
          <w:sz w:val="20"/>
        </w:rPr>
        <w:t>to</w:t>
      </w:r>
      <w:r>
        <w:rPr>
          <w:sz w:val="20"/>
        </w:rPr>
        <w:t> the Operator, and a Landlord who signs following that referral is an Introduced </w:t>
      </w:r>
      <w:r>
        <w:rPr>
          <w:sz w:val="20"/>
        </w:rPr>
        <w:t>Landlord.</w:t>
      </w:r>
      <w:r>
        <w:rPr>
          <w:sz w:val="20"/>
        </w:rPr>
        <w:t> Decisions on referrals and lead routing are made by PropertyFlow's directors under a writte</w:t>
      </w:r>
      <w:r>
        <w:rPr>
          <w:sz w:val="20"/>
        </w:rPr>
        <w:t>n</w:t>
      </w:r>
      <w:r>
        <w:rPr>
          <w:sz w:val="20"/>
        </w:rPr>
        <w:t> </w:t>
      </w:r>
      <w:r>
        <w:rPr>
          <w:spacing w:val="-2"/>
          <w:sz w:val="20"/>
        </w:rPr>
        <w:t>policy.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9" w:after="0"/>
        <w:ind w:left="723" w:right="199" w:hanging="720"/>
        <w:jc w:val="left"/>
        <w:rPr>
          <w:sz w:val="20"/>
        </w:rPr>
      </w:pPr>
      <w:r>
        <w:rPr>
          <w:rFonts w:ascii="Tahoma"/>
          <w:b/>
          <w:sz w:val="20"/>
        </w:rPr>
        <w:t>Management Fee. </w:t>
      </w:r>
      <w:r>
        <w:rPr>
          <w:sz w:val="20"/>
        </w:rPr>
        <w:t>The standard Management Fee is 20% of Net Revenue plus VAT </w:t>
      </w:r>
      <w:r>
        <w:rPr>
          <w:sz w:val="20"/>
        </w:rPr>
        <w:t>where</w:t>
      </w:r>
      <w:r>
        <w:rPr>
          <w:sz w:val="20"/>
        </w:rPr>
        <w:t> applicable. The Operator may agree a Management Fee of not less than 15% of Net Reve</w:t>
      </w:r>
      <w:r>
        <w:rPr>
          <w:sz w:val="20"/>
        </w:rPr>
        <w:t>nue</w:t>
      </w:r>
      <w:r>
        <w:rPr>
          <w:sz w:val="20"/>
        </w:rPr>
        <w:t> with a Landlord and enters the agreed rate on the Platform when initiating the </w:t>
      </w:r>
      <w:r>
        <w:rPr>
          <w:sz w:val="20"/>
        </w:rPr>
        <w:t>Landlord</w:t>
      </w:r>
      <w:r>
        <w:rPr>
          <w:sz w:val="20"/>
        </w:rPr>
        <w:t> Agreement; PropertyFlow sees the rate before it countersigns. A rate below 15%, or any </w:t>
      </w:r>
      <w:r>
        <w:rPr>
          <w:sz w:val="20"/>
        </w:rPr>
        <w:t>other</w:t>
      </w:r>
      <w:r>
        <w:rPr>
          <w:sz w:val="20"/>
        </w:rPr>
        <w:t> departure from the Landlord Agreement's standard terms, requires PropertyFlow's writte</w:t>
      </w:r>
      <w:r>
        <w:rPr>
          <w:sz w:val="20"/>
        </w:rPr>
        <w:t>n</w:t>
      </w:r>
      <w:r>
        <w:rPr>
          <w:sz w:val="20"/>
        </w:rPr>
        <w:t> approval before the Landlord Agreement is sent; PropertyFlow decides, and Commission </w:t>
      </w:r>
      <w:r>
        <w:rPr>
          <w:sz w:val="20"/>
        </w:rPr>
        <w:t>is</w:t>
      </w:r>
      <w:r>
        <w:rPr>
          <w:sz w:val="20"/>
        </w:rPr>
        <w:t> then calculated on the Management Fee as agreed. The Operator shall not otherwise vary </w:t>
      </w:r>
      <w:r>
        <w:rPr>
          <w:sz w:val="20"/>
        </w:rPr>
        <w:t>the</w:t>
      </w:r>
      <w:r>
        <w:rPr>
          <w:sz w:val="20"/>
        </w:rPr>
        <w:t> Landlord Agreement.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8" w:after="0"/>
        <w:ind w:left="723" w:right="185" w:hanging="720"/>
        <w:jc w:val="left"/>
        <w:rPr>
          <w:sz w:val="20"/>
        </w:rPr>
      </w:pPr>
      <w:r>
        <w:rPr>
          <w:rFonts w:ascii="Tahoma"/>
          <w:b/>
          <w:sz w:val="20"/>
        </w:rPr>
        <w:t>Relationship</w:t>
      </w:r>
      <w:r>
        <w:rPr>
          <w:rFonts w:ascii="Tahoma"/>
          <w:b/>
          <w:spacing w:val="-4"/>
          <w:sz w:val="20"/>
        </w:rPr>
        <w:t> </w:t>
      </w:r>
      <w:r>
        <w:rPr>
          <w:rFonts w:ascii="Tahoma"/>
          <w:b/>
          <w:sz w:val="20"/>
        </w:rPr>
        <w:t>management. </w:t>
      </w:r>
      <w:r>
        <w:rPr>
          <w:sz w:val="20"/>
        </w:rPr>
        <w:t>The Operator is PropertyFlow's designated contact for </w:t>
      </w:r>
      <w:r>
        <w:rPr>
          <w:sz w:val="20"/>
        </w:rPr>
        <w:t>its</w:t>
      </w:r>
      <w:r>
        <w:rPr>
          <w:sz w:val="20"/>
        </w:rPr>
        <w:t> Introduced Landlords: check-ins, retention and further properties. Matters concerning money,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line="187" w:lineRule="auto" w:before="164"/>
        <w:ind w:right="224"/>
      </w:pPr>
      <w:r>
        <w:rPr/>
        <w:t>Statements, compliance, licensing, Guest complaints or the terms of the Landlord Agreeme</w:t>
      </w:r>
      <w:r>
        <w:rPr/>
        <w:t>nt</w:t>
      </w:r>
      <w:r>
        <w:rPr/>
        <w:t> are dealt with through, or copied to, PropertyFlow. The Operator shall not represent to </w:t>
      </w:r>
      <w:r>
        <w:rPr/>
        <w:t>any</w:t>
      </w:r>
      <w:r>
        <w:rPr/>
        <w:t> Landlord that the Landlord is the Operator's client or that the Operator controls the prope</w:t>
      </w:r>
      <w:r>
        <w:rPr/>
        <w:t>rty,</w:t>
      </w:r>
      <w:r>
        <w:rPr/>
        <w:t> its listings or its funds.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158" w:hanging="720"/>
        <w:jc w:val="left"/>
        <w:rPr>
          <w:sz w:val="20"/>
        </w:rPr>
      </w:pPr>
      <w:r>
        <w:rPr>
          <w:rFonts w:ascii="Tahoma"/>
          <w:b/>
          <w:sz w:val="20"/>
        </w:rPr>
        <w:t>Renewals</w:t>
      </w:r>
      <w:r>
        <w:rPr>
          <w:rFonts w:ascii="Tahoma"/>
          <w:b/>
          <w:spacing w:val="-2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2"/>
          <w:sz w:val="20"/>
        </w:rPr>
        <w:t> </w:t>
      </w:r>
      <w:r>
        <w:rPr>
          <w:rFonts w:ascii="Tahoma"/>
          <w:b/>
          <w:sz w:val="20"/>
        </w:rPr>
        <w:t>loss. </w:t>
      </w:r>
      <w:r>
        <w:rPr>
          <w:sz w:val="20"/>
        </w:rPr>
        <w:t>PropertyFlow offers renewals on its then-current form; the Ope</w:t>
      </w:r>
      <w:r>
        <w:rPr>
          <w:sz w:val="20"/>
        </w:rPr>
        <w:t>rator</w:t>
      </w:r>
      <w:r>
        <w:rPr>
          <w:sz w:val="20"/>
        </w:rPr>
        <w:t> supports them; Commission continues on renewed agreements. If a Landlord Agreement </w:t>
      </w:r>
      <w:r>
        <w:rPr>
          <w:sz w:val="20"/>
        </w:rPr>
        <w:t>ends</w:t>
      </w:r>
      <w:r>
        <w:rPr>
          <w:sz w:val="20"/>
        </w:rPr>
        <w:t> or a property is withdrawn from hosting, Commission on it ceases from the effective date.</w:t>
      </w:r>
    </w:p>
    <w:p>
      <w:pPr>
        <w:pStyle w:val="BodyText"/>
        <w:spacing w:before="16"/>
        <w:ind w:left="0"/>
      </w:pPr>
    </w:p>
    <w:p>
      <w:pPr>
        <w:pStyle w:val="Heading1"/>
        <w:numPr>
          <w:ilvl w:val="0"/>
          <w:numId w:val="3"/>
        </w:numPr>
        <w:tabs>
          <w:tab w:pos="265" w:val="left" w:leader="none"/>
        </w:tabs>
        <w:spacing w:line="240" w:lineRule="auto" w:before="0" w:after="72"/>
        <w:ind w:left="265" w:right="0" w:hanging="263"/>
        <w:jc w:val="left"/>
      </w:pPr>
      <w:bookmarkStart w:name="7. Client Money and supplier payments" w:id="8"/>
      <w:bookmarkEnd w:id="8"/>
      <w:r>
        <w:rPr>
          <w:b w:val="0"/>
        </w:rPr>
      </w:r>
      <w:r>
        <w:rPr>
          <w:color w:val="0B0B0E"/>
          <w:w w:val="90"/>
        </w:rPr>
        <w:t>Client</w:t>
      </w:r>
      <w:r>
        <w:rPr>
          <w:color w:val="0B0B0E"/>
          <w:spacing w:val="9"/>
        </w:rPr>
        <w:t> </w:t>
      </w:r>
      <w:r>
        <w:rPr>
          <w:color w:val="0B0B0E"/>
          <w:w w:val="90"/>
        </w:rPr>
        <w:t>Money</w:t>
      </w:r>
      <w:r>
        <w:rPr>
          <w:color w:val="0B0B0E"/>
          <w:spacing w:val="9"/>
        </w:rPr>
        <w:t> </w:t>
      </w:r>
      <w:r>
        <w:rPr>
          <w:color w:val="0B0B0E"/>
          <w:w w:val="90"/>
        </w:rPr>
        <w:t>and</w:t>
      </w:r>
      <w:r>
        <w:rPr>
          <w:color w:val="0B0B0E"/>
          <w:spacing w:val="9"/>
        </w:rPr>
        <w:t> </w:t>
      </w:r>
      <w:r>
        <w:rPr>
          <w:color w:val="0B0B0E"/>
          <w:w w:val="90"/>
        </w:rPr>
        <w:t>supplier</w:t>
      </w:r>
      <w:r>
        <w:rPr>
          <w:color w:val="0B0B0E"/>
          <w:spacing w:val="9"/>
        </w:rPr>
        <w:t> </w:t>
      </w:r>
      <w:r>
        <w:rPr>
          <w:color w:val="0B0B0E"/>
          <w:spacing w:val="-2"/>
          <w:w w:val="90"/>
        </w:rPr>
        <w:t>payments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39" coordorigin="0,0" coordsize="9637,15">
                <v:shape style="position:absolute;left:0;top:7;width:9637;height:2" id="docshape40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7" w:after="0"/>
        <w:ind w:left="723" w:right="346" w:hanging="720"/>
        <w:jc w:val="left"/>
        <w:rPr>
          <w:sz w:val="20"/>
        </w:rPr>
      </w:pPr>
      <w:r>
        <w:rPr>
          <w:sz w:val="20"/>
        </w:rPr>
        <w:t>All Client Money is held in the Client Account, in a Client Ledger for each property, on </w:t>
      </w:r>
      <w:r>
        <w:rPr>
          <w:sz w:val="20"/>
        </w:rPr>
        <w:t>behalf</w:t>
      </w:r>
      <w:r>
        <w:rPr>
          <w:sz w:val="20"/>
        </w:rPr>
        <w:t> of the Landlord, and is applied only in accordance with the Landlord Agreement.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7" w:after="0"/>
        <w:ind w:left="723" w:right="221" w:hanging="720"/>
        <w:jc w:val="left"/>
        <w:rPr>
          <w:sz w:val="20"/>
        </w:rPr>
      </w:pPr>
      <w:r>
        <w:rPr>
          <w:sz w:val="20"/>
        </w:rPr>
        <w:t>The Operator shall not, and shall procure that no Operator Principal shall: (a) receive </w:t>
      </w:r>
      <w:r>
        <w:rPr>
          <w:sz w:val="20"/>
        </w:rPr>
        <w:t>any</w:t>
      </w:r>
      <w:r>
        <w:rPr>
          <w:sz w:val="20"/>
        </w:rPr>
        <w:t> payment from a Guest, Booking Channel or Landlord in respect of an Introduced Property; </w:t>
      </w:r>
      <w:r>
        <w:rPr>
          <w:sz w:val="20"/>
        </w:rPr>
        <w:t>(b)</w:t>
      </w:r>
      <w:r>
        <w:rPr>
          <w:sz w:val="20"/>
        </w:rPr>
        <w:t> hold or operate any account into which such a payment is made; (c) set or change payout </w:t>
      </w:r>
      <w:r>
        <w:rPr>
          <w:sz w:val="20"/>
        </w:rPr>
        <w:t>or</w:t>
      </w:r>
      <w:r>
        <w:rPr>
          <w:sz w:val="20"/>
        </w:rPr>
        <w:t> tax details on any Booking Channel; (d) pay any supplier, Landlord or Guest from its </w:t>
      </w:r>
      <w:r>
        <w:rPr>
          <w:sz w:val="20"/>
        </w:rPr>
        <w:t>own</w:t>
      </w:r>
      <w:r>
        <w:rPr>
          <w:spacing w:val="80"/>
          <w:w w:val="150"/>
          <w:sz w:val="20"/>
        </w:rPr>
        <w:t> </w:t>
      </w:r>
      <w:r>
        <w:rPr>
          <w:sz w:val="20"/>
        </w:rPr>
        <w:t>funds on behalf of PropertyFlow or a Landlord, except with PropertyFlow's prior </w:t>
      </w:r>
      <w:r>
        <w:rPr>
          <w:sz w:val="20"/>
        </w:rPr>
        <w:t>written</w:t>
      </w:r>
      <w:r>
        <w:rPr>
          <w:sz w:val="20"/>
        </w:rPr>
        <w:t> approval, in which case PropertyFlow reimburses the Operator from the Client Ledger </w:t>
      </w:r>
      <w:r>
        <w:rPr>
          <w:sz w:val="20"/>
        </w:rPr>
        <w:t>against</w:t>
      </w:r>
      <w:r>
        <w:rPr>
          <w:sz w:val="20"/>
        </w:rPr>
        <w:t> the supplier's invoice and proof of payment; or (e) make any deduction, set-off or rete</w:t>
      </w:r>
      <w:r>
        <w:rPr>
          <w:sz w:val="20"/>
        </w:rPr>
        <w:t>ntion</w:t>
      </w:r>
      <w:r>
        <w:rPr>
          <w:sz w:val="20"/>
        </w:rPr>
        <w:t> against Client Money.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8" w:after="0"/>
        <w:ind w:left="723" w:right="279" w:hanging="720"/>
        <w:jc w:val="left"/>
        <w:rPr>
          <w:sz w:val="20"/>
        </w:rPr>
      </w:pPr>
      <w:r>
        <w:rPr>
          <w:sz w:val="20"/>
        </w:rPr>
        <w:t>Any Client Money received by the Operator or an Operator Principal is held on trust for </w:t>
      </w:r>
      <w:r>
        <w:rPr>
          <w:sz w:val="20"/>
        </w:rPr>
        <w:t>the</w:t>
      </w:r>
      <w:r>
        <w:rPr>
          <w:sz w:val="20"/>
        </w:rPr>
        <w:t> Landlord,</w:t>
      </w:r>
      <w:r>
        <w:rPr>
          <w:spacing w:val="-1"/>
          <w:sz w:val="20"/>
        </w:rPr>
        <w:t> </w:t>
      </w:r>
      <w:r>
        <w:rPr>
          <w:sz w:val="20"/>
        </w:rPr>
        <w:t>notified to PropertyFlow immediately and transferred to the Client Account within </w:t>
      </w:r>
      <w:r>
        <w:rPr>
          <w:sz w:val="20"/>
        </w:rPr>
        <w:t>2</w:t>
      </w:r>
      <w:r>
        <w:rPr>
          <w:sz w:val="20"/>
        </w:rPr>
        <w:t> Business Days with a breakdown by property and booking.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5" w:after="0"/>
        <w:ind w:left="723" w:right="225" w:hanging="720"/>
        <w:jc w:val="left"/>
        <w:rPr>
          <w:sz w:val="20"/>
        </w:rPr>
      </w:pPr>
      <w:r>
        <w:rPr>
          <w:rFonts w:ascii="Tahoma"/>
          <w:b/>
          <w:sz w:val="20"/>
        </w:rPr>
        <w:t>Supplier</w:t>
      </w:r>
      <w:r>
        <w:rPr>
          <w:rFonts w:ascii="Tahoma"/>
          <w:b/>
          <w:spacing w:val="-7"/>
          <w:sz w:val="20"/>
        </w:rPr>
        <w:t> </w:t>
      </w:r>
      <w:r>
        <w:rPr>
          <w:rFonts w:ascii="Tahoma"/>
          <w:b/>
          <w:sz w:val="20"/>
        </w:rPr>
        <w:t>payments. </w:t>
      </w:r>
      <w:r>
        <w:rPr>
          <w:sz w:val="20"/>
        </w:rPr>
        <w:t>Service Partner, Maintenance Partner, compliance and licensing </w:t>
      </w:r>
      <w:r>
        <w:rPr>
          <w:sz w:val="20"/>
        </w:rPr>
        <w:t>charges</w:t>
      </w:r>
      <w:r>
        <w:rPr>
          <w:sz w:val="20"/>
        </w:rPr>
        <w:t> for an Introduced Property are Landlord costs paid by PropertyFlow from that </w:t>
      </w:r>
      <w:r>
        <w:rPr>
          <w:sz w:val="20"/>
        </w:rPr>
        <w:t>property's</w:t>
      </w:r>
      <w:r>
        <w:rPr>
          <w:spacing w:val="80"/>
          <w:sz w:val="20"/>
        </w:rPr>
        <w:t> </w:t>
      </w:r>
      <w:r>
        <w:rPr>
          <w:sz w:val="20"/>
        </w:rPr>
        <w:t>Client</w:t>
      </w:r>
      <w:r>
        <w:rPr>
          <w:spacing w:val="36"/>
          <w:sz w:val="20"/>
        </w:rPr>
        <w:t> </w:t>
      </w:r>
      <w:r>
        <w:rPr>
          <w:sz w:val="20"/>
        </w:rPr>
        <w:t>Ledger</w:t>
      </w:r>
      <w:r>
        <w:rPr>
          <w:spacing w:val="36"/>
          <w:sz w:val="20"/>
        </w:rPr>
        <w:t> </w:t>
      </w:r>
      <w:r>
        <w:rPr>
          <w:sz w:val="20"/>
        </w:rPr>
        <w:t>in</w:t>
      </w:r>
      <w:r>
        <w:rPr>
          <w:spacing w:val="36"/>
          <w:sz w:val="20"/>
        </w:rPr>
        <w:t> </w:t>
      </w:r>
      <w:r>
        <w:rPr>
          <w:sz w:val="20"/>
        </w:rPr>
        <w:t>accordance</w:t>
      </w:r>
      <w:r>
        <w:rPr>
          <w:spacing w:val="36"/>
          <w:sz w:val="20"/>
        </w:rPr>
        <w:t> </w:t>
      </w:r>
      <w:r>
        <w:rPr>
          <w:sz w:val="20"/>
        </w:rPr>
        <w:t>with</w:t>
      </w:r>
      <w:r>
        <w:rPr>
          <w:spacing w:val="36"/>
          <w:sz w:val="20"/>
        </w:rPr>
        <w:t> </w:t>
      </w:r>
      <w:r>
        <w:rPr>
          <w:sz w:val="20"/>
        </w:rPr>
        <w:t>Schedule</w:t>
      </w:r>
      <w:r>
        <w:rPr>
          <w:spacing w:val="36"/>
          <w:sz w:val="20"/>
        </w:rPr>
        <w:t> </w:t>
      </w:r>
      <w:r>
        <w:rPr>
          <w:sz w:val="20"/>
        </w:rPr>
        <w:t>2:</w:t>
      </w:r>
      <w:r>
        <w:rPr>
          <w:spacing w:val="34"/>
          <w:sz w:val="20"/>
        </w:rPr>
        <w:t> </w:t>
      </w:r>
      <w:r>
        <w:rPr>
          <w:sz w:val="20"/>
        </w:rPr>
        <w:t>Service</w:t>
      </w:r>
      <w:r>
        <w:rPr>
          <w:spacing w:val="36"/>
          <w:sz w:val="20"/>
        </w:rPr>
        <w:t> </w:t>
      </w:r>
      <w:r>
        <w:rPr>
          <w:sz w:val="20"/>
        </w:rPr>
        <w:t>Partners</w:t>
      </w:r>
      <w:r>
        <w:rPr>
          <w:spacing w:val="36"/>
          <w:sz w:val="20"/>
        </w:rPr>
        <w:t> </w:t>
      </w:r>
      <w:r>
        <w:rPr>
          <w:sz w:val="20"/>
        </w:rPr>
        <w:t>on</w:t>
      </w:r>
      <w:r>
        <w:rPr>
          <w:spacing w:val="36"/>
          <w:sz w:val="20"/>
        </w:rPr>
        <w:t> </w:t>
      </w:r>
      <w:r>
        <w:rPr>
          <w:sz w:val="20"/>
        </w:rPr>
        <w:t>ten-day</w:t>
      </w:r>
      <w:r>
        <w:rPr>
          <w:spacing w:val="36"/>
          <w:sz w:val="20"/>
        </w:rPr>
        <w:t> </w:t>
      </w:r>
      <w:r>
        <w:rPr>
          <w:sz w:val="20"/>
        </w:rPr>
        <w:t>cycles,</w:t>
      </w:r>
      <w:r>
        <w:rPr>
          <w:sz w:val="20"/>
        </w:rPr>
        <w:t> Maintenance Partners per ticket, and Licence and compliance fees under the </w:t>
      </w:r>
      <w:r>
        <w:rPr>
          <w:sz w:val="20"/>
        </w:rPr>
        <w:t>Landlord's</w:t>
      </w:r>
      <w:r>
        <w:rPr>
          <w:sz w:val="20"/>
        </w:rPr>
        <w:t> standing approval in the Landlord Agreement or with the Landlord's sign-off. A payment </w:t>
      </w:r>
      <w:r>
        <w:rPr>
          <w:sz w:val="20"/>
        </w:rPr>
        <w:t>is</w:t>
      </w:r>
      <w:r>
        <w:rPr>
          <w:sz w:val="20"/>
        </w:rPr>
        <w:t> made only if the Client Ledger covers it; one Landlord's money is never used for </w:t>
      </w:r>
      <w:r>
        <w:rPr>
          <w:sz w:val="20"/>
        </w:rPr>
        <w:t>another's</w:t>
      </w:r>
      <w:r>
        <w:rPr>
          <w:sz w:val="20"/>
        </w:rPr>
        <w:t> costs. Every supplier contracts with PropertyFlow as agent for the Landlord under a </w:t>
      </w:r>
      <w:r>
        <w:rPr>
          <w:sz w:val="20"/>
        </w:rPr>
        <w:t>Service</w:t>
      </w:r>
      <w:r>
        <w:rPr>
          <w:sz w:val="20"/>
        </w:rPr>
        <w:t> Partner Agreement, never with the Operator.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8" w:after="0"/>
        <w:ind w:left="723" w:right="253" w:hanging="720"/>
        <w:jc w:val="left"/>
        <w:rPr>
          <w:sz w:val="20"/>
        </w:rPr>
      </w:pPr>
      <w:r>
        <w:rPr>
          <w:rFonts w:ascii="Tahoma"/>
          <w:b/>
          <w:sz w:val="20"/>
        </w:rPr>
        <w:t>Operating</w:t>
      </w:r>
      <w:r>
        <w:rPr>
          <w:rFonts w:ascii="Tahoma"/>
          <w:b/>
          <w:spacing w:val="-4"/>
          <w:sz w:val="20"/>
        </w:rPr>
        <w:t> </w:t>
      </w:r>
      <w:r>
        <w:rPr>
          <w:rFonts w:ascii="Tahoma"/>
          <w:b/>
          <w:sz w:val="20"/>
        </w:rPr>
        <w:t>Advance. </w:t>
      </w:r>
      <w:r>
        <w:rPr>
          <w:sz w:val="20"/>
        </w:rPr>
        <w:t>PropertyFlow may lend a Landlord an Operating Advance under </w:t>
      </w:r>
      <w:r>
        <w:rPr>
          <w:sz w:val="20"/>
        </w:rPr>
        <w:t>the</w:t>
      </w:r>
      <w:r>
        <w:rPr>
          <w:sz w:val="20"/>
        </w:rPr>
        <w:t> Landlord Agreement, credited to the Client Ledger and repaid from payouts. Whether to le</w:t>
      </w:r>
      <w:r>
        <w:rPr>
          <w:sz w:val="20"/>
        </w:rPr>
        <w:t>nd,</w:t>
      </w:r>
      <w:r>
        <w:rPr>
          <w:sz w:val="20"/>
        </w:rPr>
        <w:t> how much within the limits in clause 1, and whether to fund a Licence application fee </w:t>
      </w:r>
      <w:r>
        <w:rPr>
          <w:sz w:val="20"/>
        </w:rPr>
        <w:t>or</w:t>
      </w:r>
      <w:r>
        <w:rPr>
          <w:sz w:val="20"/>
        </w:rPr>
        <w:t> require the Landlord to pay it into the Client Ledger first, is PropertyFlow's decision for </w:t>
      </w:r>
      <w:r>
        <w:rPr>
          <w:sz w:val="20"/>
        </w:rPr>
        <w:t>each</w:t>
      </w:r>
      <w:r>
        <w:rPr>
          <w:sz w:val="20"/>
        </w:rPr>
        <w:t> property. The Operator never funds, receives or handles it.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3" w:after="0"/>
        <w:ind w:left="723" w:right="459" w:hanging="720"/>
        <w:jc w:val="left"/>
        <w:rPr>
          <w:sz w:val="20"/>
        </w:rPr>
      </w:pPr>
      <w:r>
        <w:rPr>
          <w:rFonts w:ascii="Tahoma"/>
          <w:b/>
          <w:sz w:val="20"/>
        </w:rPr>
        <w:t>Operator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z w:val="20"/>
        </w:rPr>
        <w:t>as</w:t>
      </w:r>
      <w:r>
        <w:rPr>
          <w:rFonts w:ascii="Tahoma"/>
          <w:b/>
          <w:spacing w:val="-3"/>
          <w:sz w:val="20"/>
        </w:rPr>
        <w:t> </w:t>
      </w:r>
      <w:r>
        <w:rPr>
          <w:rFonts w:ascii="Tahoma"/>
          <w:b/>
          <w:sz w:val="20"/>
        </w:rPr>
        <w:t>supplier. </w:t>
      </w:r>
      <w:r>
        <w:rPr>
          <w:sz w:val="20"/>
        </w:rPr>
        <w:t>If the Operator or a Connected Person wishes to supply cleaning</w:t>
      </w:r>
      <w:r>
        <w:rPr>
          <w:sz w:val="20"/>
        </w:rPr>
        <w:t>,</w:t>
      </w:r>
      <w:r>
        <w:rPr>
          <w:sz w:val="20"/>
        </w:rPr>
        <w:t> maintenance or other services to Introduced Properties, it may do so only under a </w:t>
      </w:r>
      <w:r>
        <w:rPr>
          <w:sz w:val="20"/>
        </w:rPr>
        <w:t>separate</w:t>
      </w:r>
      <w:r>
        <w:rPr>
          <w:sz w:val="20"/>
        </w:rPr>
        <w:t> Service Partner Agreement, disclosed under clause 13, at arm's-length rates, </w:t>
      </w:r>
      <w:r>
        <w:rPr>
          <w:sz w:val="20"/>
        </w:rPr>
        <w:t>invoicing</w:t>
      </w:r>
      <w:r>
        <w:rPr>
          <w:sz w:val="20"/>
        </w:rPr>
        <w:t> PropertyFlow as agent for the Landlord. Payment for those services is not Commission.</w:t>
      </w:r>
    </w:p>
    <w:p>
      <w:pPr>
        <w:pStyle w:val="BodyText"/>
        <w:spacing w:before="14"/>
        <w:ind w:left="0"/>
      </w:pPr>
    </w:p>
    <w:p>
      <w:pPr>
        <w:pStyle w:val="Heading1"/>
        <w:numPr>
          <w:ilvl w:val="0"/>
          <w:numId w:val="3"/>
        </w:numPr>
        <w:tabs>
          <w:tab w:pos="274" w:val="left" w:leader="none"/>
        </w:tabs>
        <w:spacing w:line="240" w:lineRule="auto" w:before="1" w:after="70"/>
        <w:ind w:left="274" w:right="0" w:hanging="272"/>
        <w:jc w:val="left"/>
      </w:pPr>
      <w:bookmarkStart w:name="8. Commission" w:id="9"/>
      <w:bookmarkEnd w:id="9"/>
      <w:r>
        <w:rPr>
          <w:b w:val="0"/>
        </w:rPr>
      </w:r>
      <w:r>
        <w:rPr>
          <w:color w:val="0B0B0E"/>
          <w:spacing w:val="-2"/>
        </w:rPr>
        <w:t>Commission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41" coordorigin="0,0" coordsize="9637,15">
                <v:shape style="position:absolute;left:0;top:7;width:9637;height:2" id="docshape42" coordorigin="0,8" coordsize="9637,0" path="m9637,7l0,7m9637,7l0,7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0" w:val="left" w:leader="none"/>
          <w:tab w:pos="723" w:val="left" w:leader="none"/>
        </w:tabs>
        <w:spacing w:line="187" w:lineRule="auto" w:before="178" w:after="0"/>
        <w:ind w:left="723" w:right="276" w:hanging="720"/>
        <w:jc w:val="both"/>
        <w:rPr>
          <w:sz w:val="20"/>
        </w:rPr>
      </w:pPr>
      <w:r>
        <w:rPr>
          <w:sz w:val="20"/>
        </w:rPr>
        <w:t>In consideration of the Operator's services, PropertyFlow shall pay the Operator Comm</w:t>
      </w:r>
      <w:r>
        <w:rPr>
          <w:sz w:val="20"/>
        </w:rPr>
        <w:t>ission</w:t>
      </w:r>
      <w:r>
        <w:rPr>
          <w:sz w:val="20"/>
        </w:rPr>
        <w:t> of 50% of the Fee Received for each calendar month in respect of each Introduced Prope</w:t>
      </w:r>
      <w:r>
        <w:rPr>
          <w:sz w:val="20"/>
        </w:rPr>
        <w:t>rty,</w:t>
      </w:r>
      <w:r>
        <w:rPr>
          <w:sz w:val="20"/>
        </w:rPr>
        <w:t> for so long as the Landlord Agreement remains in force and this Agreement continues.</w:t>
      </w:r>
    </w:p>
    <w:p>
      <w:pPr>
        <w:pStyle w:val="ListParagraph"/>
        <w:numPr>
          <w:ilvl w:val="1"/>
          <w:numId w:val="3"/>
        </w:numPr>
        <w:tabs>
          <w:tab w:pos="721" w:val="left" w:leader="none"/>
          <w:tab w:pos="723" w:val="left" w:leader="none"/>
        </w:tabs>
        <w:spacing w:line="187" w:lineRule="auto" w:before="115" w:after="0"/>
        <w:ind w:left="723" w:right="297" w:hanging="720"/>
        <w:jc w:val="both"/>
        <w:rPr>
          <w:sz w:val="20"/>
        </w:rPr>
      </w:pPr>
      <w:r>
        <w:rPr>
          <w:rFonts w:ascii="Tahoma"/>
          <w:b/>
          <w:sz w:val="20"/>
        </w:rPr>
        <w:t>Calculation</w:t>
      </w:r>
      <w:r>
        <w:rPr>
          <w:rFonts w:ascii="Tahoma"/>
          <w:b/>
          <w:spacing w:val="-10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10"/>
          <w:sz w:val="20"/>
        </w:rPr>
        <w:t> </w:t>
      </w:r>
      <w:r>
        <w:rPr>
          <w:rFonts w:ascii="Tahoma"/>
          <w:b/>
          <w:sz w:val="20"/>
        </w:rPr>
        <w:t>fee</w:t>
      </w:r>
      <w:r>
        <w:rPr>
          <w:rFonts w:ascii="Tahoma"/>
          <w:b/>
          <w:spacing w:val="-10"/>
          <w:sz w:val="20"/>
        </w:rPr>
        <w:t> </w:t>
      </w:r>
      <w:r>
        <w:rPr>
          <w:rFonts w:ascii="Tahoma"/>
          <w:b/>
          <w:sz w:val="20"/>
        </w:rPr>
        <w:t>base. </w:t>
      </w:r>
      <w:r>
        <w:rPr>
          <w:sz w:val="20"/>
        </w:rPr>
        <w:t>The Management Fee is charged on Net Revenue: Gross </w:t>
      </w:r>
      <w:r>
        <w:rPr>
          <w:sz w:val="20"/>
        </w:rPr>
        <w:t>Revenue</w:t>
      </w:r>
      <w:r>
        <w:rPr>
          <w:sz w:val="20"/>
        </w:rPr>
        <w:t> for bookings checking out in the month, less Booking Channel commission at the actual</w:t>
      </w:r>
    </w:p>
    <w:p>
      <w:pPr>
        <w:pStyle w:val="ListParagraph"/>
        <w:spacing w:after="0" w:line="187" w:lineRule="auto"/>
        <w:jc w:val="both"/>
        <w:rPr>
          <w:sz w:val="20"/>
        </w:rPr>
        <w:sectPr>
          <w:headerReference w:type="default" r:id="rId9"/>
          <w:footerReference w:type="default" r:id="rId10"/>
          <w:pgSz w:w="11910" w:h="16840"/>
          <w:pgMar w:header="560" w:footer="602" w:top="980" w:bottom="800" w:left="1133" w:right="992"/>
        </w:sectPr>
      </w:pPr>
    </w:p>
    <w:p>
      <w:pPr>
        <w:pStyle w:val="BodyText"/>
        <w:spacing w:line="187" w:lineRule="auto" w:before="164"/>
        <w:ind w:right="223"/>
      </w:pPr>
      <w:r>
        <w:rPr/>
        <w:t>amount the channel deducted, payment processing fees and Guest refunds, and </w:t>
      </w:r>
      <w:r>
        <w:rPr/>
        <w:t>before</w:t>
      </w:r>
      <w:r>
        <w:rPr>
          <w:spacing w:val="40"/>
        </w:rPr>
        <w:t> </w:t>
      </w:r>
      <w:r>
        <w:rPr/>
        <w:t>Tourist Tax is deducted. Tourist Tax, the Landlord's property costs and any other </w:t>
      </w:r>
      <w:r>
        <w:rPr/>
        <w:t>deduction</w:t>
      </w:r>
      <w:r>
        <w:rPr>
          <w:spacing w:val="80"/>
        </w:rPr>
        <w:t> </w:t>
      </w:r>
      <w:r>
        <w:rPr/>
        <w:t>are taken from the Client Ledger after the Management Fee. Where PropertyFlow is VAT</w:t>
      </w:r>
      <w:r>
        <w:rPr/>
        <w:t>-</w:t>
      </w:r>
      <w:r>
        <w:rPr/>
        <w:t>registered, VAT is added to the Management Fee on the Landlord's Statement and </w:t>
      </w:r>
      <w:r>
        <w:rPr/>
        <w:t>accounted</w:t>
      </w:r>
      <w:r>
        <w:rPr/>
        <w:t> for to HMRC; it forms no part of the Fee Received and no part of Commission. The </w:t>
      </w:r>
      <w:r>
        <w:rPr/>
        <w:t>Fee</w:t>
      </w:r>
      <w:r>
        <w:rPr/>
        <w:t> Received is the Management Fee, excluding VAT, actually deducted and received in cleare</w:t>
      </w:r>
      <w:r>
        <w:rPr/>
        <w:t>d</w:t>
      </w:r>
      <w:r>
        <w:rPr/>
        <w:t> funds. Commission is therefore 10% of Net Revenue on a property at the standard 20% </w:t>
      </w:r>
      <w:r>
        <w:rPr/>
        <w:t>rate</w:t>
      </w:r>
      <w:r>
        <w:rPr/>
        <w:t> and 7.5% at the 15% floor, before and after VAT registration alike. Schedule 2 shows </w:t>
      </w:r>
      <w:r>
        <w:rPr/>
        <w:t>the</w:t>
      </w:r>
      <w:r>
        <w:rPr/>
        <w:t> working. Where a Landlord Agreement provides for a different rate or base, the Manag</w:t>
      </w:r>
      <w:r>
        <w:rPr/>
        <w:t>ement</w:t>
      </w:r>
      <w:r>
        <w:rPr/>
        <w:t> Fee is calculated as that agreement provides and Commission remains 50% of the </w:t>
      </w:r>
      <w:r>
        <w:rPr/>
        <w:t>Fee</w:t>
      </w:r>
      <w:r>
        <w:rPr/>
        <w:t> </w:t>
      </w:r>
      <w:r>
        <w:rPr>
          <w:spacing w:val="-2"/>
        </w:rPr>
        <w:t>Received.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4" w:after="0"/>
        <w:ind w:left="723" w:right="216" w:hanging="720"/>
        <w:jc w:val="left"/>
        <w:rPr>
          <w:sz w:val="20"/>
        </w:rPr>
      </w:pPr>
      <w:r>
        <w:rPr>
          <w:rFonts w:ascii="Tahoma"/>
          <w:b/>
          <w:sz w:val="20"/>
        </w:rPr>
        <w:t>Cleaning</w:t>
      </w:r>
      <w:r>
        <w:rPr>
          <w:rFonts w:ascii="Tahoma"/>
          <w:b/>
          <w:spacing w:val="-11"/>
          <w:sz w:val="20"/>
        </w:rPr>
        <w:t> </w:t>
      </w:r>
      <w:r>
        <w:rPr>
          <w:rFonts w:ascii="Tahoma"/>
          <w:b/>
          <w:sz w:val="20"/>
        </w:rPr>
        <w:t>fees. </w:t>
      </w:r>
      <w:r>
        <w:rPr>
          <w:sz w:val="20"/>
        </w:rPr>
        <w:t>Any cleaning fee charged to a Guest forms part of Gross Revenue and is not </w:t>
      </w:r>
      <w:r>
        <w:rPr>
          <w:sz w:val="20"/>
        </w:rPr>
        <w:t>a</w:t>
      </w:r>
      <w:r>
        <w:rPr>
          <w:sz w:val="20"/>
        </w:rPr>
        <w:t> pass-through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Service</w:t>
      </w:r>
      <w:r>
        <w:rPr>
          <w:spacing w:val="29"/>
          <w:sz w:val="20"/>
        </w:rPr>
        <w:t> </w:t>
      </w:r>
      <w:r>
        <w:rPr>
          <w:sz w:val="20"/>
        </w:rPr>
        <w:t>Partner's</w:t>
      </w:r>
      <w:r>
        <w:rPr>
          <w:spacing w:val="29"/>
          <w:sz w:val="20"/>
        </w:rPr>
        <w:t> </w:t>
      </w:r>
      <w:r>
        <w:rPr>
          <w:sz w:val="20"/>
        </w:rPr>
        <w:t>charge.</w:t>
      </w:r>
      <w:r>
        <w:rPr>
          <w:spacing w:val="28"/>
          <w:sz w:val="20"/>
        </w:rPr>
        <w:t> </w:t>
      </w:r>
      <w:r>
        <w:rPr>
          <w:sz w:val="20"/>
        </w:rPr>
        <w:t>PropertyFlow</w:t>
      </w:r>
      <w:r>
        <w:rPr>
          <w:spacing w:val="29"/>
          <w:sz w:val="20"/>
        </w:rPr>
        <w:t> </w:t>
      </w:r>
      <w:r>
        <w:rPr>
          <w:sz w:val="20"/>
        </w:rPr>
        <w:t>sets</w:t>
      </w:r>
      <w:r>
        <w:rPr>
          <w:spacing w:val="29"/>
          <w:sz w:val="20"/>
        </w:rPr>
        <w:t> </w:t>
      </w:r>
      <w:r>
        <w:rPr>
          <w:sz w:val="20"/>
        </w:rPr>
        <w:t>the</w:t>
      </w:r>
      <w:r>
        <w:rPr>
          <w:spacing w:val="29"/>
          <w:sz w:val="20"/>
        </w:rPr>
        <w:t> </w:t>
      </w:r>
      <w:r>
        <w:rPr>
          <w:sz w:val="20"/>
        </w:rPr>
        <w:t>guest</w:t>
      </w:r>
      <w:r>
        <w:rPr>
          <w:spacing w:val="29"/>
          <w:sz w:val="20"/>
        </w:rPr>
        <w:t> </w:t>
      </w:r>
      <w:r>
        <w:rPr>
          <w:sz w:val="20"/>
        </w:rPr>
        <w:t>cleaning</w:t>
      </w:r>
      <w:r>
        <w:rPr>
          <w:spacing w:val="29"/>
          <w:sz w:val="20"/>
        </w:rPr>
        <w:t> </w:t>
      </w:r>
      <w:r>
        <w:rPr>
          <w:sz w:val="20"/>
        </w:rPr>
        <w:t>fee</w:t>
      </w:r>
      <w:r>
        <w:rPr>
          <w:spacing w:val="29"/>
          <w:sz w:val="20"/>
        </w:rPr>
        <w:t> </w:t>
      </w:r>
      <w:r>
        <w:rPr>
          <w:sz w:val="20"/>
        </w:rPr>
        <w:t>as</w:t>
      </w:r>
      <w:r>
        <w:rPr>
          <w:sz w:val="20"/>
        </w:rPr>
        <w:t> part of pricing, and the actual Service Partner charge for each clean is a Landlord cost </w:t>
      </w:r>
      <w:r>
        <w:rPr>
          <w:sz w:val="20"/>
        </w:rPr>
        <w:t>paid</w:t>
      </w:r>
      <w:r>
        <w:rPr>
          <w:sz w:val="20"/>
        </w:rPr>
        <w:t> from the Client Ledger under clause 7.4. Commission is calculated on the Management Fe</w:t>
      </w:r>
      <w:r>
        <w:rPr>
          <w:sz w:val="20"/>
        </w:rPr>
        <w:t>e</w:t>
      </w:r>
      <w:r>
        <w:rPr>
          <w:sz w:val="20"/>
        </w:rPr>
        <w:t> only and is unaffected by the Service Partner's charge.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2" w:after="0"/>
        <w:ind w:left="723" w:right="160" w:hanging="720"/>
        <w:jc w:val="left"/>
        <w:rPr>
          <w:sz w:val="20"/>
        </w:rPr>
      </w:pPr>
      <w:r>
        <w:rPr>
          <w:rFonts w:ascii="Tahoma"/>
          <w:b/>
          <w:sz w:val="20"/>
        </w:rPr>
        <w:t>Exclusions. </w:t>
      </w:r>
      <w:r>
        <w:rPr>
          <w:sz w:val="20"/>
        </w:rPr>
        <w:t>Commission does not extend to: (a) Client Money or booking revenue; </w:t>
      </w:r>
      <w:r>
        <w:rPr>
          <w:sz w:val="20"/>
        </w:rPr>
        <w:t>(b)</w:t>
      </w:r>
      <w:r>
        <w:rPr>
          <w:spacing w:val="40"/>
          <w:sz w:val="20"/>
        </w:rPr>
        <w:t> </w:t>
      </w:r>
      <w:r>
        <w:rPr>
          <w:sz w:val="20"/>
        </w:rPr>
        <w:t>Landlord</w:t>
      </w:r>
      <w:r>
        <w:rPr>
          <w:spacing w:val="35"/>
          <w:sz w:val="20"/>
        </w:rPr>
        <w:t> </w:t>
      </w:r>
      <w:r>
        <w:rPr>
          <w:sz w:val="20"/>
        </w:rPr>
        <w:t>costs,</w:t>
      </w:r>
      <w:r>
        <w:rPr>
          <w:spacing w:val="33"/>
          <w:sz w:val="20"/>
        </w:rPr>
        <w:t> </w:t>
      </w:r>
      <w:r>
        <w:rPr>
          <w:sz w:val="20"/>
        </w:rPr>
        <w:t>recharges</w:t>
      </w:r>
      <w:r>
        <w:rPr>
          <w:spacing w:val="35"/>
          <w:sz w:val="20"/>
        </w:rPr>
        <w:t> </w:t>
      </w:r>
      <w:r>
        <w:rPr>
          <w:sz w:val="20"/>
        </w:rPr>
        <w:t>or</w:t>
      </w:r>
      <w:r>
        <w:rPr>
          <w:spacing w:val="35"/>
          <w:sz w:val="20"/>
        </w:rPr>
        <w:t> </w:t>
      </w:r>
      <w:r>
        <w:rPr>
          <w:sz w:val="20"/>
        </w:rPr>
        <w:t>supplier</w:t>
      </w:r>
      <w:r>
        <w:rPr>
          <w:spacing w:val="35"/>
          <w:sz w:val="20"/>
        </w:rPr>
        <w:t> </w:t>
      </w:r>
      <w:r>
        <w:rPr>
          <w:sz w:val="20"/>
        </w:rPr>
        <w:t>charges;</w:t>
      </w:r>
      <w:r>
        <w:rPr>
          <w:spacing w:val="35"/>
          <w:sz w:val="20"/>
        </w:rPr>
        <w:t> </w:t>
      </w:r>
      <w:r>
        <w:rPr>
          <w:sz w:val="20"/>
        </w:rPr>
        <w:t>(c)</w:t>
      </w:r>
      <w:r>
        <w:rPr>
          <w:spacing w:val="35"/>
          <w:sz w:val="20"/>
        </w:rPr>
        <w:t> </w:t>
      </w:r>
      <w:r>
        <w:rPr>
          <w:sz w:val="20"/>
        </w:rPr>
        <w:t>any</w:t>
      </w:r>
      <w:r>
        <w:rPr>
          <w:spacing w:val="35"/>
          <w:sz w:val="20"/>
        </w:rPr>
        <w:t> </w:t>
      </w:r>
      <w:r>
        <w:rPr>
          <w:sz w:val="20"/>
        </w:rPr>
        <w:t>Tourist</w:t>
      </w:r>
      <w:r>
        <w:rPr>
          <w:spacing w:val="35"/>
          <w:sz w:val="20"/>
        </w:rPr>
        <w:t> </w:t>
      </w:r>
      <w:r>
        <w:rPr>
          <w:sz w:val="20"/>
        </w:rPr>
        <w:t>Tax,</w:t>
      </w:r>
      <w:r>
        <w:rPr>
          <w:spacing w:val="35"/>
          <w:sz w:val="20"/>
        </w:rPr>
        <w:t> </w:t>
      </w:r>
      <w:r>
        <w:rPr>
          <w:sz w:val="20"/>
        </w:rPr>
        <w:t>VAT,</w:t>
      </w:r>
      <w:r>
        <w:rPr>
          <w:spacing w:val="35"/>
          <w:sz w:val="20"/>
        </w:rPr>
        <w:t> </w:t>
      </w:r>
      <w:r>
        <w:rPr>
          <w:sz w:val="20"/>
        </w:rPr>
        <w:t>deposit,</w:t>
      </w:r>
      <w:r>
        <w:rPr>
          <w:spacing w:val="33"/>
          <w:sz w:val="20"/>
        </w:rPr>
        <w:t> </w:t>
      </w:r>
      <w:r>
        <w:rPr>
          <w:sz w:val="20"/>
        </w:rPr>
        <w:t>pre</w:t>
      </w:r>
      <w:r>
        <w:rPr>
          <w:sz w:val="20"/>
        </w:rPr>
        <w:t>-</w:t>
      </w:r>
      <w:r>
        <w:rPr>
          <w:sz w:val="20"/>
        </w:rPr>
        <w:t>authorisation or damage recovery; (d) any Platform subscription, channel fee or other </w:t>
      </w:r>
      <w:r>
        <w:rPr>
          <w:sz w:val="20"/>
        </w:rPr>
        <w:t>Group</w:t>
      </w:r>
      <w:r>
        <w:rPr>
          <w:sz w:val="20"/>
        </w:rPr>
        <w:t> revenue outside the Management Fee; (e) Landlords PropertyFlow contracts directly </w:t>
      </w:r>
      <w:r>
        <w:rPr>
          <w:sz w:val="20"/>
        </w:rPr>
        <w:t>or</w:t>
      </w:r>
      <w:r>
        <w:rPr>
          <w:spacing w:val="80"/>
          <w:sz w:val="20"/>
        </w:rPr>
        <w:t> </w:t>
      </w:r>
      <w:r>
        <w:rPr>
          <w:sz w:val="20"/>
        </w:rPr>
        <w:t>another operator introduces; (f) any property owned by the Operator, an Operator Principal </w:t>
      </w:r>
      <w:r>
        <w:rPr>
          <w:sz w:val="20"/>
        </w:rPr>
        <w:t>or</w:t>
      </w:r>
      <w:r>
        <w:rPr>
          <w:sz w:val="20"/>
        </w:rPr>
        <w:t> a Connected Person, which pays the standard Management Fee (or enterprise pricing </w:t>
      </w:r>
      <w:r>
        <w:rPr>
          <w:sz w:val="20"/>
        </w:rPr>
        <w:t>agreed</w:t>
      </w:r>
      <w:r>
        <w:rPr>
          <w:spacing w:val="80"/>
          <w:sz w:val="20"/>
        </w:rPr>
        <w:t> </w:t>
      </w:r>
      <w:r>
        <w:rPr>
          <w:sz w:val="20"/>
        </w:rPr>
        <w:t>in the Landlord Agreement) and carries no Commission; or (g) any period after this Agreeme</w:t>
      </w:r>
      <w:r>
        <w:rPr>
          <w:sz w:val="20"/>
        </w:rPr>
        <w:t>nt</w:t>
      </w:r>
      <w:r>
        <w:rPr>
          <w:sz w:val="20"/>
        </w:rPr>
        <w:t> </w:t>
      </w:r>
      <w:r>
        <w:rPr>
          <w:spacing w:val="-2"/>
          <w:sz w:val="20"/>
        </w:rPr>
        <w:t>ends.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8" w:after="0"/>
        <w:ind w:left="723" w:right="301" w:hanging="720"/>
        <w:jc w:val="left"/>
        <w:rPr>
          <w:sz w:val="20"/>
        </w:rPr>
      </w:pPr>
      <w:r>
        <w:rPr>
          <w:rFonts w:ascii="Tahoma"/>
          <w:b/>
          <w:sz w:val="20"/>
        </w:rPr>
        <w:t>Clawback.</w:t>
      </w:r>
      <w:r>
        <w:rPr>
          <w:rFonts w:ascii="Tahoma"/>
          <w:b/>
          <w:spacing w:val="-2"/>
          <w:sz w:val="20"/>
        </w:rPr>
        <w:t> </w:t>
      </w:r>
      <w:r>
        <w:rPr>
          <w:sz w:val="20"/>
        </w:rPr>
        <w:t>Where a Management Fee on which Commission has been paid is later </w:t>
      </w:r>
      <w:r>
        <w:rPr>
          <w:sz w:val="20"/>
        </w:rPr>
        <w:t>refunded,</w:t>
      </w:r>
      <w:r>
        <w:rPr>
          <w:sz w:val="20"/>
        </w:rPr>
        <w:t> credited, charged back, reversed or written off, the corresponding Commission is deducte</w:t>
      </w:r>
      <w:r>
        <w:rPr>
          <w:sz w:val="20"/>
        </w:rPr>
        <w:t>d</w:t>
      </w:r>
      <w:r>
        <w:rPr>
          <w:sz w:val="20"/>
        </w:rPr>
        <w:t> from the next Statement or, if none is due, repaid within 30 days of demand.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6" w:after="0"/>
        <w:ind w:left="723" w:right="146" w:hanging="720"/>
        <w:jc w:val="left"/>
        <w:rPr>
          <w:sz w:val="20"/>
        </w:rPr>
      </w:pPr>
      <w:r>
        <w:rPr>
          <w:rFonts w:ascii="Tahoma"/>
          <w:b/>
          <w:sz w:val="20"/>
        </w:rPr>
        <w:t>Statement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payment.</w:t>
      </w:r>
      <w:r>
        <w:rPr>
          <w:rFonts w:ascii="Tahoma"/>
          <w:b/>
          <w:spacing w:val="-3"/>
          <w:sz w:val="20"/>
        </w:rPr>
        <w:t> </w:t>
      </w:r>
      <w:r>
        <w:rPr>
          <w:sz w:val="20"/>
        </w:rPr>
        <w:t>Within the first five Business Days of each month, once the </w:t>
      </w:r>
      <w:r>
        <w:rPr>
          <w:sz w:val="20"/>
        </w:rPr>
        <w:t>previous</w:t>
      </w:r>
      <w:r>
        <w:rPr>
          <w:sz w:val="20"/>
        </w:rPr>
        <w:t> month has been reconciled, PropertyFlow issues the Operator a Statement for that </w:t>
      </w:r>
      <w:r>
        <w:rPr>
          <w:sz w:val="20"/>
        </w:rPr>
        <w:t>month</w:t>
      </w:r>
      <w:r>
        <w:rPr>
          <w:sz w:val="20"/>
        </w:rPr>
        <w:t> showing,</w:t>
      </w:r>
      <w:r>
        <w:rPr>
          <w:spacing w:val="24"/>
          <w:sz w:val="20"/>
        </w:rPr>
        <w:t> </w:t>
      </w:r>
      <w:r>
        <w:rPr>
          <w:sz w:val="20"/>
        </w:rPr>
        <w:t>per</w:t>
      </w:r>
      <w:r>
        <w:rPr>
          <w:spacing w:val="24"/>
          <w:sz w:val="20"/>
        </w:rPr>
        <w:t> </w:t>
      </w:r>
      <w:r>
        <w:rPr>
          <w:sz w:val="20"/>
        </w:rPr>
        <w:t>Introduced</w:t>
      </w:r>
      <w:r>
        <w:rPr>
          <w:spacing w:val="24"/>
          <w:sz w:val="20"/>
        </w:rPr>
        <w:t> </w:t>
      </w:r>
      <w:r>
        <w:rPr>
          <w:sz w:val="20"/>
        </w:rPr>
        <w:t>Property:</w:t>
      </w:r>
      <w:r>
        <w:rPr>
          <w:spacing w:val="22"/>
          <w:sz w:val="20"/>
        </w:rPr>
        <w:t> </w:t>
      </w:r>
      <w:r>
        <w:rPr>
          <w:sz w:val="20"/>
        </w:rPr>
        <w:t>Gross</w:t>
      </w:r>
      <w:r>
        <w:rPr>
          <w:spacing w:val="24"/>
          <w:sz w:val="20"/>
        </w:rPr>
        <w:t> </w:t>
      </w:r>
      <w:r>
        <w:rPr>
          <w:sz w:val="20"/>
        </w:rPr>
        <w:t>Revenue,</w:t>
      </w:r>
      <w:r>
        <w:rPr>
          <w:spacing w:val="22"/>
          <w:sz w:val="20"/>
        </w:rPr>
        <w:t> </w:t>
      </w:r>
      <w:r>
        <w:rPr>
          <w:sz w:val="20"/>
        </w:rPr>
        <w:t>Booking</w:t>
      </w:r>
      <w:r>
        <w:rPr>
          <w:spacing w:val="24"/>
          <w:sz w:val="20"/>
        </w:rPr>
        <w:t> </w:t>
      </w:r>
      <w:r>
        <w:rPr>
          <w:sz w:val="20"/>
        </w:rPr>
        <w:t>Channel</w:t>
      </w:r>
      <w:r>
        <w:rPr>
          <w:spacing w:val="24"/>
          <w:sz w:val="20"/>
        </w:rPr>
        <w:t> </w:t>
      </w:r>
      <w:r>
        <w:rPr>
          <w:sz w:val="20"/>
        </w:rPr>
        <w:t>commission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z w:val="20"/>
        </w:rPr>
        <w:t> payment</w:t>
      </w:r>
      <w:r>
        <w:rPr>
          <w:spacing w:val="14"/>
          <w:sz w:val="20"/>
        </w:rPr>
        <w:t> </w:t>
      </w:r>
      <w:r>
        <w:rPr>
          <w:sz w:val="20"/>
        </w:rPr>
        <w:t>fees, refunds,</w:t>
      </w:r>
      <w:r>
        <w:rPr>
          <w:spacing w:val="14"/>
          <w:sz w:val="20"/>
        </w:rPr>
        <w:t> </w:t>
      </w:r>
      <w:r>
        <w:rPr>
          <w:sz w:val="20"/>
        </w:rPr>
        <w:t>Net</w:t>
      </w:r>
      <w:r>
        <w:rPr>
          <w:spacing w:val="14"/>
          <w:sz w:val="20"/>
        </w:rPr>
        <w:t> </w:t>
      </w:r>
      <w:r>
        <w:rPr>
          <w:sz w:val="20"/>
        </w:rPr>
        <w:t>Revenue,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4"/>
          <w:sz w:val="20"/>
        </w:rPr>
        <w:t> </w:t>
      </w:r>
      <w:r>
        <w:rPr>
          <w:sz w:val="20"/>
        </w:rPr>
        <w:t>Management</w:t>
      </w:r>
      <w:r>
        <w:rPr>
          <w:spacing w:val="14"/>
          <w:sz w:val="20"/>
        </w:rPr>
        <w:t> </w:t>
      </w:r>
      <w:r>
        <w:rPr>
          <w:sz w:val="20"/>
        </w:rPr>
        <w:t>Fee</w:t>
      </w:r>
      <w:r>
        <w:rPr>
          <w:spacing w:val="14"/>
          <w:sz w:val="20"/>
        </w:rPr>
        <w:t> </w:t>
      </w:r>
      <w:r>
        <w:rPr>
          <w:sz w:val="20"/>
        </w:rPr>
        <w:t>rate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amount, VAT</w:t>
      </w:r>
      <w:r>
        <w:rPr>
          <w:spacing w:val="14"/>
          <w:sz w:val="20"/>
        </w:rPr>
        <w:t> </w:t>
      </w:r>
      <w:r>
        <w:rPr>
          <w:sz w:val="20"/>
        </w:rPr>
        <w:t>charged</w:t>
      </w:r>
      <w:r>
        <w:rPr>
          <w:spacing w:val="14"/>
          <w:sz w:val="20"/>
        </w:rPr>
        <w:t> </w:t>
      </w:r>
      <w:r>
        <w:rPr>
          <w:sz w:val="20"/>
        </w:rPr>
        <w:t>on</w:t>
      </w:r>
      <w:r>
        <w:rPr>
          <w:sz w:val="20"/>
        </w:rPr>
        <w:t> it</w:t>
      </w:r>
      <w:r>
        <w:rPr>
          <w:spacing w:val="19"/>
          <w:sz w:val="20"/>
        </w:rPr>
        <w:t> </w:t>
      </w:r>
      <w:r>
        <w:rPr>
          <w:sz w:val="20"/>
        </w:rPr>
        <w:t>(if</w:t>
      </w:r>
      <w:r>
        <w:rPr>
          <w:spacing w:val="19"/>
          <w:sz w:val="20"/>
        </w:rPr>
        <w:t> </w:t>
      </w:r>
      <w:r>
        <w:rPr>
          <w:sz w:val="20"/>
        </w:rPr>
        <w:t>any),</w:t>
      </w:r>
      <w:r>
        <w:rPr>
          <w:spacing w:val="18"/>
          <w:sz w:val="20"/>
        </w:rPr>
        <w:t> </w:t>
      </w:r>
      <w:r>
        <w:rPr>
          <w:sz w:val="20"/>
        </w:rPr>
        <w:t>Fee</w:t>
      </w:r>
      <w:r>
        <w:rPr>
          <w:spacing w:val="19"/>
          <w:sz w:val="20"/>
        </w:rPr>
        <w:t> </w:t>
      </w:r>
      <w:r>
        <w:rPr>
          <w:sz w:val="20"/>
        </w:rPr>
        <w:t>Received,</w:t>
      </w:r>
      <w:r>
        <w:rPr>
          <w:spacing w:val="19"/>
          <w:sz w:val="20"/>
        </w:rPr>
        <w:t> </w:t>
      </w:r>
      <w:r>
        <w:rPr>
          <w:sz w:val="20"/>
        </w:rPr>
        <w:t>Commission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adjustments.</w:t>
      </w:r>
      <w:r>
        <w:rPr>
          <w:spacing w:val="18"/>
          <w:sz w:val="20"/>
        </w:rPr>
        <w:t> </w:t>
      </w:r>
      <w:r>
        <w:rPr>
          <w:sz w:val="20"/>
        </w:rPr>
        <w:t>Under</w:t>
      </w:r>
      <w:r>
        <w:rPr>
          <w:spacing w:val="19"/>
          <w:sz w:val="20"/>
        </w:rPr>
        <w:t> </w:t>
      </w:r>
      <w:r>
        <w:rPr>
          <w:sz w:val="20"/>
        </w:rPr>
        <w:t>Schedule</w:t>
      </w:r>
      <w:r>
        <w:rPr>
          <w:spacing w:val="19"/>
          <w:sz w:val="20"/>
        </w:rPr>
        <w:t> </w:t>
      </w:r>
      <w:r>
        <w:rPr>
          <w:sz w:val="20"/>
        </w:rPr>
        <w:t>6</w:t>
      </w:r>
      <w:r>
        <w:rPr>
          <w:spacing w:val="19"/>
          <w:sz w:val="20"/>
        </w:rPr>
        <w:t> </w:t>
      </w:r>
      <w:r>
        <w:rPr>
          <w:sz w:val="20"/>
        </w:rPr>
        <w:t>PropertyFlow</w:t>
      </w:r>
      <w:r>
        <w:rPr>
          <w:spacing w:val="19"/>
          <w:sz w:val="20"/>
        </w:rPr>
        <w:t> </w:t>
      </w:r>
      <w:r>
        <w:rPr>
          <w:sz w:val="20"/>
        </w:rPr>
        <w:t>raises</w:t>
      </w:r>
      <w:r>
        <w:rPr>
          <w:sz w:val="20"/>
        </w:rPr>
        <w:t> a self-billed invoice for the amount shown and pays it on the same day as the </w:t>
      </w:r>
      <w:r>
        <w:rPr>
          <w:sz w:val="20"/>
        </w:rPr>
        <w:t>Landlord</w:t>
      </w:r>
      <w:r>
        <w:rPr>
          <w:spacing w:val="40"/>
          <w:sz w:val="20"/>
        </w:rPr>
        <w:t> </w:t>
      </w:r>
      <w:r>
        <w:rPr>
          <w:sz w:val="20"/>
        </w:rPr>
        <w:t>payouts, and in any event by the fifth Business Day, from its own funds and never from </w:t>
      </w:r>
      <w:r>
        <w:rPr>
          <w:sz w:val="20"/>
        </w:rPr>
        <w:t>Client</w:t>
      </w:r>
      <w:r>
        <w:rPr>
          <w:sz w:val="20"/>
        </w:rPr>
        <w:t> Money.</w:t>
      </w:r>
      <w:r>
        <w:rPr>
          <w:spacing w:val="24"/>
          <w:sz w:val="20"/>
        </w:rPr>
        <w:t> </w:t>
      </w:r>
      <w:r>
        <w:rPr>
          <w:sz w:val="20"/>
        </w:rPr>
        <w:t>Commission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25"/>
          <w:sz w:val="20"/>
        </w:rPr>
        <w:t> </w:t>
      </w:r>
      <w:r>
        <w:rPr>
          <w:sz w:val="20"/>
        </w:rPr>
        <w:t>exclusive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5"/>
          <w:sz w:val="20"/>
        </w:rPr>
        <w:t> </w:t>
      </w:r>
      <w:r>
        <w:rPr>
          <w:sz w:val="20"/>
        </w:rPr>
        <w:t>VAT;</w:t>
      </w:r>
      <w:r>
        <w:rPr>
          <w:spacing w:val="25"/>
          <w:sz w:val="20"/>
        </w:rPr>
        <w:t> </w:t>
      </w:r>
      <w:r>
        <w:rPr>
          <w:sz w:val="20"/>
        </w:rPr>
        <w:t>if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Operator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25"/>
          <w:sz w:val="20"/>
        </w:rPr>
        <w:t> </w:t>
      </w:r>
      <w:r>
        <w:rPr>
          <w:sz w:val="20"/>
        </w:rPr>
        <w:t>VAT-registered,</w:t>
      </w:r>
      <w:r>
        <w:rPr>
          <w:spacing w:val="25"/>
          <w:sz w:val="20"/>
        </w:rPr>
        <w:t> </w:t>
      </w:r>
      <w:r>
        <w:rPr>
          <w:sz w:val="20"/>
        </w:rPr>
        <w:t>VAT</w:t>
      </w:r>
      <w:r>
        <w:rPr>
          <w:spacing w:val="25"/>
          <w:sz w:val="20"/>
        </w:rPr>
        <w:t> </w:t>
      </w:r>
      <w:r>
        <w:rPr>
          <w:sz w:val="20"/>
        </w:rPr>
        <w:t>is</w:t>
      </w:r>
      <w:r>
        <w:rPr>
          <w:spacing w:val="25"/>
          <w:sz w:val="20"/>
        </w:rPr>
        <w:t> </w:t>
      </w:r>
      <w:r>
        <w:rPr>
          <w:sz w:val="20"/>
        </w:rPr>
        <w:t>added</w:t>
      </w:r>
      <w:r>
        <w:rPr>
          <w:spacing w:val="25"/>
          <w:sz w:val="20"/>
        </w:rPr>
        <w:t> </w:t>
      </w:r>
      <w:r>
        <w:rPr>
          <w:sz w:val="20"/>
        </w:rPr>
        <w:t>on</w:t>
      </w:r>
      <w:r>
        <w:rPr>
          <w:sz w:val="20"/>
        </w:rPr>
        <w:t> the self-billed invoice and PropertyFlow recovers it. Statements to Landlords and to </w:t>
      </w:r>
      <w:r>
        <w:rPr>
          <w:sz w:val="20"/>
        </w:rPr>
        <w:t>the</w:t>
      </w:r>
      <w:r>
        <w:rPr>
          <w:sz w:val="20"/>
        </w:rPr>
        <w:t> Operator are issued by PropertyFlow in its own name and identify PropertyFlow as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sz w:val="20"/>
        </w:rPr>
        <w:t>property manager and the Operator as the Landlord's contact.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03" w:after="0"/>
        <w:ind w:left="723" w:right="486" w:hanging="720"/>
        <w:jc w:val="left"/>
        <w:rPr>
          <w:sz w:val="20"/>
        </w:rPr>
      </w:pPr>
      <w:r>
        <w:rPr>
          <w:rFonts w:ascii="Tahoma"/>
          <w:b/>
          <w:sz w:val="20"/>
        </w:rPr>
        <w:t>Queries and set-off. </w:t>
      </w:r>
      <w:r>
        <w:rPr>
          <w:sz w:val="20"/>
        </w:rPr>
        <w:t>The Operator raises any query within 30 days of a </w:t>
      </w:r>
      <w:r>
        <w:rPr>
          <w:sz w:val="20"/>
        </w:rPr>
        <w:t>Statement;</w:t>
      </w:r>
      <w:r>
        <w:rPr>
          <w:sz w:val="20"/>
        </w:rPr>
        <w:t> undisputed sums are paid on time; disputes go to clause 17, with reasonable access to </w:t>
      </w:r>
      <w:r>
        <w:rPr>
          <w:sz w:val="20"/>
        </w:rPr>
        <w:t>the</w:t>
      </w:r>
      <w:r>
        <w:rPr>
          <w:sz w:val="20"/>
        </w:rPr>
        <w:t> supporting reconciliation. PropertyFlow may set off against Commission any sum due </w:t>
      </w:r>
      <w:r>
        <w:rPr>
          <w:sz w:val="20"/>
        </w:rPr>
        <w:t>from</w:t>
      </w:r>
      <w:r>
        <w:rPr>
          <w:sz w:val="20"/>
        </w:rPr>
        <w:t> the Operator under this Agreement, with a statement of the basis.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317" w:hanging="720"/>
        <w:jc w:val="left"/>
        <w:rPr>
          <w:sz w:val="20"/>
        </w:rPr>
      </w:pPr>
      <w:r>
        <w:rPr>
          <w:rFonts w:ascii="Tahoma"/>
          <w:b/>
          <w:sz w:val="20"/>
        </w:rPr>
        <w:t>No</w:t>
      </w:r>
      <w:r>
        <w:rPr>
          <w:rFonts w:ascii="Tahoma"/>
          <w:b/>
          <w:spacing w:val="-12"/>
          <w:sz w:val="20"/>
        </w:rPr>
        <w:t> </w:t>
      </w:r>
      <w:r>
        <w:rPr>
          <w:rFonts w:ascii="Tahoma"/>
          <w:b/>
          <w:sz w:val="20"/>
        </w:rPr>
        <w:t>other</w:t>
      </w:r>
      <w:r>
        <w:rPr>
          <w:rFonts w:ascii="Tahoma"/>
          <w:b/>
          <w:spacing w:val="-12"/>
          <w:sz w:val="20"/>
        </w:rPr>
        <w:t> </w:t>
      </w:r>
      <w:r>
        <w:rPr>
          <w:rFonts w:ascii="Tahoma"/>
          <w:b/>
          <w:sz w:val="20"/>
        </w:rPr>
        <w:t>remuneration. </w:t>
      </w:r>
      <w:r>
        <w:rPr>
          <w:sz w:val="20"/>
        </w:rPr>
        <w:t>The Operator bears its own costs. No expense is reimbursed </w:t>
      </w:r>
      <w:r>
        <w:rPr>
          <w:sz w:val="20"/>
        </w:rPr>
        <w:t>unless</w:t>
      </w:r>
      <w:r>
        <w:rPr>
          <w:sz w:val="20"/>
        </w:rPr>
        <w:t> approved by PropertyFlow in writing in advance. Commission stops on the last day of </w:t>
      </w:r>
      <w:r>
        <w:rPr>
          <w:sz w:val="20"/>
        </w:rPr>
        <w:t>the</w:t>
      </w:r>
      <w:r>
        <w:rPr>
          <w:sz w:val="20"/>
        </w:rPr>
        <w:t> Term; nothing is payable for or after termination except Commission accrued to that </w:t>
      </w:r>
      <w:r>
        <w:rPr>
          <w:sz w:val="20"/>
        </w:rPr>
        <w:t>day</w:t>
      </w:r>
      <w:r>
        <w:rPr>
          <w:sz w:val="20"/>
        </w:rPr>
        <w:t> (clause 15.9).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98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46" coordorigin="0,0" coordsize="9637,15">
                <v:shape style="position:absolute;left:0;top:7;width:9637;height:2" id="docshape47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3"/>
        </w:numPr>
        <w:tabs>
          <w:tab w:pos="277" w:val="left" w:leader="none"/>
        </w:tabs>
        <w:spacing w:line="240" w:lineRule="auto" w:before="136" w:after="71"/>
        <w:ind w:left="277" w:right="0" w:hanging="275"/>
        <w:jc w:val="left"/>
      </w:pPr>
      <w:bookmarkStart w:name="9. Licensing and compliance" w:id="10"/>
      <w:bookmarkEnd w:id="10"/>
      <w:r>
        <w:rPr>
          <w:b w:val="0"/>
        </w:rPr>
      </w:r>
      <w:r>
        <w:rPr>
          <w:color w:val="0B0B0E"/>
          <w:w w:val="90"/>
        </w:rPr>
        <w:t>Licensing</w:t>
      </w:r>
      <w:r>
        <w:rPr>
          <w:color w:val="0B0B0E"/>
          <w:spacing w:val="7"/>
        </w:rPr>
        <w:t> </w:t>
      </w:r>
      <w:r>
        <w:rPr>
          <w:color w:val="0B0B0E"/>
          <w:w w:val="90"/>
        </w:rPr>
        <w:t>and</w:t>
      </w:r>
      <w:r>
        <w:rPr>
          <w:color w:val="0B0B0E"/>
          <w:spacing w:val="8"/>
        </w:rPr>
        <w:t> </w:t>
      </w:r>
      <w:r>
        <w:rPr>
          <w:color w:val="0B0B0E"/>
          <w:spacing w:val="-2"/>
          <w:w w:val="90"/>
        </w:rPr>
        <w:t>compliance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48" coordorigin="0,0" coordsize="9637,15">
                <v:shape style="position:absolute;left:0;top:7;width:9637;height:2" id="docshape49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7" w:after="0"/>
        <w:ind w:left="723" w:right="190" w:hanging="720"/>
        <w:jc w:val="left"/>
        <w:rPr>
          <w:sz w:val="20"/>
        </w:rPr>
      </w:pPr>
      <w:r>
        <w:rPr>
          <w:rFonts w:ascii="Tahoma"/>
          <w:b/>
          <w:sz w:val="20"/>
        </w:rPr>
        <w:t>PropertyFlow</w:t>
      </w:r>
      <w:r>
        <w:rPr>
          <w:rFonts w:ascii="Tahoma"/>
          <w:b/>
          <w:spacing w:val="-1"/>
          <w:sz w:val="20"/>
        </w:rPr>
        <w:t> </w:t>
      </w:r>
      <w:r>
        <w:rPr>
          <w:sz w:val="20"/>
        </w:rPr>
        <w:t>applies for and holds Licences, maintains the licensing and compliance </w:t>
      </w:r>
      <w:r>
        <w:rPr>
          <w:sz w:val="20"/>
        </w:rPr>
        <w:t>register</w:t>
      </w:r>
      <w:r>
        <w:rPr>
          <w:sz w:val="20"/>
        </w:rPr>
        <w:t> for every Introduced Property, instructs certification through its compliance </w:t>
      </w:r>
      <w:r>
        <w:rPr>
          <w:sz w:val="20"/>
        </w:rPr>
        <w:t>providers,</w:t>
      </w:r>
      <w:r>
        <w:rPr>
          <w:sz w:val="20"/>
        </w:rPr>
        <w:t> publishes the requirements of each council it operates in as a Council Card on the </w:t>
      </w:r>
      <w:r>
        <w:rPr>
          <w:sz w:val="20"/>
        </w:rPr>
        <w:t>Platform,</w:t>
      </w:r>
      <w:r>
        <w:rPr>
          <w:sz w:val="20"/>
        </w:rPr>
        <w:t> and gives Go-live Sign-off. Requirements differ by nation and by council and are applied </w:t>
      </w:r>
      <w:r>
        <w:rPr>
          <w:sz w:val="20"/>
        </w:rPr>
        <w:t>case</w:t>
      </w:r>
      <w:r>
        <w:rPr>
          <w:sz w:val="20"/>
        </w:rPr>
        <w:t> by case; PropertyFlow's determination is final. No Landlord is signed in a council area </w:t>
      </w:r>
      <w:r>
        <w:rPr>
          <w:sz w:val="20"/>
        </w:rPr>
        <w:t>for</w:t>
      </w:r>
      <w:r>
        <w:rPr>
          <w:spacing w:val="80"/>
          <w:sz w:val="20"/>
        </w:rPr>
        <w:t> </w:t>
      </w:r>
      <w:r>
        <w:rPr>
          <w:sz w:val="20"/>
        </w:rPr>
        <w:t>which no Council Card has been published.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1" w:after="0"/>
        <w:ind w:left="723" w:right="234" w:hanging="720"/>
        <w:jc w:val="left"/>
        <w:rPr>
          <w:sz w:val="20"/>
        </w:rPr>
      </w:pPr>
      <w:r>
        <w:rPr>
          <w:rFonts w:ascii="Tahoma"/>
          <w:b/>
          <w:sz w:val="20"/>
        </w:rPr>
        <w:t>The Landlord </w:t>
      </w:r>
      <w:r>
        <w:rPr>
          <w:sz w:val="20"/>
        </w:rPr>
        <w:t>is responsible under the Landlord Agreement for the cost of Licence</w:t>
      </w:r>
      <w:r>
        <w:rPr>
          <w:sz w:val="20"/>
        </w:rPr>
        <w:t>s,</w:t>
      </w:r>
      <w:r>
        <w:rPr>
          <w:sz w:val="20"/>
        </w:rPr>
        <w:t> applications, certification and safety works; for access, consents and the planning position </w:t>
      </w:r>
      <w:r>
        <w:rPr>
          <w:sz w:val="20"/>
        </w:rPr>
        <w:t>of</w:t>
      </w:r>
      <w:r>
        <w:rPr>
          <w:sz w:val="20"/>
        </w:rPr>
        <w:t> the property; and for the property being lawfully lettable.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5" w:after="0"/>
        <w:ind w:left="723" w:right="170" w:hanging="720"/>
        <w:jc w:val="left"/>
        <w:rPr>
          <w:sz w:val="20"/>
        </w:rPr>
      </w:pPr>
      <w:r>
        <w:rPr>
          <w:rFonts w:ascii="Tahoma"/>
          <w:b/>
          <w:sz w:val="20"/>
        </w:rPr>
        <w:t>The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Operator</w:t>
      </w:r>
      <w:r>
        <w:rPr>
          <w:rFonts w:ascii="Tahoma"/>
          <w:b/>
          <w:spacing w:val="-11"/>
          <w:sz w:val="20"/>
        </w:rPr>
        <w:t> </w:t>
      </w:r>
      <w:r>
        <w:rPr>
          <w:sz w:val="20"/>
        </w:rPr>
        <w:t>shall</w:t>
      </w:r>
      <w:r>
        <w:rPr>
          <w:spacing w:val="-1"/>
          <w:sz w:val="20"/>
        </w:rPr>
        <w:t> </w:t>
      </w:r>
      <w:r>
        <w:rPr>
          <w:sz w:val="20"/>
        </w:rPr>
        <w:t>not</w:t>
      </w:r>
      <w:r>
        <w:rPr>
          <w:spacing w:val="-1"/>
          <w:sz w:val="20"/>
        </w:rPr>
        <w:t> </w:t>
      </w:r>
      <w:r>
        <w:rPr>
          <w:sz w:val="20"/>
        </w:rPr>
        <w:t>market,</w:t>
      </w:r>
      <w:r>
        <w:rPr>
          <w:spacing w:val="-1"/>
          <w:sz w:val="20"/>
        </w:rPr>
        <w:t> </w:t>
      </w:r>
      <w:r>
        <w:rPr>
          <w:sz w:val="20"/>
        </w:rPr>
        <w:t>take</w:t>
      </w:r>
      <w:r>
        <w:rPr>
          <w:spacing w:val="-1"/>
          <w:sz w:val="20"/>
        </w:rPr>
        <w:t> </w:t>
      </w:r>
      <w:r>
        <w:rPr>
          <w:sz w:val="20"/>
        </w:rPr>
        <w:t>bookings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permit</w:t>
      </w:r>
      <w:r>
        <w:rPr>
          <w:spacing w:val="-1"/>
          <w:sz w:val="20"/>
        </w:rPr>
        <w:t> </w:t>
      </w:r>
      <w:r>
        <w:rPr>
          <w:sz w:val="20"/>
        </w:rPr>
        <w:t>hosting</w:t>
      </w:r>
      <w:r>
        <w:rPr>
          <w:spacing w:val="-1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property</w:t>
      </w:r>
      <w:r>
        <w:rPr>
          <w:spacing w:val="-1"/>
          <w:sz w:val="20"/>
        </w:rPr>
        <w:t> </w:t>
      </w:r>
      <w:r>
        <w:rPr>
          <w:sz w:val="20"/>
        </w:rPr>
        <w:t>before</w:t>
      </w:r>
      <w:r>
        <w:rPr>
          <w:spacing w:val="-1"/>
          <w:sz w:val="20"/>
        </w:rPr>
        <w:t> </w:t>
      </w:r>
      <w:r>
        <w:rPr>
          <w:sz w:val="20"/>
        </w:rPr>
        <w:t>Go</w:t>
      </w:r>
      <w:r>
        <w:rPr>
          <w:sz w:val="20"/>
        </w:rPr>
        <w:t>-</w:t>
      </w:r>
      <w:r>
        <w:rPr>
          <w:sz w:val="20"/>
        </w:rPr>
        <w:t>live Sign-off or outside a Licence's dates and conditions; shall not communicate with </w:t>
      </w:r>
      <w:r>
        <w:rPr>
          <w:sz w:val="20"/>
        </w:rPr>
        <w:t>any</w:t>
      </w:r>
      <w:r>
        <w:rPr>
          <w:sz w:val="20"/>
        </w:rPr>
        <w:t> licensing or planning authority about an Introduced Property except as PropertyFlow dire</w:t>
      </w:r>
      <w:r>
        <w:rPr>
          <w:sz w:val="20"/>
        </w:rPr>
        <w:t>cts;</w:t>
      </w:r>
      <w:r>
        <w:rPr>
          <w:sz w:val="20"/>
        </w:rPr>
        <w:t> shall record the property's planning and licensing position truthfully in the Intake; and </w:t>
      </w:r>
      <w:r>
        <w:rPr>
          <w:sz w:val="20"/>
        </w:rPr>
        <w:t>shall</w:t>
      </w:r>
      <w:r>
        <w:rPr>
          <w:sz w:val="20"/>
        </w:rPr>
        <w:t> report any compliance issue, complaint or enforcement contact the same day.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3" w:after="0"/>
        <w:ind w:left="723" w:right="162" w:hanging="720"/>
        <w:jc w:val="left"/>
        <w:rPr>
          <w:sz w:val="20"/>
        </w:rPr>
      </w:pPr>
      <w:r>
        <w:rPr>
          <w:rFonts w:ascii="Tahoma"/>
          <w:b/>
          <w:sz w:val="20"/>
        </w:rPr>
        <w:t>Suspension. </w:t>
      </w:r>
      <w:r>
        <w:rPr>
          <w:sz w:val="20"/>
        </w:rPr>
        <w:t>PropertyFlow</w:t>
      </w:r>
      <w:r>
        <w:rPr>
          <w:spacing w:val="18"/>
          <w:sz w:val="20"/>
        </w:rPr>
        <w:t> </w:t>
      </w:r>
      <w:r>
        <w:rPr>
          <w:sz w:val="20"/>
        </w:rPr>
        <w:t>may</w:t>
      </w:r>
      <w:r>
        <w:rPr>
          <w:spacing w:val="18"/>
          <w:sz w:val="20"/>
        </w:rPr>
        <w:t> </w:t>
      </w:r>
      <w:r>
        <w:rPr>
          <w:sz w:val="20"/>
        </w:rPr>
        <w:t>suspend</w:t>
      </w:r>
      <w:r>
        <w:rPr>
          <w:spacing w:val="18"/>
          <w:sz w:val="20"/>
        </w:rPr>
        <w:t> </w:t>
      </w:r>
      <w:r>
        <w:rPr>
          <w:sz w:val="20"/>
        </w:rPr>
        <w:t>listings</w:t>
      </w:r>
      <w:r>
        <w:rPr>
          <w:spacing w:val="18"/>
          <w:sz w:val="20"/>
        </w:rPr>
        <w:t> </w:t>
      </w:r>
      <w:r>
        <w:rPr>
          <w:sz w:val="20"/>
        </w:rPr>
        <w:t>or</w:t>
      </w:r>
      <w:r>
        <w:rPr>
          <w:spacing w:val="18"/>
          <w:sz w:val="20"/>
        </w:rPr>
        <w:t> </w:t>
      </w:r>
      <w:r>
        <w:rPr>
          <w:sz w:val="20"/>
        </w:rPr>
        <w:t>block</w:t>
      </w:r>
      <w:r>
        <w:rPr>
          <w:spacing w:val="18"/>
          <w:sz w:val="20"/>
        </w:rPr>
        <w:t> </w:t>
      </w:r>
      <w:r>
        <w:rPr>
          <w:sz w:val="20"/>
        </w:rPr>
        <w:t>dates</w:t>
      </w:r>
      <w:r>
        <w:rPr>
          <w:spacing w:val="18"/>
          <w:sz w:val="20"/>
        </w:rPr>
        <w:t> </w:t>
      </w:r>
      <w:r>
        <w:rPr>
          <w:sz w:val="20"/>
        </w:rPr>
        <w:t>where</w:t>
      </w:r>
      <w:r>
        <w:rPr>
          <w:spacing w:val="18"/>
          <w:sz w:val="20"/>
        </w:rPr>
        <w:t> </w:t>
      </w:r>
      <w:r>
        <w:rPr>
          <w:sz w:val="20"/>
        </w:rPr>
        <w:t>a</w:t>
      </w:r>
      <w:r>
        <w:rPr>
          <w:spacing w:val="18"/>
          <w:sz w:val="20"/>
        </w:rPr>
        <w:t> </w:t>
      </w:r>
      <w:r>
        <w:rPr>
          <w:sz w:val="20"/>
        </w:rPr>
        <w:t>Licence</w:t>
      </w:r>
      <w:r>
        <w:rPr>
          <w:spacing w:val="18"/>
          <w:sz w:val="20"/>
        </w:rPr>
        <w:t> </w:t>
      </w:r>
      <w:r>
        <w:rPr>
          <w:sz w:val="20"/>
        </w:rPr>
        <w:t>or</w:t>
      </w:r>
      <w:r>
        <w:rPr>
          <w:spacing w:val="18"/>
          <w:sz w:val="20"/>
        </w:rPr>
        <w:t> </w:t>
      </w:r>
      <w:r>
        <w:rPr>
          <w:sz w:val="20"/>
        </w:rPr>
        <w:t>ce</w:t>
      </w:r>
      <w:r>
        <w:rPr>
          <w:sz w:val="20"/>
        </w:rPr>
        <w:t>rtificate</w:t>
      </w:r>
      <w:r>
        <w:rPr>
          <w:sz w:val="20"/>
        </w:rPr>
        <w:t> is not in force or a safety issue exists. No Commission is payable for periods without </w:t>
      </w:r>
      <w:r>
        <w:rPr>
          <w:sz w:val="20"/>
        </w:rPr>
        <w:t>bookings</w:t>
      </w:r>
      <w:r>
        <w:rPr>
          <w:sz w:val="20"/>
        </w:rPr>
        <w:t> and PropertyFlow is not liable to the Operator for Commission lost through a </w:t>
      </w:r>
      <w:r>
        <w:rPr>
          <w:sz w:val="20"/>
        </w:rPr>
        <w:t>lawful</w:t>
      </w:r>
      <w:r>
        <w:rPr>
          <w:spacing w:val="80"/>
          <w:sz w:val="20"/>
        </w:rPr>
        <w:t> </w:t>
      </w:r>
      <w:r>
        <w:rPr>
          <w:sz w:val="20"/>
        </w:rPr>
        <w:t>suspension or a Landlord's failure. If a Licence lapses or is refused, the Landlord Agre</w:t>
      </w:r>
      <w:r>
        <w:rPr>
          <w:sz w:val="20"/>
        </w:rPr>
        <w:t>ement's</w:t>
      </w:r>
      <w:r>
        <w:rPr>
          <w:spacing w:val="40"/>
          <w:sz w:val="20"/>
        </w:rPr>
        <w:t> </w:t>
      </w:r>
      <w:r>
        <w:rPr>
          <w:sz w:val="20"/>
        </w:rPr>
        <w:t>provisions apply; the Operator has no right to take over any property.</w:t>
      </w:r>
    </w:p>
    <w:p>
      <w:pPr>
        <w:pStyle w:val="BodyText"/>
        <w:spacing w:before="13"/>
        <w:ind w:left="0"/>
      </w:pPr>
    </w:p>
    <w:p>
      <w:pPr>
        <w:pStyle w:val="Heading1"/>
        <w:numPr>
          <w:ilvl w:val="0"/>
          <w:numId w:val="3"/>
        </w:numPr>
        <w:tabs>
          <w:tab w:pos="400" w:val="left" w:leader="none"/>
        </w:tabs>
        <w:spacing w:line="240" w:lineRule="auto" w:before="0" w:after="70"/>
        <w:ind w:left="400" w:right="0" w:hanging="398"/>
        <w:jc w:val="left"/>
      </w:pPr>
      <w:bookmarkStart w:name="10. Brand and intellectual property" w:id="11"/>
      <w:bookmarkEnd w:id="11"/>
      <w:r>
        <w:rPr>
          <w:b w:val="0"/>
        </w:rPr>
      </w:r>
      <w:r>
        <w:rPr>
          <w:color w:val="0B0B0E"/>
          <w:spacing w:val="-6"/>
        </w:rPr>
        <w:t>Brand</w:t>
      </w:r>
      <w:r>
        <w:rPr>
          <w:color w:val="0B0B0E"/>
          <w:spacing w:val="-18"/>
        </w:rPr>
        <w:t> </w:t>
      </w:r>
      <w:r>
        <w:rPr>
          <w:color w:val="0B0B0E"/>
          <w:spacing w:val="-6"/>
        </w:rPr>
        <w:t>and</w:t>
      </w:r>
      <w:r>
        <w:rPr>
          <w:color w:val="0B0B0E"/>
          <w:spacing w:val="-17"/>
        </w:rPr>
        <w:t> </w:t>
      </w:r>
      <w:r>
        <w:rPr>
          <w:color w:val="0B0B0E"/>
          <w:spacing w:val="-6"/>
        </w:rPr>
        <w:t>intellectual</w:t>
      </w:r>
      <w:r>
        <w:rPr>
          <w:color w:val="0B0B0E"/>
          <w:spacing w:val="-18"/>
        </w:rPr>
        <w:t> </w:t>
      </w:r>
      <w:r>
        <w:rPr>
          <w:color w:val="0B0B0E"/>
          <w:spacing w:val="-6"/>
        </w:rPr>
        <w:t>property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50" coordorigin="0,0" coordsize="9637,15">
                <v:shape style="position:absolute;left:0;top:7;width:9637;height:2" id="docshape51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8" w:after="0"/>
        <w:ind w:left="723" w:right="172" w:hanging="720"/>
        <w:jc w:val="left"/>
        <w:rPr>
          <w:sz w:val="20"/>
        </w:rPr>
      </w:pPr>
      <w:r>
        <w:rPr>
          <w:sz w:val="20"/>
        </w:rPr>
        <w:t>PropertyFlow grants the Operator a non-exclusive, non-transferable, revocable licence </w:t>
      </w:r>
      <w:r>
        <w:rPr>
          <w:sz w:val="20"/>
        </w:rPr>
        <w:t>during</w:t>
      </w:r>
      <w:r>
        <w:rPr>
          <w:sz w:val="20"/>
        </w:rPr>
        <w:t> the</w:t>
      </w:r>
      <w:r>
        <w:rPr>
          <w:spacing w:val="22"/>
          <w:sz w:val="20"/>
        </w:rPr>
        <w:t> </w:t>
      </w:r>
      <w:r>
        <w:rPr>
          <w:sz w:val="20"/>
        </w:rPr>
        <w:t>Term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describe</w:t>
      </w:r>
      <w:r>
        <w:rPr>
          <w:spacing w:val="22"/>
          <w:sz w:val="20"/>
        </w:rPr>
        <w:t> </w:t>
      </w:r>
      <w:r>
        <w:rPr>
          <w:sz w:val="20"/>
        </w:rPr>
        <w:t>itself</w:t>
      </w:r>
      <w:r>
        <w:rPr>
          <w:spacing w:val="22"/>
          <w:sz w:val="20"/>
        </w:rPr>
        <w:t> </w:t>
      </w:r>
      <w:r>
        <w:rPr>
          <w:sz w:val="20"/>
        </w:rPr>
        <w:t>as</w:t>
      </w:r>
      <w:r>
        <w:rPr>
          <w:spacing w:val="22"/>
          <w:sz w:val="20"/>
        </w:rPr>
        <w:t> </w:t>
      </w:r>
      <w:r>
        <w:rPr>
          <w:sz w:val="20"/>
        </w:rPr>
        <w:t>a</w:t>
      </w:r>
      <w:r>
        <w:rPr>
          <w:spacing w:val="22"/>
          <w:sz w:val="20"/>
        </w:rPr>
        <w:t> </w:t>
      </w:r>
      <w:r>
        <w:rPr>
          <w:sz w:val="20"/>
        </w:rPr>
        <w:t>"PropertyFlow</w:t>
      </w:r>
      <w:r>
        <w:rPr>
          <w:spacing w:val="22"/>
          <w:sz w:val="20"/>
        </w:rPr>
        <w:t> </w:t>
      </w:r>
      <w:r>
        <w:rPr>
          <w:sz w:val="20"/>
        </w:rPr>
        <w:t>Verified</w:t>
      </w:r>
      <w:r>
        <w:rPr>
          <w:spacing w:val="22"/>
          <w:sz w:val="20"/>
        </w:rPr>
        <w:t> </w:t>
      </w:r>
      <w:r>
        <w:rPr>
          <w:sz w:val="20"/>
        </w:rPr>
        <w:t>Partner",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2"/>
          <w:sz w:val="20"/>
        </w:rPr>
        <w:t> </w:t>
      </w:r>
      <w:r>
        <w:rPr>
          <w:sz w:val="20"/>
        </w:rPr>
        <w:t>describe</w:t>
      </w:r>
      <w:r>
        <w:rPr>
          <w:spacing w:val="22"/>
          <w:sz w:val="20"/>
        </w:rPr>
        <w:t> </w:t>
      </w:r>
      <w:r>
        <w:rPr>
          <w:sz w:val="20"/>
        </w:rPr>
        <w:t>the</w:t>
      </w:r>
      <w:r>
        <w:rPr>
          <w:spacing w:val="22"/>
          <w:sz w:val="20"/>
        </w:rPr>
        <w:t> </w:t>
      </w:r>
      <w:r>
        <w:rPr>
          <w:sz w:val="20"/>
        </w:rPr>
        <w:t>programm</w:t>
      </w:r>
      <w:r>
        <w:rPr>
          <w:sz w:val="20"/>
        </w:rPr>
        <w:t>e</w:t>
      </w:r>
      <w:r>
        <w:rPr>
          <w:sz w:val="20"/>
        </w:rPr>
        <w:t> as the "PropertyFlow Partner Programme", and to use the PropertyFlow marks in the Te</w:t>
      </w:r>
      <w:r>
        <w:rPr>
          <w:sz w:val="20"/>
        </w:rPr>
        <w:t>rritory</w:t>
      </w:r>
      <w:r>
        <w:rPr>
          <w:sz w:val="20"/>
        </w:rPr>
        <w:t> in accordance with Schedule 5, solely to promote the programme. The Operator may </w:t>
      </w:r>
      <w:r>
        <w:rPr>
          <w:sz w:val="20"/>
        </w:rPr>
        <w:t>trade</w:t>
      </w:r>
      <w:r>
        <w:rPr>
          <w:sz w:val="20"/>
        </w:rPr>
        <w:t> under its own name and brand.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2" w:after="0"/>
        <w:ind w:left="723" w:right="373" w:hanging="720"/>
        <w:jc w:val="left"/>
        <w:rPr>
          <w:sz w:val="20"/>
        </w:rPr>
      </w:pPr>
      <w:r>
        <w:rPr>
          <w:sz w:val="20"/>
        </w:rPr>
        <w:t>The Operator shall not register any domain, company name, handle or mark </w:t>
      </w:r>
      <w:r>
        <w:rPr>
          <w:sz w:val="20"/>
        </w:rPr>
        <w:t>containing</w:t>
      </w:r>
      <w:r>
        <w:rPr>
          <w:sz w:val="20"/>
        </w:rPr>
        <w:t> PROPERTYFLOW or anything confusingly similar; shall not alter the marks; shall use </w:t>
      </w:r>
      <w:r>
        <w:rPr>
          <w:sz w:val="20"/>
        </w:rPr>
        <w:t>only</w:t>
      </w:r>
      <w:r>
        <w:rPr>
          <w:sz w:val="20"/>
        </w:rPr>
        <w:t> approved or PropertyFlow-approved co-branded materials; and shall cease all use within </w:t>
      </w:r>
      <w:r>
        <w:rPr>
          <w:sz w:val="20"/>
        </w:rPr>
        <w:t>14</w:t>
      </w:r>
      <w:r>
        <w:rPr>
          <w:sz w:val="20"/>
        </w:rPr>
        <w:t> days of termination. Goodwill from use of the marks accrues to PropertyFlow. The </w:t>
      </w:r>
      <w:r>
        <w:rPr>
          <w:sz w:val="20"/>
        </w:rPr>
        <w:t>Platform,</w:t>
      </w:r>
      <w:r>
        <w:rPr>
          <w:sz w:val="20"/>
        </w:rPr>
        <w:t> PropertyFlow's materials, listings, photography, reviews and all Landlord and Guest </w:t>
      </w:r>
      <w:r>
        <w:rPr>
          <w:sz w:val="20"/>
        </w:rPr>
        <w:t>records</w:t>
      </w:r>
      <w:r>
        <w:rPr>
          <w:sz w:val="20"/>
        </w:rPr>
        <w:t> belong to PropertyFlow or the Landlord; the Operator's pre-existing brand remains its own.</w:t>
      </w:r>
    </w:p>
    <w:p>
      <w:pPr>
        <w:pStyle w:val="BodyText"/>
        <w:spacing w:before="12"/>
        <w:ind w:left="0"/>
      </w:pPr>
    </w:p>
    <w:p>
      <w:pPr>
        <w:pStyle w:val="Heading1"/>
        <w:numPr>
          <w:ilvl w:val="0"/>
          <w:numId w:val="3"/>
        </w:numPr>
        <w:tabs>
          <w:tab w:pos="325" w:val="left" w:leader="none"/>
        </w:tabs>
        <w:spacing w:line="240" w:lineRule="auto" w:before="0" w:after="71"/>
        <w:ind w:left="325" w:right="0" w:hanging="323"/>
        <w:jc w:val="left"/>
      </w:pPr>
      <w:bookmarkStart w:name="11. Data protection" w:id="12"/>
      <w:bookmarkEnd w:id="12"/>
      <w:r>
        <w:rPr>
          <w:b w:val="0"/>
        </w:rPr>
      </w:r>
      <w:r>
        <w:rPr>
          <w:color w:val="0B0B0E"/>
        </w:rPr>
        <w:t>Data</w:t>
      </w:r>
      <w:r>
        <w:rPr>
          <w:color w:val="0B0B0E"/>
          <w:spacing w:val="-24"/>
        </w:rPr>
        <w:t> </w:t>
      </w:r>
      <w:r>
        <w:rPr>
          <w:color w:val="0B0B0E"/>
          <w:spacing w:val="-2"/>
        </w:rPr>
        <w:t>protection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52" coordorigin="0,0" coordsize="9637,15">
                <v:shape style="position:absolute;left:0;top:7;width:9637;height:2" id="docshape53" coordorigin="0,8" coordsize="9637,0" path="m9637,7l0,7m9637,7l0,7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7" w:after="0"/>
        <w:ind w:left="723" w:right="156" w:hanging="720"/>
        <w:jc w:val="left"/>
        <w:rPr>
          <w:sz w:val="20"/>
        </w:rPr>
      </w:pPr>
      <w:r>
        <w:rPr>
          <w:sz w:val="20"/>
        </w:rPr>
        <w:t>Each party complies with the UK GDPR and the Data Protection Act 2018. For its </w:t>
      </w:r>
      <w:r>
        <w:rPr>
          <w:sz w:val="20"/>
        </w:rPr>
        <w:t>own</w:t>
      </w:r>
      <w:r>
        <w:rPr>
          <w:sz w:val="20"/>
        </w:rPr>
        <w:t> prospecting the Operator is a controller. For Landlord and Guest personal data on the </w:t>
      </w:r>
      <w:r>
        <w:rPr>
          <w:sz w:val="20"/>
        </w:rPr>
        <w:t>Platform</w:t>
      </w:r>
      <w:r>
        <w:rPr>
          <w:sz w:val="20"/>
        </w:rPr>
        <w:t> or handled in performing its services, PropertyFlow is the controller and the Operator is </w:t>
      </w:r>
      <w:r>
        <w:rPr>
          <w:sz w:val="20"/>
        </w:rPr>
        <w:t>a</w:t>
      </w:r>
      <w:r>
        <w:rPr>
          <w:sz w:val="20"/>
        </w:rPr>
        <w:t> processor acting on PropertyFlow's instructions under Schedule 7.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348" w:hanging="720"/>
        <w:jc w:val="left"/>
        <w:rPr>
          <w:sz w:val="20"/>
        </w:rPr>
      </w:pPr>
      <w:r>
        <w:rPr>
          <w:sz w:val="20"/>
        </w:rPr>
        <w:t>The Operator keeps Landlord and Guest personal data relating to Introduced Properties </w:t>
      </w:r>
      <w:r>
        <w:rPr>
          <w:sz w:val="20"/>
        </w:rPr>
        <w:t>only</w:t>
      </w:r>
      <w:r>
        <w:rPr>
          <w:sz w:val="20"/>
        </w:rPr>
        <w:t> on the Platform or systems PropertyFlow approves in writing, does not export it to its </w:t>
      </w:r>
      <w:r>
        <w:rPr>
          <w:sz w:val="20"/>
        </w:rPr>
        <w:t>own</w:t>
      </w:r>
      <w:r>
        <w:rPr>
          <w:sz w:val="20"/>
        </w:rPr>
        <w:t> systems without consent, does not collect a Landlord's bank, tax or identity-check </w:t>
      </w:r>
      <w:r>
        <w:rPr>
          <w:sz w:val="20"/>
        </w:rPr>
        <w:t>data</w:t>
      </w:r>
      <w:r>
        <w:rPr>
          <w:spacing w:val="40"/>
          <w:sz w:val="20"/>
        </w:rPr>
        <w:t> </w:t>
      </w:r>
      <w:r>
        <w:rPr>
          <w:sz w:val="20"/>
        </w:rPr>
        <w:t>(which the Landlord enters on the landlord portal), and returns or deletes it on </w:t>
      </w:r>
      <w:r>
        <w:rPr>
          <w:sz w:val="20"/>
        </w:rPr>
        <w:t>termination</w:t>
      </w:r>
      <w:r>
        <w:rPr>
          <w:sz w:val="20"/>
        </w:rPr>
        <w:t> (clause 15.9).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headerReference w:type="default" r:id="rId11"/>
          <w:footerReference w:type="default" r:id="rId12"/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54" coordorigin="0,0" coordsize="9637,15">
                <v:shape style="position:absolute;left:0;top:7;width:9637;height:2" id="docshape55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3"/>
        </w:numPr>
        <w:tabs>
          <w:tab w:pos="373" w:val="left" w:leader="none"/>
        </w:tabs>
        <w:spacing w:line="240" w:lineRule="auto" w:before="136" w:after="71"/>
        <w:ind w:left="373" w:right="0" w:hanging="371"/>
        <w:jc w:val="left"/>
      </w:pPr>
      <w:bookmarkStart w:name="12. Confidentiality" w:id="13"/>
      <w:bookmarkEnd w:id="13"/>
      <w:r>
        <w:rPr>
          <w:b w:val="0"/>
        </w:rPr>
      </w:r>
      <w:r>
        <w:rPr>
          <w:color w:val="0B0B0E"/>
          <w:spacing w:val="-2"/>
        </w:rPr>
        <w:t>Confidentiality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56" coordorigin="0,0" coordsize="9637,15">
                <v:shape style="position:absolute;left:0;top:7;width:9637;height:2" id="docshape57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7" w:after="0"/>
        <w:ind w:left="723" w:right="287" w:hanging="720"/>
        <w:jc w:val="left"/>
        <w:rPr>
          <w:sz w:val="20"/>
        </w:rPr>
      </w:pPr>
      <w:r>
        <w:rPr>
          <w:sz w:val="20"/>
        </w:rPr>
        <w:t>Each party keeps the other's confidential information (including fees, Landlord and Gue</w:t>
      </w:r>
      <w:r>
        <w:rPr>
          <w:sz w:val="20"/>
        </w:rPr>
        <w:t>st</w:t>
      </w:r>
      <w:r>
        <w:rPr>
          <w:sz w:val="20"/>
        </w:rPr>
        <w:t> information,</w:t>
      </w:r>
      <w:r>
        <w:rPr>
          <w:spacing w:val="-3"/>
          <w:sz w:val="20"/>
        </w:rPr>
        <w:t> </w:t>
      </w:r>
      <w:r>
        <w:rPr>
          <w:sz w:val="20"/>
        </w:rPr>
        <w:t>pricing,</w:t>
      </w:r>
      <w:r>
        <w:rPr>
          <w:spacing w:val="-2"/>
          <w:sz w:val="20"/>
        </w:rPr>
        <w:t> </w:t>
      </w:r>
      <w:r>
        <w:rPr>
          <w:sz w:val="20"/>
        </w:rPr>
        <w:t>pipeline,</w:t>
      </w:r>
      <w:r>
        <w:rPr>
          <w:spacing w:val="-2"/>
          <w:sz w:val="20"/>
        </w:rPr>
        <w:t> </w:t>
      </w:r>
      <w:r>
        <w:rPr>
          <w:sz w:val="20"/>
        </w:rPr>
        <w:t>financial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operational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terms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Agreeme</w:t>
      </w:r>
      <w:r>
        <w:rPr>
          <w:sz w:val="20"/>
        </w:rPr>
        <w:t>nt)</w:t>
      </w:r>
      <w:r>
        <w:rPr>
          <w:sz w:val="20"/>
        </w:rPr>
        <w:t> confidential, uses it only for this Agreement and discloses it only to personnel and </w:t>
      </w:r>
      <w:r>
        <w:rPr>
          <w:sz w:val="20"/>
        </w:rPr>
        <w:t>advisers</w:t>
      </w:r>
      <w:r>
        <w:rPr>
          <w:sz w:val="20"/>
        </w:rPr>
        <w:t> who need it and are bound by equivalent obligations. The usual exceptions apply </w:t>
      </w:r>
      <w:r>
        <w:rPr>
          <w:sz w:val="20"/>
        </w:rPr>
        <w:t>(public</w:t>
      </w:r>
      <w:r>
        <w:rPr>
          <w:sz w:val="20"/>
        </w:rPr>
        <w:t> knowledge, prior knowledge, independent development, disclosure required by law). </w:t>
      </w:r>
      <w:r>
        <w:rPr>
          <w:sz w:val="20"/>
        </w:rPr>
        <w:t>This</w:t>
      </w:r>
      <w:r>
        <w:rPr>
          <w:sz w:val="20"/>
        </w:rPr>
        <w:t> clause survives termination for three years, and indefinitely for personal data and Clie</w:t>
      </w:r>
      <w:r>
        <w:rPr>
          <w:sz w:val="20"/>
        </w:rPr>
        <w:t>nt</w:t>
      </w:r>
      <w:r>
        <w:rPr>
          <w:sz w:val="20"/>
        </w:rPr>
        <w:t> Money information.</w:t>
      </w:r>
    </w:p>
    <w:p>
      <w:pPr>
        <w:pStyle w:val="BodyText"/>
        <w:spacing w:before="10"/>
        <w:ind w:left="0"/>
      </w:pPr>
    </w:p>
    <w:p>
      <w:pPr>
        <w:pStyle w:val="Heading1"/>
        <w:numPr>
          <w:ilvl w:val="0"/>
          <w:numId w:val="3"/>
        </w:numPr>
        <w:tabs>
          <w:tab w:pos="372" w:val="left" w:leader="none"/>
        </w:tabs>
        <w:spacing w:line="240" w:lineRule="auto" w:before="0" w:after="70"/>
        <w:ind w:left="372" w:right="0" w:hanging="370"/>
        <w:jc w:val="left"/>
      </w:pPr>
      <w:bookmarkStart w:name="13. Conflicts of interest and Connected " w:id="14"/>
      <w:bookmarkEnd w:id="14"/>
      <w:r>
        <w:rPr>
          <w:b w:val="0"/>
        </w:rPr>
      </w:r>
      <w:r>
        <w:rPr>
          <w:color w:val="0B0B0E"/>
          <w:spacing w:val="-6"/>
        </w:rPr>
        <w:t>Conflicts</w:t>
      </w:r>
      <w:r>
        <w:rPr>
          <w:color w:val="0B0B0E"/>
          <w:spacing w:val="-17"/>
        </w:rPr>
        <w:t> </w:t>
      </w:r>
      <w:r>
        <w:rPr>
          <w:color w:val="0B0B0E"/>
          <w:spacing w:val="-6"/>
        </w:rPr>
        <w:t>of</w:t>
      </w:r>
      <w:r>
        <w:rPr>
          <w:color w:val="0B0B0E"/>
          <w:spacing w:val="-17"/>
        </w:rPr>
        <w:t> </w:t>
      </w:r>
      <w:r>
        <w:rPr>
          <w:color w:val="0B0B0E"/>
          <w:spacing w:val="-6"/>
        </w:rPr>
        <w:t>interest</w:t>
      </w:r>
      <w:r>
        <w:rPr>
          <w:color w:val="0B0B0E"/>
          <w:spacing w:val="-17"/>
        </w:rPr>
        <w:t> </w:t>
      </w:r>
      <w:r>
        <w:rPr>
          <w:color w:val="0B0B0E"/>
          <w:spacing w:val="-6"/>
        </w:rPr>
        <w:t>and</w:t>
      </w:r>
      <w:r>
        <w:rPr>
          <w:color w:val="0B0B0E"/>
          <w:spacing w:val="-17"/>
        </w:rPr>
        <w:t> </w:t>
      </w:r>
      <w:r>
        <w:rPr>
          <w:color w:val="0B0B0E"/>
          <w:spacing w:val="-6"/>
        </w:rPr>
        <w:t>Connected</w:t>
      </w:r>
      <w:r>
        <w:rPr>
          <w:color w:val="0B0B0E"/>
          <w:spacing w:val="-17"/>
        </w:rPr>
        <w:t> </w:t>
      </w:r>
      <w:r>
        <w:rPr>
          <w:color w:val="0B0B0E"/>
          <w:spacing w:val="-6"/>
        </w:rPr>
        <w:t>Persons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58" coordorigin="0,0" coordsize="9637,15">
                <v:shape style="position:absolute;left:0;top:7;width:9637;height:2" id="docshape59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78" w:after="0"/>
        <w:ind w:left="723" w:right="181" w:hanging="720"/>
        <w:jc w:val="left"/>
        <w:rPr>
          <w:sz w:val="20"/>
        </w:rPr>
      </w:pPr>
      <w:r>
        <w:rPr>
          <w:sz w:val="20"/>
        </w:rPr>
        <w:t>The Operator has disclosed in the Particulars, and shall update within 5 Business Days of </w:t>
      </w:r>
      <w:r>
        <w:rPr>
          <w:sz w:val="20"/>
        </w:rPr>
        <w:t>any</w:t>
      </w:r>
      <w:r>
        <w:rPr>
          <w:sz w:val="20"/>
        </w:rPr>
        <w:t> change, every interest that could conflict with this Agreement: any relationship between </w:t>
      </w:r>
      <w:r>
        <w:rPr>
          <w:sz w:val="20"/>
        </w:rPr>
        <w:t>an</w:t>
      </w:r>
      <w:r>
        <w:rPr>
          <w:sz w:val="20"/>
        </w:rPr>
        <w:t> Operator Principal and Group personnel; any interest in a short-term let management, </w:t>
      </w:r>
      <w:r>
        <w:rPr>
          <w:sz w:val="20"/>
        </w:rPr>
        <w:t>lettings,</w:t>
      </w:r>
      <w:r>
        <w:rPr>
          <w:sz w:val="20"/>
        </w:rPr>
        <w:t> cleaning, maintenance or licensing business; any ownership of or interest in a Landlord or </w:t>
      </w:r>
      <w:r>
        <w:rPr>
          <w:sz w:val="20"/>
        </w:rPr>
        <w:t>an</w:t>
      </w:r>
      <w:r>
        <w:rPr>
          <w:sz w:val="20"/>
        </w:rPr>
        <w:t> Introduced Property; and any interest in a supplier to PropertyFlow.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2" w:after="0"/>
        <w:ind w:left="723" w:right="413" w:hanging="720"/>
        <w:jc w:val="left"/>
        <w:rPr>
          <w:sz w:val="20"/>
        </w:rPr>
      </w:pPr>
      <w:r>
        <w:rPr>
          <w:rFonts w:ascii="Tahoma"/>
          <w:b/>
          <w:sz w:val="20"/>
        </w:rPr>
        <w:t>Group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personnel.</w:t>
      </w:r>
      <w:r>
        <w:rPr>
          <w:rFonts w:ascii="Tahoma"/>
          <w:b/>
          <w:spacing w:val="-12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Group</w:t>
      </w:r>
      <w:r>
        <w:rPr>
          <w:spacing w:val="-2"/>
          <w:sz w:val="20"/>
        </w:rPr>
        <w:t> </w:t>
      </w:r>
      <w:r>
        <w:rPr>
          <w:sz w:val="20"/>
        </w:rPr>
        <w:t>personnel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2"/>
          <w:sz w:val="20"/>
        </w:rPr>
        <w:t> </w:t>
      </w:r>
      <w:r>
        <w:rPr>
          <w:sz w:val="20"/>
        </w:rPr>
        <w:t>Operator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Operator</w:t>
      </w:r>
      <w:r>
        <w:rPr>
          <w:spacing w:val="-2"/>
          <w:sz w:val="20"/>
        </w:rPr>
        <w:t> </w:t>
      </w:r>
      <w:r>
        <w:rPr>
          <w:sz w:val="20"/>
        </w:rPr>
        <w:t>Principal.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 Operator Principal is a Connected Person of Group personnel, that person </w:t>
      </w:r>
      <w:r>
        <w:rPr>
          <w:sz w:val="20"/>
        </w:rPr>
        <w:t>signs</w:t>
      </w:r>
      <w:r>
        <w:rPr>
          <w:sz w:val="20"/>
        </w:rPr>
        <w:t> PropertyFlow's declaration of interests before the Commencement Date, and all </w:t>
      </w:r>
      <w:r>
        <w:rPr>
          <w:sz w:val="20"/>
        </w:rPr>
        <w:t>decisions</w:t>
      </w:r>
      <w:r>
        <w:rPr>
          <w:sz w:val="20"/>
        </w:rPr>
        <w:t> affecting the Operator's commercial position (referrals, lead routing, provider te</w:t>
      </w:r>
      <w:r>
        <w:rPr>
          <w:sz w:val="20"/>
        </w:rPr>
        <w:t>rms,</w:t>
      </w:r>
      <w:r>
        <w:rPr>
          <w:sz w:val="20"/>
        </w:rPr>
        <w:t> approvals and disputes) are made by PropertyFlow's directors without that pe</w:t>
      </w:r>
      <w:r>
        <w:rPr>
          <w:sz w:val="20"/>
        </w:rPr>
        <w:t>rson's</w:t>
      </w:r>
      <w:r>
        <w:rPr>
          <w:sz w:val="20"/>
        </w:rPr>
        <w:t> </w:t>
      </w:r>
      <w:r>
        <w:rPr>
          <w:spacing w:val="-2"/>
          <w:sz w:val="20"/>
        </w:rPr>
        <w:t>participation.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1" w:after="0"/>
        <w:ind w:left="723" w:right="276" w:hanging="720"/>
        <w:jc w:val="left"/>
        <w:rPr>
          <w:sz w:val="20"/>
        </w:rPr>
      </w:pPr>
      <w:r>
        <w:rPr>
          <w:rFonts w:ascii="Tahoma"/>
          <w:b/>
          <w:sz w:val="20"/>
        </w:rPr>
        <w:t>Competing</w:t>
      </w:r>
      <w:r>
        <w:rPr>
          <w:rFonts w:ascii="Tahoma"/>
          <w:b/>
          <w:spacing w:val="-9"/>
          <w:sz w:val="20"/>
        </w:rPr>
        <w:t> </w:t>
      </w:r>
      <w:r>
        <w:rPr>
          <w:rFonts w:ascii="Tahoma"/>
          <w:b/>
          <w:sz w:val="20"/>
        </w:rPr>
        <w:t>activity. </w:t>
      </w:r>
      <w:r>
        <w:rPr>
          <w:sz w:val="20"/>
        </w:rPr>
        <w:t>During the Term the Operator and each Operator Principal shall </w:t>
      </w:r>
      <w:r>
        <w:rPr>
          <w:sz w:val="20"/>
        </w:rPr>
        <w:t>not,</w:t>
      </w:r>
      <w:r>
        <w:rPr>
          <w:sz w:val="20"/>
        </w:rPr>
        <w:t> other</w:t>
      </w:r>
      <w:r>
        <w:rPr>
          <w:spacing w:val="-1"/>
          <w:sz w:val="20"/>
        </w:rPr>
        <w:t> </w:t>
      </w:r>
      <w:r>
        <w:rPr>
          <w:sz w:val="20"/>
        </w:rPr>
        <w:t>than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respect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Excluded</w:t>
      </w:r>
      <w:r>
        <w:rPr>
          <w:spacing w:val="-1"/>
          <w:sz w:val="20"/>
        </w:rPr>
        <w:t> </w:t>
      </w:r>
      <w:r>
        <w:rPr>
          <w:sz w:val="20"/>
        </w:rPr>
        <w:t>Portfolio,</w:t>
      </w:r>
      <w:r>
        <w:rPr>
          <w:spacing w:val="-2"/>
          <w:sz w:val="20"/>
        </w:rPr>
        <w:t> </w:t>
      </w:r>
      <w:r>
        <w:rPr>
          <w:sz w:val="20"/>
        </w:rPr>
        <w:t>provide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market</w:t>
      </w:r>
      <w:r>
        <w:rPr>
          <w:spacing w:val="-1"/>
          <w:sz w:val="20"/>
        </w:rPr>
        <w:t> </w:t>
      </w:r>
      <w:r>
        <w:rPr>
          <w:sz w:val="20"/>
        </w:rPr>
        <w:t>short-term</w:t>
      </w:r>
      <w:r>
        <w:rPr>
          <w:spacing w:val="-1"/>
          <w:sz w:val="20"/>
        </w:rPr>
        <w:t> </w:t>
      </w:r>
      <w:r>
        <w:rPr>
          <w:sz w:val="20"/>
        </w:rPr>
        <w:t>let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  <w:r>
        <w:rPr>
          <w:sz w:val="20"/>
        </w:rPr>
        <w:t> services in the Territory other than through PropertyFlow, or introduce a Landlord in </w:t>
      </w:r>
      <w:r>
        <w:rPr>
          <w:sz w:val="20"/>
        </w:rPr>
        <w:t>the</w:t>
      </w:r>
      <w:r>
        <w:rPr>
          <w:sz w:val="20"/>
        </w:rPr>
        <w:t> Territory to any other provider of such services.</w:t>
      </w:r>
    </w:p>
    <w:p>
      <w:pPr>
        <w:pStyle w:val="ListParagraph"/>
        <w:numPr>
          <w:ilvl w:val="1"/>
          <w:numId w:val="3"/>
        </w:numPr>
        <w:tabs>
          <w:tab w:pos="723" w:val="left" w:leader="none"/>
        </w:tabs>
        <w:spacing w:line="187" w:lineRule="auto" w:before="114" w:after="0"/>
        <w:ind w:left="723" w:right="492" w:hanging="720"/>
        <w:jc w:val="left"/>
        <w:rPr>
          <w:sz w:val="20"/>
        </w:rPr>
      </w:pPr>
      <w:r>
        <w:rPr>
          <w:sz w:val="20"/>
        </w:rPr>
        <w:t>The Operator shall not accept any commission, rebate or benefit from a Landlord, Guest </w:t>
      </w:r>
      <w:r>
        <w:rPr>
          <w:sz w:val="20"/>
        </w:rPr>
        <w:t>or</w:t>
      </w:r>
      <w:r>
        <w:rPr>
          <w:sz w:val="20"/>
        </w:rPr>
        <w:t> supplier in connection with an Introduced Property, or offer any to Group personnel.</w:t>
      </w:r>
    </w:p>
    <w:p>
      <w:pPr>
        <w:pStyle w:val="BodyText"/>
        <w:spacing w:before="18"/>
        <w:ind w:left="0"/>
      </w:pPr>
    </w:p>
    <w:p>
      <w:pPr>
        <w:pStyle w:val="Heading1"/>
      </w:pPr>
      <w:bookmarkStart w:name="14. Non-solicitation" w:id="15"/>
      <w:bookmarkEnd w:id="15"/>
      <w:r>
        <w:rPr>
          <w:b w:val="0"/>
        </w:rPr>
      </w:r>
      <w:r>
        <w:rPr>
          <w:color w:val="0B0B0E"/>
          <w:spacing w:val="-4"/>
        </w:rPr>
        <w:t>1fi.</w:t>
      </w:r>
      <w:r>
        <w:rPr>
          <w:color w:val="0B0B0E"/>
          <w:spacing w:val="-11"/>
        </w:rPr>
        <w:t> </w:t>
      </w:r>
      <w:r>
        <w:rPr>
          <w:color w:val="0B0B0E"/>
          <w:spacing w:val="-9"/>
        </w:rPr>
        <w:drawing>
          <wp:inline distT="0" distB="0" distL="0" distR="0">
            <wp:extent cx="101600" cy="117475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B0B0E"/>
          <w:spacing w:val="-9"/>
        </w:rPr>
      </w:r>
      <w:r>
        <w:rPr>
          <w:color w:val="0B0B0E"/>
          <w:spacing w:val="-4"/>
        </w:rPr>
        <w:t>on-solicitation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60" coordorigin="0,0" coordsize="9637,15">
                <v:shape style="position:absolute;left:0;top:7;width:9637;height:2" id="docshape61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187" w:lineRule="auto" w:before="177" w:after="0"/>
        <w:ind w:left="723" w:right="154" w:hanging="720"/>
        <w:jc w:val="left"/>
        <w:rPr>
          <w:sz w:val="20"/>
        </w:rPr>
      </w:pPr>
      <w:r>
        <w:rPr>
          <w:sz w:val="20"/>
        </w:rPr>
        <w:t>During the Term and for 12 months after it ends, however it ends, the Operator and </w:t>
      </w:r>
      <w:r>
        <w:rPr>
          <w:sz w:val="20"/>
        </w:rPr>
        <w:t>each</w:t>
      </w:r>
      <w:r>
        <w:rPr>
          <w:sz w:val="20"/>
        </w:rPr>
        <w:t> Operator Principal shall not, directly or indirectly, other than in respect of the Exclude</w:t>
      </w:r>
      <w:r>
        <w:rPr>
          <w:sz w:val="20"/>
        </w:rPr>
        <w:t>d</w:t>
      </w:r>
      <w:r>
        <w:rPr>
          <w:sz w:val="20"/>
        </w:rPr>
        <w:t> Portfolio: (a) solicit or entice any Introduced Landlord, or any other Landlord it dealt with in </w:t>
      </w:r>
      <w:r>
        <w:rPr>
          <w:sz w:val="20"/>
        </w:rPr>
        <w:t>the</w:t>
      </w:r>
      <w:r>
        <w:rPr>
          <w:sz w:val="20"/>
        </w:rPr>
        <w:t> final 12 months of the Term, to end, not renew or reduce a Landlord Agreement, or to </w:t>
      </w:r>
      <w:r>
        <w:rPr>
          <w:sz w:val="20"/>
        </w:rPr>
        <w:t>obtain</w:t>
      </w:r>
      <w:r>
        <w:rPr>
          <w:sz w:val="20"/>
        </w:rPr>
        <w:t> short-term let management from anyone other than PropertyFlow; (b) provide or be involve</w:t>
      </w:r>
      <w:r>
        <w:rPr>
          <w:sz w:val="20"/>
        </w:rPr>
        <w:t>d</w:t>
      </w:r>
      <w:r>
        <w:rPr>
          <w:spacing w:val="40"/>
          <w:sz w:val="20"/>
        </w:rPr>
        <w:t> </w:t>
      </w:r>
      <w:r>
        <w:rPr>
          <w:sz w:val="20"/>
        </w:rPr>
        <w:t>in providing such services to any such Landlord or in respect of any Introduced Property; </w:t>
      </w:r>
      <w:r>
        <w:rPr>
          <w:sz w:val="20"/>
        </w:rPr>
        <w:t>(c)</w:t>
      </w:r>
      <w:r>
        <w:rPr>
          <w:sz w:val="20"/>
        </w:rPr>
        <w:t> solicit or engage any Group personnel it dealt with; or (d) interfere with any Service Partner </w:t>
      </w:r>
      <w:r>
        <w:rPr>
          <w:sz w:val="20"/>
        </w:rPr>
        <w:t>or</w:t>
      </w:r>
      <w:r>
        <w:rPr>
          <w:sz w:val="20"/>
        </w:rPr>
        <w:t> Maintenance Partner in relation to Introduced Properties.</w:t>
      </w:r>
    </w:p>
    <w:p>
      <w:pPr>
        <w:pStyle w:val="ListParagraph"/>
        <w:numPr>
          <w:ilvl w:val="1"/>
          <w:numId w:val="4"/>
        </w:numPr>
        <w:tabs>
          <w:tab w:pos="723" w:val="left" w:leader="none"/>
        </w:tabs>
        <w:spacing w:line="187" w:lineRule="auto" w:before="108" w:after="0"/>
        <w:ind w:left="723" w:right="163" w:hanging="720"/>
        <w:jc w:val="left"/>
        <w:rPr>
          <w:sz w:val="20"/>
        </w:rPr>
      </w:pPr>
      <w:r>
        <w:rPr>
          <w:sz w:val="20"/>
        </w:rPr>
        <w:t>A Landlord remains free to decide not to renew; the Operator shall not induce or assist </w:t>
      </w:r>
      <w:r>
        <w:rPr>
          <w:sz w:val="20"/>
        </w:rPr>
        <w:t>that</w:t>
      </w:r>
      <w:r>
        <w:rPr>
          <w:sz w:val="20"/>
        </w:rPr>
        <w:t> decision. Each restriction is separate; the parties agree each is reasonable to prote</w:t>
      </w:r>
      <w:r>
        <w:rPr>
          <w:sz w:val="20"/>
        </w:rPr>
        <w:t>ct</w:t>
      </w:r>
      <w:r>
        <w:rPr>
          <w:sz w:val="20"/>
        </w:rPr>
        <w:t> PropertyFlow's Landlord relationships, personnel and programme, and any restriction held </w:t>
      </w:r>
      <w:r>
        <w:rPr>
          <w:sz w:val="20"/>
        </w:rPr>
        <w:t>too</w:t>
      </w:r>
      <w:r>
        <w:rPr>
          <w:sz w:val="20"/>
        </w:rPr>
        <w:t> wide applies as modified to make it enforceable. For 12 months after termination </w:t>
      </w:r>
      <w:r>
        <w:rPr>
          <w:sz w:val="20"/>
        </w:rPr>
        <w:t>PropertyFlow</w:t>
      </w:r>
      <w:r>
        <w:rPr>
          <w:sz w:val="20"/>
        </w:rPr>
        <w:t> shall not use the Operator's name or brand or represent that the relationship continues.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62" coordorigin="0,0" coordsize="9637,15">
                <v:shape style="position:absolute;left:0;top:7;width:9637;height:2" id="docshape63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5"/>
        </w:numPr>
        <w:tabs>
          <w:tab w:pos="372" w:val="left" w:leader="none"/>
        </w:tabs>
        <w:spacing w:line="240" w:lineRule="auto" w:before="136" w:after="71"/>
        <w:ind w:left="372" w:right="0" w:hanging="370"/>
        <w:jc w:val="left"/>
      </w:pPr>
      <w:bookmarkStart w:name="15. Term, termination and the Book" w:id="16"/>
      <w:bookmarkEnd w:id="16"/>
      <w:r>
        <w:rPr>
          <w:b w:val="0"/>
        </w:rPr>
      </w:r>
      <w:r>
        <w:rPr>
          <w:color w:val="0B0B0E"/>
          <w:spacing w:val="-2"/>
        </w:rPr>
        <w:t>Term,</w:t>
      </w:r>
      <w:r>
        <w:rPr>
          <w:color w:val="0B0B0E"/>
          <w:spacing w:val="-16"/>
        </w:rPr>
        <w:t> </w:t>
      </w:r>
      <w:r>
        <w:rPr>
          <w:color w:val="0B0B0E"/>
          <w:spacing w:val="-2"/>
        </w:rPr>
        <w:t>termination</w:t>
      </w:r>
      <w:r>
        <w:rPr>
          <w:color w:val="0B0B0E"/>
          <w:spacing w:val="-16"/>
        </w:rPr>
        <w:t> </w:t>
      </w:r>
      <w:r>
        <w:rPr>
          <w:color w:val="0B0B0E"/>
          <w:spacing w:val="-2"/>
        </w:rPr>
        <w:t>and</w:t>
      </w:r>
      <w:r>
        <w:rPr>
          <w:color w:val="0B0B0E"/>
          <w:spacing w:val="-16"/>
        </w:rPr>
        <w:t> </w:t>
      </w:r>
      <w:r>
        <w:rPr>
          <w:color w:val="0B0B0E"/>
          <w:spacing w:val="-2"/>
        </w:rPr>
        <w:t>the</w:t>
      </w:r>
      <w:r>
        <w:rPr>
          <w:color w:val="0B0B0E"/>
          <w:spacing w:val="-16"/>
        </w:rPr>
        <w:t> </w:t>
      </w:r>
      <w:r>
        <w:rPr>
          <w:color w:val="0B0B0E"/>
          <w:spacing w:val="-4"/>
        </w:rPr>
        <w:t>Book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64" coordorigin="0,0" coordsize="9637,15">
                <v:shape style="position:absolute;left:0;top:7;width:9637;height:2" id="docshape65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77" w:after="0"/>
        <w:ind w:left="723" w:right="491" w:hanging="720"/>
        <w:jc w:val="left"/>
        <w:rPr>
          <w:sz w:val="20"/>
        </w:rPr>
      </w:pPr>
      <w:r>
        <w:rPr>
          <w:sz w:val="20"/>
        </w:rPr>
        <w:t>This Agreement starts on the Commencement Date and continues, with no fixed term, </w:t>
      </w:r>
      <w:r>
        <w:rPr>
          <w:sz w:val="20"/>
        </w:rPr>
        <w:t>until</w:t>
      </w:r>
      <w:r>
        <w:rPr>
          <w:sz w:val="20"/>
        </w:rPr>
        <w:t> ended under this clause.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7" w:after="0"/>
        <w:ind w:left="723" w:right="325" w:hanging="720"/>
        <w:jc w:val="left"/>
        <w:rPr>
          <w:sz w:val="20"/>
        </w:rPr>
      </w:pPr>
      <w:r>
        <w:rPr>
          <w:rFonts w:ascii="Tahoma"/>
          <w:b/>
          <w:sz w:val="20"/>
        </w:rPr>
        <w:t>Operator's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notice.</w:t>
      </w:r>
      <w:r>
        <w:rPr>
          <w:rFonts w:ascii="Tahoma"/>
          <w:b/>
          <w:spacing w:val="-8"/>
          <w:sz w:val="20"/>
        </w:rPr>
        <w:t> </w:t>
      </w:r>
      <w:r>
        <w:rPr>
          <w:sz w:val="20"/>
        </w:rPr>
        <w:t>The Operator may end this Agreement on 3 months' written notice at </w:t>
      </w:r>
      <w:r>
        <w:rPr>
          <w:sz w:val="20"/>
        </w:rPr>
        <w:t>any</w:t>
      </w:r>
      <w:r>
        <w:rPr>
          <w:sz w:val="20"/>
        </w:rPr>
        <w:t> </w:t>
      </w:r>
      <w:r>
        <w:rPr>
          <w:spacing w:val="-2"/>
          <w:sz w:val="20"/>
        </w:rPr>
        <w:t>time.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7" w:after="0"/>
        <w:ind w:left="723" w:right="310" w:hanging="720"/>
        <w:jc w:val="left"/>
        <w:rPr>
          <w:sz w:val="20"/>
        </w:rPr>
      </w:pPr>
      <w:r>
        <w:rPr>
          <w:rFonts w:ascii="Tahoma"/>
          <w:b/>
          <w:sz w:val="20"/>
        </w:rPr>
        <w:t>PropertyFlow's</w:t>
      </w:r>
      <w:r>
        <w:rPr>
          <w:rFonts w:ascii="Tahoma"/>
          <w:b/>
          <w:spacing w:val="-4"/>
          <w:sz w:val="20"/>
        </w:rPr>
        <w:t> </w:t>
      </w:r>
      <w:r>
        <w:rPr>
          <w:rFonts w:ascii="Tahoma"/>
          <w:b/>
          <w:sz w:val="20"/>
        </w:rPr>
        <w:t>rights. </w:t>
      </w:r>
      <w:r>
        <w:rPr>
          <w:sz w:val="20"/>
        </w:rPr>
        <w:t>PropertyFlow may end this Agreement only: (a) immediately, </w:t>
      </w:r>
      <w:r>
        <w:rPr>
          <w:sz w:val="20"/>
        </w:rPr>
        <w:t>for</w:t>
      </w:r>
      <w:r>
        <w:rPr>
          <w:sz w:val="20"/>
        </w:rPr>
        <w:t> breach of the Structural Terms, clause 13 or clause 14, or for fraud, dishonesty or </w:t>
      </w:r>
      <w:r>
        <w:rPr>
          <w:sz w:val="20"/>
        </w:rPr>
        <w:t>conduct</w:t>
      </w:r>
      <w:r>
        <w:rPr>
          <w:sz w:val="20"/>
        </w:rPr>
        <w:t> bringing the programme into disrepute; (b) on 14 days' notice for any other material </w:t>
      </w:r>
      <w:r>
        <w:rPr>
          <w:sz w:val="20"/>
        </w:rPr>
        <w:t>breach</w:t>
      </w:r>
      <w:r>
        <w:rPr>
          <w:sz w:val="20"/>
        </w:rPr>
        <w:t> not remedied within 14 days of a written request; (c) on 3 months' notice under the Sale</w:t>
      </w:r>
      <w:r>
        <w:rPr>
          <w:sz w:val="20"/>
        </w:rPr>
        <w:t>s</w:t>
      </w:r>
      <w:r>
        <w:rPr>
          <w:sz w:val="20"/>
        </w:rPr>
        <w:t> Target process in clause 5.5; (d) immediately if the Operator becomes insolvent, ente</w:t>
      </w:r>
      <w:r>
        <w:rPr>
          <w:sz w:val="20"/>
        </w:rPr>
        <w:t>rs</w:t>
      </w:r>
      <w:r>
        <w:rPr>
          <w:sz w:val="20"/>
        </w:rPr>
        <w:t> administration, liquidation or an arrangement with creditors, or ceases to trade; (e) on </w:t>
      </w:r>
      <w:r>
        <w:rPr>
          <w:sz w:val="20"/>
        </w:rPr>
        <w:t>30</w:t>
      </w:r>
      <w:r>
        <w:rPr>
          <w:sz w:val="20"/>
        </w:rPr>
        <w:t> days' notice if control of the Operator changes without PropertyFlow's consent under clause</w:t>
      </w:r>
    </w:p>
    <w:p>
      <w:pPr>
        <w:pStyle w:val="BodyText"/>
        <w:spacing w:line="276" w:lineRule="exact" w:before="0"/>
        <w:rPr>
          <w:rFonts w:ascii="Tahoma"/>
          <w:b/>
        </w:rPr>
      </w:pPr>
      <w:r>
        <w:rPr/>
        <w:t>15.6;</w:t>
      </w:r>
      <w:r>
        <w:rPr>
          <w:spacing w:val="3"/>
        </w:rPr>
        <w:t> </w:t>
      </w:r>
      <w:r>
        <w:rPr/>
        <w:t>or</w:t>
      </w:r>
      <w:r>
        <w:rPr>
          <w:spacing w:val="4"/>
        </w:rPr>
        <w:t> </w:t>
      </w:r>
      <w:r>
        <w:rPr/>
        <w:t>(f)</w:t>
      </w:r>
      <w:r>
        <w:rPr>
          <w:spacing w:val="3"/>
        </w:rPr>
        <w:t> </w:t>
      </w:r>
      <w:r>
        <w:rPr/>
        <w:t>on</w:t>
      </w:r>
      <w:r>
        <w:rPr>
          <w:spacing w:val="4"/>
        </w:rPr>
        <w:t> </w:t>
      </w:r>
      <w:r>
        <w:rPr/>
        <w:t>6</w:t>
      </w:r>
      <w:r>
        <w:rPr>
          <w:spacing w:val="3"/>
        </w:rPr>
        <w:t> </w:t>
      </w:r>
      <w:r>
        <w:rPr/>
        <w:t>months'</w:t>
      </w:r>
      <w:r>
        <w:rPr>
          <w:spacing w:val="4"/>
        </w:rPr>
        <w:t> </w:t>
      </w:r>
      <w:r>
        <w:rPr/>
        <w:t>notice</w:t>
      </w:r>
      <w:r>
        <w:rPr>
          <w:spacing w:val="3"/>
        </w:rPr>
        <w:t> </w:t>
      </w:r>
      <w:r>
        <w:rPr/>
        <w:t>if</w:t>
      </w:r>
      <w:r>
        <w:rPr>
          <w:spacing w:val="4"/>
        </w:rPr>
        <w:t> </w:t>
      </w:r>
      <w:r>
        <w:rPr/>
        <w:t>PropertyFlow</w:t>
      </w:r>
      <w:r>
        <w:rPr>
          <w:spacing w:val="3"/>
        </w:rPr>
        <w:t> </w:t>
      </w:r>
      <w:r>
        <w:rPr/>
        <w:t>closes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operator</w:t>
      </w:r>
      <w:r>
        <w:rPr>
          <w:spacing w:val="4"/>
        </w:rPr>
        <w:t> </w:t>
      </w:r>
      <w:r>
        <w:rPr/>
        <w:t>programme.</w:t>
      </w:r>
      <w:r>
        <w:rPr>
          <w:spacing w:val="11"/>
        </w:rPr>
        <w:t> </w:t>
      </w:r>
      <w:r>
        <w:rPr>
          <w:rFonts w:ascii="Tahoma"/>
          <w:b/>
          <w:spacing w:val="-2"/>
        </w:rPr>
        <w:t>PropertyFlow</w:t>
      </w:r>
    </w:p>
    <w:p>
      <w:pPr>
        <w:pStyle w:val="Heading3"/>
      </w:pPr>
      <w:r>
        <w:rPr>
          <w:spacing w:val="-6"/>
        </w:rPr>
        <w:t>has no other right</w:t>
      </w:r>
      <w:r>
        <w:rPr>
          <w:spacing w:val="-5"/>
        </w:rPr>
        <w:t> </w:t>
      </w:r>
      <w:r>
        <w:rPr>
          <w:spacing w:val="-6"/>
        </w:rPr>
        <w:t>to end this Agreement.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56" w:after="0"/>
        <w:ind w:left="723" w:right="161" w:hanging="720"/>
        <w:jc w:val="left"/>
        <w:rPr>
          <w:sz w:val="20"/>
        </w:rPr>
      </w:pPr>
      <w:r>
        <w:rPr>
          <w:rFonts w:ascii="Tahoma"/>
          <w:b/>
          <w:sz w:val="20"/>
        </w:rPr>
        <w:t>Operator's</w:t>
      </w:r>
      <w:r>
        <w:rPr>
          <w:rFonts w:ascii="Tahoma"/>
          <w:b/>
          <w:spacing w:val="-10"/>
          <w:sz w:val="20"/>
        </w:rPr>
        <w:t> </w:t>
      </w:r>
      <w:r>
        <w:rPr>
          <w:rFonts w:ascii="Tahoma"/>
          <w:b/>
          <w:sz w:val="20"/>
        </w:rPr>
        <w:t>rights. </w:t>
      </w:r>
      <w:r>
        <w:rPr>
          <w:sz w:val="20"/>
        </w:rPr>
        <w:t>The Operator may end this Agreement immediately if PropertyFlow fails </w:t>
      </w:r>
      <w:r>
        <w:rPr>
          <w:sz w:val="20"/>
        </w:rPr>
        <w:t>to</w:t>
      </w:r>
      <w:r>
        <w:rPr>
          <w:sz w:val="20"/>
        </w:rPr>
        <w:t> pay an undisputed Commission within 30 days of its due date, or fails a Money </w:t>
      </w:r>
      <w:r>
        <w:rPr>
          <w:sz w:val="20"/>
        </w:rPr>
        <w:t>Service</w:t>
      </w:r>
      <w:r>
        <w:rPr>
          <w:sz w:val="20"/>
        </w:rPr>
        <w:t> Standard (Schedule 3) three times in any rolling six months, each failure notified in writing </w:t>
      </w:r>
      <w:r>
        <w:rPr>
          <w:sz w:val="20"/>
        </w:rPr>
        <w:t>and</w:t>
      </w:r>
      <w:r>
        <w:rPr>
          <w:sz w:val="20"/>
        </w:rPr>
        <w:t> not cured within 5 Business Days.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4" w:after="0"/>
        <w:ind w:left="723" w:right="154" w:hanging="720"/>
        <w:jc w:val="left"/>
        <w:rPr>
          <w:sz w:val="20"/>
        </w:rPr>
      </w:pPr>
      <w:r>
        <w:rPr>
          <w:rFonts w:ascii="Tahoma"/>
          <w:b/>
          <w:sz w:val="20"/>
        </w:rPr>
        <w:t>Selling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the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Book.</w:t>
      </w:r>
      <w:r>
        <w:rPr>
          <w:rFonts w:ascii="Tahoma"/>
          <w:b/>
          <w:spacing w:val="-2"/>
          <w:sz w:val="20"/>
        </w:rPr>
        <w:t> </w:t>
      </w:r>
      <w:r>
        <w:rPr>
          <w:sz w:val="20"/>
        </w:rPr>
        <w:t>During any notice period under clause 15.2 or 15.3(c), (e) or (f), the </w:t>
      </w:r>
      <w:r>
        <w:rPr>
          <w:sz w:val="20"/>
        </w:rPr>
        <w:t>Operator</w:t>
      </w:r>
      <w:r>
        <w:rPr>
          <w:sz w:val="20"/>
        </w:rPr>
        <w:t> may transfer its Book, by assignment of this Agreement or by a change of control of </w:t>
      </w:r>
      <w:r>
        <w:rPr>
          <w:sz w:val="20"/>
        </w:rPr>
        <w:t>the</w:t>
      </w:r>
      <w:r>
        <w:rPr>
          <w:sz w:val="20"/>
        </w:rPr>
        <w:t> Operator,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7"/>
          <w:sz w:val="20"/>
        </w:rPr>
        <w:t> </w:t>
      </w:r>
      <w:r>
        <w:rPr>
          <w:sz w:val="20"/>
        </w:rPr>
        <w:t>buyer</w:t>
      </w:r>
      <w:r>
        <w:rPr>
          <w:spacing w:val="16"/>
          <w:sz w:val="20"/>
        </w:rPr>
        <w:t> </w:t>
      </w:r>
      <w:r>
        <w:rPr>
          <w:sz w:val="20"/>
        </w:rPr>
        <w:t>approved</w:t>
      </w:r>
      <w:r>
        <w:rPr>
          <w:spacing w:val="17"/>
          <w:sz w:val="20"/>
        </w:rPr>
        <w:t> </w:t>
      </w:r>
      <w:r>
        <w:rPr>
          <w:sz w:val="20"/>
        </w:rPr>
        <w:t>under</w:t>
      </w:r>
      <w:r>
        <w:rPr>
          <w:spacing w:val="16"/>
          <w:sz w:val="20"/>
        </w:rPr>
        <w:t> </w:t>
      </w:r>
      <w:r>
        <w:rPr>
          <w:sz w:val="20"/>
        </w:rPr>
        <w:t>clause</w:t>
      </w:r>
      <w:r>
        <w:rPr>
          <w:spacing w:val="17"/>
          <w:sz w:val="20"/>
        </w:rPr>
        <w:t> </w:t>
      </w:r>
      <w:r>
        <w:rPr>
          <w:sz w:val="20"/>
        </w:rPr>
        <w:t>15.6.</w:t>
      </w:r>
      <w:r>
        <w:rPr>
          <w:spacing w:val="16"/>
          <w:sz w:val="20"/>
        </w:rPr>
        <w:t> </w:t>
      </w:r>
      <w:r>
        <w:rPr>
          <w:sz w:val="20"/>
        </w:rPr>
        <w:t>If</w:t>
      </w:r>
      <w:r>
        <w:rPr>
          <w:spacing w:val="17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sale</w:t>
      </w:r>
      <w:r>
        <w:rPr>
          <w:spacing w:val="17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progress</w:t>
      </w:r>
      <w:r>
        <w:rPr>
          <w:spacing w:val="16"/>
          <w:sz w:val="20"/>
        </w:rPr>
        <w:t> </w:t>
      </w:r>
      <w:r>
        <w:rPr>
          <w:sz w:val="20"/>
        </w:rPr>
        <w:t>when</w:t>
      </w:r>
      <w:r>
        <w:rPr>
          <w:spacing w:val="17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notice</w:t>
      </w:r>
      <w:r>
        <w:rPr>
          <w:sz w:val="20"/>
        </w:rPr>
        <w:t> period ends, PropertyFlow will extend it by up to 3 months to allow completion. On </w:t>
      </w:r>
      <w:r>
        <w:rPr>
          <w:sz w:val="20"/>
        </w:rPr>
        <w:t>transfer</w:t>
      </w:r>
      <w:r>
        <w:rPr>
          <w:spacing w:val="80"/>
          <w:sz w:val="20"/>
        </w:rPr>
        <w:t> </w:t>
      </w:r>
      <w:r>
        <w:rPr>
          <w:sz w:val="20"/>
        </w:rPr>
        <w:t>the buyer signs PropertyFlow's then-current standard Operator Agreement, the Register is re</w:t>
      </w:r>
      <w:r>
        <w:rPr>
          <w:sz w:val="20"/>
        </w:rPr>
        <w:t>-</w:t>
      </w:r>
      <w:r>
        <w:rPr>
          <w:sz w:val="20"/>
        </w:rPr>
        <w:t>attributed, Landlords are notified of their new contact, the Operator's Commission ends on </w:t>
      </w:r>
      <w:r>
        <w:rPr>
          <w:sz w:val="20"/>
        </w:rPr>
        <w:t>the</w:t>
      </w:r>
      <w:r>
        <w:rPr>
          <w:sz w:val="20"/>
        </w:rPr>
        <w:t> transfer date and its obligations under clauses 12 and 14 continue. PropertyFlow charges </w:t>
      </w:r>
      <w:r>
        <w:rPr>
          <w:sz w:val="20"/>
        </w:rPr>
        <w:t>no</w:t>
      </w:r>
      <w:r>
        <w:rPr>
          <w:spacing w:val="40"/>
          <w:sz w:val="20"/>
        </w:rPr>
        <w:t> </w:t>
      </w:r>
      <w:r>
        <w:rPr>
          <w:sz w:val="20"/>
        </w:rPr>
        <w:t>fee</w:t>
      </w:r>
      <w:r>
        <w:rPr>
          <w:spacing w:val="16"/>
          <w:sz w:val="20"/>
        </w:rPr>
        <w:t> </w:t>
      </w:r>
      <w:r>
        <w:rPr>
          <w:sz w:val="20"/>
        </w:rPr>
        <w:t>on</w:t>
      </w:r>
      <w:r>
        <w:rPr>
          <w:spacing w:val="16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transfer.</w:t>
      </w:r>
      <w:r>
        <w:rPr>
          <w:spacing w:val="16"/>
          <w:sz w:val="20"/>
        </w:rPr>
        <w:t> </w:t>
      </w:r>
      <w:r>
        <w:rPr>
          <w:sz w:val="20"/>
        </w:rPr>
        <w:t>Where</w:t>
      </w:r>
      <w:r>
        <w:rPr>
          <w:spacing w:val="16"/>
          <w:sz w:val="20"/>
        </w:rPr>
        <w:t> </w:t>
      </w:r>
      <w:r>
        <w:rPr>
          <w:sz w:val="20"/>
        </w:rPr>
        <w:t>the</w:t>
      </w:r>
      <w:r>
        <w:rPr>
          <w:spacing w:val="16"/>
          <w:sz w:val="20"/>
        </w:rPr>
        <w:t> </w:t>
      </w:r>
      <w:r>
        <w:rPr>
          <w:sz w:val="20"/>
        </w:rPr>
        <w:t>Operator</w:t>
      </w:r>
      <w:r>
        <w:rPr>
          <w:spacing w:val="16"/>
          <w:sz w:val="20"/>
        </w:rPr>
        <w:t> </w:t>
      </w:r>
      <w:r>
        <w:rPr>
          <w:sz w:val="20"/>
        </w:rPr>
        <w:t>is</w:t>
      </w:r>
      <w:r>
        <w:rPr>
          <w:spacing w:val="16"/>
          <w:sz w:val="20"/>
        </w:rPr>
        <w:t> </w:t>
      </w:r>
      <w:r>
        <w:rPr>
          <w:sz w:val="20"/>
        </w:rPr>
        <w:t>an</w:t>
      </w:r>
      <w:r>
        <w:rPr>
          <w:spacing w:val="16"/>
          <w:sz w:val="20"/>
        </w:rPr>
        <w:t> </w:t>
      </w:r>
      <w:r>
        <w:rPr>
          <w:sz w:val="20"/>
        </w:rPr>
        <w:t>individual</w:t>
      </w:r>
      <w:r>
        <w:rPr>
          <w:spacing w:val="16"/>
          <w:sz w:val="20"/>
        </w:rPr>
        <w:t> </w:t>
      </w:r>
      <w:r>
        <w:rPr>
          <w:sz w:val="20"/>
        </w:rPr>
        <w:t>or</w:t>
      </w:r>
      <w:r>
        <w:rPr>
          <w:spacing w:val="16"/>
          <w:sz w:val="20"/>
        </w:rPr>
        <w:t> </w:t>
      </w:r>
      <w:r>
        <w:rPr>
          <w:sz w:val="20"/>
        </w:rPr>
        <w:t>sole</w:t>
      </w:r>
      <w:r>
        <w:rPr>
          <w:spacing w:val="16"/>
          <w:sz w:val="20"/>
        </w:rPr>
        <w:t> </w:t>
      </w:r>
      <w:r>
        <w:rPr>
          <w:sz w:val="20"/>
        </w:rPr>
        <w:t>trader</w:t>
      </w:r>
      <w:r>
        <w:rPr>
          <w:spacing w:val="16"/>
          <w:sz w:val="20"/>
        </w:rPr>
        <w:t> </w:t>
      </w:r>
      <w:r>
        <w:rPr>
          <w:sz w:val="20"/>
        </w:rPr>
        <w:t>who</w:t>
      </w:r>
      <w:r>
        <w:rPr>
          <w:spacing w:val="16"/>
          <w:sz w:val="20"/>
        </w:rPr>
        <w:t> </w:t>
      </w:r>
      <w:r>
        <w:rPr>
          <w:sz w:val="20"/>
        </w:rPr>
        <w:t>dies</w:t>
      </w:r>
      <w:r>
        <w:rPr>
          <w:spacing w:val="16"/>
          <w:sz w:val="20"/>
        </w:rPr>
        <w:t> </w:t>
      </w:r>
      <w:r>
        <w:rPr>
          <w:sz w:val="20"/>
        </w:rPr>
        <w:t>or</w:t>
      </w:r>
      <w:r>
        <w:rPr>
          <w:spacing w:val="16"/>
          <w:sz w:val="20"/>
        </w:rPr>
        <w:t> </w:t>
      </w:r>
      <w:r>
        <w:rPr>
          <w:sz w:val="20"/>
        </w:rPr>
        <w:t>loses</w:t>
      </w:r>
      <w:r>
        <w:rPr>
          <w:sz w:val="20"/>
        </w:rPr>
        <w:t> capacity, their estate or attorney has 6 months to transfer the Book under this clause.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07" w:after="0"/>
        <w:ind w:left="723" w:right="475" w:hanging="720"/>
        <w:jc w:val="left"/>
        <w:rPr>
          <w:sz w:val="20"/>
        </w:rPr>
      </w:pPr>
      <w:r>
        <w:rPr>
          <w:rFonts w:ascii="Tahoma"/>
          <w:b/>
          <w:sz w:val="20"/>
        </w:rPr>
        <w:t>Approval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of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a</w:t>
      </w:r>
      <w:r>
        <w:rPr>
          <w:rFonts w:ascii="Tahoma"/>
          <w:b/>
          <w:spacing w:val="-6"/>
          <w:sz w:val="20"/>
        </w:rPr>
        <w:t> </w:t>
      </w:r>
      <w:r>
        <w:rPr>
          <w:rFonts w:ascii="Tahoma"/>
          <w:b/>
          <w:sz w:val="20"/>
        </w:rPr>
        <w:t>buyer. </w:t>
      </w:r>
      <w:r>
        <w:rPr>
          <w:sz w:val="20"/>
        </w:rPr>
        <w:t>PropertyFlow approves a buyer unless the buyer fails </w:t>
      </w:r>
      <w:r>
        <w:rPr>
          <w:sz w:val="20"/>
        </w:rPr>
        <w:t>PropertyFlow's</w:t>
      </w:r>
      <w:r>
        <w:rPr>
          <w:sz w:val="20"/>
        </w:rPr>
        <w:t> operator onboarding checks, declines to sign the standard form, is a competitor </w:t>
      </w:r>
      <w:r>
        <w:rPr>
          <w:sz w:val="20"/>
        </w:rPr>
        <w:t>of</w:t>
      </w:r>
      <w:r>
        <w:rPr>
          <w:sz w:val="20"/>
        </w:rPr>
        <w:t> PropertyFlow or presents a risk to the Structural Terms, or the Operator is in </w:t>
      </w:r>
      <w:r>
        <w:rPr>
          <w:sz w:val="20"/>
        </w:rPr>
        <w:t>unremedied</w:t>
      </w:r>
      <w:r>
        <w:rPr>
          <w:sz w:val="20"/>
        </w:rPr>
        <w:t> breach. PropertyFlow decides within 20 Business Days of receiving the buyer's details </w:t>
      </w:r>
      <w:r>
        <w:rPr>
          <w:sz w:val="20"/>
        </w:rPr>
        <w:t>and</w:t>
      </w:r>
      <w:r>
        <w:rPr>
          <w:sz w:val="20"/>
        </w:rPr>
        <w:t> gives reasons for any refusal.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2" w:after="0"/>
        <w:ind w:left="723" w:right="187" w:hanging="720"/>
        <w:jc w:val="left"/>
        <w:rPr>
          <w:sz w:val="20"/>
        </w:rPr>
      </w:pPr>
      <w:r>
        <w:rPr>
          <w:rFonts w:ascii="Tahoma"/>
          <w:b/>
          <w:sz w:val="20"/>
        </w:rPr>
        <w:t>Absorption.</w:t>
      </w:r>
      <w:r>
        <w:rPr>
          <w:rFonts w:ascii="Tahoma"/>
          <w:b/>
          <w:spacing w:val="-5"/>
          <w:sz w:val="20"/>
        </w:rPr>
        <w:t> </w:t>
      </w:r>
      <w:r>
        <w:rPr>
          <w:sz w:val="20"/>
        </w:rPr>
        <w:t>If the Book is not transferred by the end of the relevant period, or this Agreeme</w:t>
      </w:r>
      <w:r>
        <w:rPr>
          <w:sz w:val="20"/>
        </w:rPr>
        <w:t>nt</w:t>
      </w:r>
      <w:r>
        <w:rPr>
          <w:sz w:val="20"/>
        </w:rPr>
        <w:t> ends under clause 15.3(a), (b) or (d), the Book is absorbed by PropertyFlow without </w:t>
      </w:r>
      <w:r>
        <w:rPr>
          <w:sz w:val="20"/>
        </w:rPr>
        <w:t>payment.</w:t>
      </w:r>
      <w:r>
        <w:rPr>
          <w:sz w:val="20"/>
        </w:rPr>
        <w:t> PropertyFlow may then service the Introduced Landlords directly or assign them to anothe</w:t>
      </w:r>
      <w:r>
        <w:rPr>
          <w:sz w:val="20"/>
        </w:rPr>
        <w:t>r</w:t>
      </w:r>
      <w:r>
        <w:rPr>
          <w:sz w:val="20"/>
        </w:rPr>
        <w:t> </w:t>
      </w:r>
      <w:r>
        <w:rPr>
          <w:spacing w:val="-2"/>
          <w:sz w:val="20"/>
        </w:rPr>
        <w:t>operator.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4" w:after="0"/>
        <w:ind w:left="723" w:right="231" w:hanging="720"/>
        <w:jc w:val="left"/>
        <w:rPr>
          <w:sz w:val="20"/>
        </w:rPr>
      </w:pPr>
      <w:r>
        <w:rPr>
          <w:rFonts w:ascii="Tahoma"/>
          <w:b/>
          <w:sz w:val="20"/>
        </w:rPr>
        <w:t>No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payment</w:t>
      </w:r>
      <w:r>
        <w:rPr>
          <w:rFonts w:ascii="Tahoma"/>
          <w:b/>
          <w:spacing w:val="-15"/>
          <w:sz w:val="20"/>
        </w:rPr>
        <w:t> </w:t>
      </w:r>
      <w:r>
        <w:rPr>
          <w:rFonts w:ascii="Tahoma"/>
          <w:b/>
          <w:sz w:val="20"/>
        </w:rPr>
        <w:t>on</w:t>
      </w:r>
      <w:r>
        <w:rPr>
          <w:rFonts w:ascii="Tahoma"/>
          <w:b/>
          <w:spacing w:val="-14"/>
          <w:sz w:val="20"/>
        </w:rPr>
        <w:t> </w:t>
      </w:r>
      <w:r>
        <w:rPr>
          <w:rFonts w:ascii="Tahoma"/>
          <w:b/>
          <w:sz w:val="20"/>
        </w:rPr>
        <w:t>exit.</w:t>
      </w:r>
      <w:r>
        <w:rPr>
          <w:rFonts w:ascii="Tahoma"/>
          <w:b/>
          <w:spacing w:val="-5"/>
          <w:sz w:val="20"/>
        </w:rPr>
        <w:t> </w:t>
      </w:r>
      <w:r>
        <w:rPr>
          <w:sz w:val="20"/>
        </w:rPr>
        <w:t>Commission is paid for work being done. It is not a referral fee and </w:t>
      </w:r>
      <w:r>
        <w:rPr>
          <w:sz w:val="20"/>
        </w:rPr>
        <w:t>does</w:t>
      </w:r>
      <w:r>
        <w:rPr>
          <w:sz w:val="20"/>
        </w:rPr>
        <w:t> not survive the Term: PropertyFlow does not buy Books and pays no tail, compensation </w:t>
      </w:r>
      <w:r>
        <w:rPr>
          <w:sz w:val="20"/>
        </w:rPr>
        <w:t>or</w:t>
      </w:r>
      <w:r>
        <w:rPr>
          <w:sz w:val="20"/>
        </w:rPr>
        <w:t> other sum on or after the end of this Agreement, other than Commission accrued to its </w:t>
      </w:r>
      <w:r>
        <w:rPr>
          <w:sz w:val="20"/>
        </w:rPr>
        <w:t>last</w:t>
      </w:r>
      <w:r>
        <w:rPr>
          <w:sz w:val="20"/>
        </w:rPr>
        <w:t> </w:t>
      </w:r>
      <w:r>
        <w:rPr>
          <w:spacing w:val="-4"/>
          <w:sz w:val="20"/>
        </w:rPr>
        <w:t>day.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4" w:after="0"/>
        <w:ind w:left="723" w:right="185" w:hanging="720"/>
        <w:jc w:val="left"/>
        <w:rPr>
          <w:sz w:val="20"/>
        </w:rPr>
      </w:pPr>
      <w:r>
        <w:rPr>
          <w:rFonts w:ascii="Tahoma"/>
          <w:b/>
          <w:sz w:val="20"/>
        </w:rPr>
        <w:t>On</w:t>
      </w:r>
      <w:r>
        <w:rPr>
          <w:rFonts w:ascii="Tahoma"/>
          <w:b/>
          <w:spacing w:val="-9"/>
          <w:sz w:val="20"/>
        </w:rPr>
        <w:t> </w:t>
      </w:r>
      <w:r>
        <w:rPr>
          <w:rFonts w:ascii="Tahoma"/>
          <w:b/>
          <w:sz w:val="20"/>
        </w:rPr>
        <w:t>termination: </w:t>
      </w:r>
      <w:r>
        <w:rPr>
          <w:sz w:val="20"/>
        </w:rPr>
        <w:t>every Landlord Agreement, Licence, listing, Booking Channel account, </w:t>
      </w:r>
      <w:r>
        <w:rPr>
          <w:sz w:val="20"/>
        </w:rPr>
        <w:t>Client</w:t>
      </w:r>
      <w:r>
        <w:rPr>
          <w:sz w:val="20"/>
        </w:rPr>
        <w:t> Money balance, Landlord and Guest record and the Register remain with </w:t>
      </w:r>
      <w:r>
        <w:rPr>
          <w:sz w:val="20"/>
        </w:rPr>
        <w:t>PropertyFlow;</w:t>
      </w:r>
      <w:r>
        <w:rPr>
          <w:sz w:val="20"/>
        </w:rPr>
        <w:t> Commission accrued to the last day is paid on the next Statement; the Operator ceases use </w:t>
      </w:r>
      <w:r>
        <w:rPr>
          <w:sz w:val="20"/>
        </w:rPr>
        <w:t>of</w:t>
      </w:r>
      <w:r>
        <w:rPr>
          <w:sz w:val="20"/>
        </w:rPr>
        <w:t> the marks within 14 days, returns any keys, documents and confidential information within </w:t>
      </w:r>
      <w:r>
        <w:rPr>
          <w:sz w:val="20"/>
        </w:rPr>
        <w:t>5</w:t>
      </w:r>
      <w:r>
        <w:rPr>
          <w:sz w:val="20"/>
        </w:rPr>
        <w:t> Business Days, and returns or deletes personal data within 14 days; the Operator </w:t>
      </w:r>
      <w:r>
        <w:rPr>
          <w:sz w:val="20"/>
        </w:rPr>
        <w:t>Credentials</w:t>
      </w:r>
      <w:r>
        <w:rPr>
          <w:sz w:val="20"/>
        </w:rPr>
        <w:t> and Platform access are revoked; and PropertyFlow issues a final Statement within 30 days.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66" coordorigin="0,0" coordsize="9637,15">
                <v:shape style="position:absolute;left:0;top:7;width:9637;height:2" id="docshape67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60" w:after="0"/>
        <w:ind w:left="723" w:right="450" w:hanging="720"/>
        <w:jc w:val="left"/>
        <w:rPr>
          <w:sz w:val="20"/>
        </w:rPr>
      </w:pPr>
      <w:r>
        <w:rPr>
          <w:sz w:val="20"/>
        </w:rPr>
        <w:t>Clauses 3, 7, 8 (as to sums accrued and clawback), 10.2, 11, 12, 13.4, 14, 15.7 to 15.10, 16, </w:t>
      </w:r>
      <w:r>
        <w:rPr>
          <w:sz w:val="20"/>
        </w:rPr>
        <w:t>17</w:t>
      </w:r>
      <w:r>
        <w:rPr>
          <w:sz w:val="20"/>
        </w:rPr>
        <w:t> and 18 survive termination.</w:t>
      </w:r>
    </w:p>
    <w:p>
      <w:pPr>
        <w:pStyle w:val="BodyText"/>
        <w:spacing w:before="17"/>
        <w:ind w:left="0"/>
      </w:pPr>
    </w:p>
    <w:p>
      <w:pPr>
        <w:pStyle w:val="Heading1"/>
        <w:numPr>
          <w:ilvl w:val="0"/>
          <w:numId w:val="5"/>
        </w:numPr>
        <w:tabs>
          <w:tab w:pos="376" w:val="left" w:leader="none"/>
        </w:tabs>
        <w:spacing w:line="240" w:lineRule="auto" w:before="0" w:after="71"/>
        <w:ind w:left="376" w:right="0" w:hanging="374"/>
        <w:jc w:val="left"/>
      </w:pPr>
      <w:bookmarkStart w:name="16. Liability and insurance" w:id="17"/>
      <w:bookmarkEnd w:id="17"/>
      <w:r>
        <w:rPr>
          <w:b w:val="0"/>
        </w:rPr>
      </w:r>
      <w:r>
        <w:rPr>
          <w:color w:val="0B0B0E"/>
          <w:spacing w:val="-2"/>
        </w:rPr>
        <w:t>Liability</w:t>
      </w:r>
      <w:r>
        <w:rPr>
          <w:color w:val="0B0B0E"/>
          <w:spacing w:val="-21"/>
        </w:rPr>
        <w:t> </w:t>
      </w:r>
      <w:r>
        <w:rPr>
          <w:color w:val="0B0B0E"/>
          <w:spacing w:val="-2"/>
        </w:rPr>
        <w:t>and</w:t>
      </w:r>
      <w:r>
        <w:rPr>
          <w:color w:val="0B0B0E"/>
          <w:spacing w:val="-20"/>
        </w:rPr>
        <w:t> </w:t>
      </w:r>
      <w:r>
        <w:rPr>
          <w:color w:val="0B0B0E"/>
          <w:spacing w:val="-2"/>
        </w:rPr>
        <w:t>insurance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68" coordorigin="0,0" coordsize="9637,15">
                <v:shape style="position:absolute;left:0;top:7;width:9637;height:2" id="docshape69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77" w:after="0"/>
        <w:ind w:left="723" w:right="145" w:hanging="720"/>
        <w:jc w:val="left"/>
        <w:rPr>
          <w:sz w:val="20"/>
        </w:rPr>
      </w:pPr>
      <w:r>
        <w:rPr>
          <w:sz w:val="20"/>
        </w:rPr>
        <w:t>Nothing excludes liability for death or personal injury caused by negligence, fraud, or </w:t>
      </w:r>
      <w:r>
        <w:rPr>
          <w:sz w:val="20"/>
        </w:rPr>
        <w:t>anything</w:t>
      </w:r>
      <w:r>
        <w:rPr>
          <w:sz w:val="20"/>
        </w:rPr>
        <w:t> that cannot lawfully be excluded.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7" w:after="0"/>
        <w:ind w:left="723" w:right="155" w:hanging="720"/>
        <w:jc w:val="left"/>
        <w:rPr>
          <w:sz w:val="20"/>
        </w:rPr>
      </w:pPr>
      <w:r>
        <w:rPr>
          <w:sz w:val="20"/>
        </w:rPr>
        <w:t>The Operator indemnifies PropertyFlow against losses arising from any breach of </w:t>
      </w:r>
      <w:r>
        <w:rPr>
          <w:sz w:val="20"/>
        </w:rPr>
        <w:t>the</w:t>
      </w:r>
      <w:r>
        <w:rPr>
          <w:spacing w:val="80"/>
          <w:w w:val="150"/>
          <w:sz w:val="20"/>
        </w:rPr>
        <w:t> </w:t>
      </w:r>
      <w:r>
        <w:rPr>
          <w:sz w:val="20"/>
        </w:rPr>
        <w:t>Structural Terms, any representation given to a Landlord or Guest beyond approved m</w:t>
      </w:r>
      <w:r>
        <w:rPr>
          <w:sz w:val="20"/>
        </w:rPr>
        <w:t>aterials,</w:t>
      </w:r>
      <w:r>
        <w:rPr>
          <w:sz w:val="20"/>
        </w:rPr>
        <w:t> any Intake it completed inaccurately, and any breach of licensing, planning, data protection </w:t>
      </w:r>
      <w:r>
        <w:rPr>
          <w:sz w:val="20"/>
        </w:rPr>
        <w:t>or</w:t>
      </w:r>
      <w:r>
        <w:rPr>
          <w:sz w:val="20"/>
        </w:rPr>
        <w:t> consumer law by the Operator or an Operator Principal. PropertyFlow indemnifies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sz w:val="20"/>
        </w:rPr>
        <w:t>Operator against third-party claims that the Platform or the marks, used in accordance </w:t>
      </w:r>
      <w:r>
        <w:rPr>
          <w:sz w:val="20"/>
        </w:rPr>
        <w:t>with</w:t>
      </w:r>
      <w:r>
        <w:rPr>
          <w:spacing w:val="80"/>
          <w:sz w:val="20"/>
        </w:rPr>
        <w:t> </w:t>
      </w:r>
      <w:r>
        <w:rPr>
          <w:sz w:val="20"/>
        </w:rPr>
        <w:t>this Agreement, infringe intellectual property rights.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1" w:after="0"/>
        <w:ind w:left="723" w:right="250" w:hanging="720"/>
        <w:jc w:val="left"/>
        <w:rPr>
          <w:sz w:val="20"/>
        </w:rPr>
      </w:pPr>
      <w:r>
        <w:rPr>
          <w:sz w:val="20"/>
        </w:rPr>
        <w:t>Subject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clauses</w:t>
      </w:r>
      <w:r>
        <w:rPr>
          <w:spacing w:val="-3"/>
          <w:sz w:val="20"/>
        </w:rPr>
        <w:t> </w:t>
      </w:r>
      <w:r>
        <w:rPr>
          <w:sz w:val="20"/>
        </w:rPr>
        <w:t>16.1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16.2,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party's</w:t>
      </w:r>
      <w:r>
        <w:rPr>
          <w:spacing w:val="-3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liability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12-month</w:t>
      </w:r>
      <w:r>
        <w:rPr>
          <w:spacing w:val="-3"/>
          <w:sz w:val="20"/>
        </w:rPr>
        <w:t> </w:t>
      </w:r>
      <w:r>
        <w:rPr>
          <w:sz w:val="20"/>
        </w:rPr>
        <w:t>period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limited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z w:val="20"/>
        </w:rPr>
        <w:t> the greater of £10,000 and the Commission paid or payable in the preceding 12 months, </w:t>
      </w:r>
      <w:r>
        <w:rPr>
          <w:sz w:val="20"/>
        </w:rPr>
        <w:t>and</w:t>
      </w:r>
      <w:r>
        <w:rPr>
          <w:sz w:val="20"/>
        </w:rPr>
        <w:t> neither party is liable for loss of profit or indirect loss. PropertyFlow is not liable </w:t>
      </w:r>
      <w:r>
        <w:rPr>
          <w:sz w:val="20"/>
        </w:rPr>
        <w:t>for</w:t>
      </w:r>
      <w:r>
        <w:rPr>
          <w:sz w:val="20"/>
        </w:rPr>
        <w:t> Commission lost through a Landlord's or Booking Channel's decision, a lawful suspension, </w:t>
      </w:r>
      <w:r>
        <w:rPr>
          <w:sz w:val="20"/>
        </w:rPr>
        <w:t>or</w:t>
      </w:r>
      <w:r>
        <w:rPr>
          <w:sz w:val="20"/>
        </w:rPr>
        <w:t> events outside its reasonable control. Each party maintains insurance appropriate to </w:t>
      </w:r>
      <w:r>
        <w:rPr>
          <w:sz w:val="20"/>
        </w:rPr>
        <w:t>its</w:t>
      </w:r>
      <w:r>
        <w:rPr>
          <w:sz w:val="20"/>
        </w:rPr>
        <w:t> activities, the Operator as stated in the Particulars; PropertyFlow maintains public </w:t>
      </w:r>
      <w:r>
        <w:rPr>
          <w:sz w:val="20"/>
        </w:rPr>
        <w:t>liability,</w:t>
      </w:r>
      <w:r>
        <w:rPr>
          <w:sz w:val="20"/>
        </w:rPr>
        <w:t> employer's liability and professional indemnity insurance.</w:t>
      </w:r>
    </w:p>
    <w:p>
      <w:pPr>
        <w:pStyle w:val="BodyText"/>
        <w:spacing w:before="10"/>
        <w:ind w:left="0"/>
      </w:pPr>
    </w:p>
    <w:p>
      <w:pPr>
        <w:pStyle w:val="Heading1"/>
        <w:numPr>
          <w:ilvl w:val="0"/>
          <w:numId w:val="5"/>
        </w:numPr>
        <w:tabs>
          <w:tab w:pos="364" w:val="left" w:leader="none"/>
        </w:tabs>
        <w:spacing w:line="240" w:lineRule="auto" w:before="0" w:after="70"/>
        <w:ind w:left="364" w:right="0" w:hanging="362"/>
        <w:jc w:val="left"/>
      </w:pPr>
      <w:bookmarkStart w:name="17. Disputes" w:id="18"/>
      <w:bookmarkEnd w:id="18"/>
      <w:r>
        <w:rPr>
          <w:b w:val="0"/>
        </w:rPr>
      </w:r>
      <w:r>
        <w:rPr>
          <w:color w:val="0B0B0E"/>
          <w:spacing w:val="-2"/>
        </w:rPr>
        <w:t>Disputes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70" coordorigin="0,0" coordsize="9637,15">
                <v:shape style="position:absolute;left:0;top:7;width:9637;height:2" id="docshape71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78" w:after="0"/>
        <w:ind w:left="723" w:right="218" w:hanging="720"/>
        <w:jc w:val="left"/>
        <w:rPr>
          <w:sz w:val="20"/>
        </w:rPr>
      </w:pPr>
      <w:r>
        <w:rPr>
          <w:sz w:val="20"/>
        </w:rPr>
        <w:t>Any dispute is first referred in writing to a director of PropertyFlow and an Operator </w:t>
      </w:r>
      <w:r>
        <w:rPr>
          <w:sz w:val="20"/>
        </w:rPr>
        <w:t>Principal,</w:t>
      </w:r>
      <w:r>
        <w:rPr>
          <w:sz w:val="20"/>
        </w:rPr>
        <w:t> who meet or exchange written positions within 10 Business Days. If unresolved within </w:t>
      </w:r>
      <w:r>
        <w:rPr>
          <w:sz w:val="20"/>
        </w:rPr>
        <w:t>20</w:t>
      </w:r>
      <w:r>
        <w:rPr>
          <w:sz w:val="20"/>
        </w:rPr>
        <w:t> Business Days, either party may propose mediation, which neither shall unreasonably </w:t>
      </w:r>
      <w:r>
        <w:rPr>
          <w:sz w:val="20"/>
        </w:rPr>
        <w:t>refuse.</w:t>
      </w:r>
      <w:r>
        <w:rPr>
          <w:sz w:val="20"/>
        </w:rPr>
        <w:t> Nothing</w:t>
      </w:r>
      <w:r>
        <w:rPr>
          <w:spacing w:val="-2"/>
          <w:sz w:val="20"/>
        </w:rPr>
        <w:t> </w:t>
      </w:r>
      <w:r>
        <w:rPr>
          <w:sz w:val="20"/>
        </w:rPr>
        <w:t>prevents</w:t>
      </w:r>
      <w:r>
        <w:rPr>
          <w:spacing w:val="-2"/>
          <w:sz w:val="20"/>
        </w:rPr>
        <w:t> </w:t>
      </w:r>
      <w:r>
        <w:rPr>
          <w:sz w:val="20"/>
        </w:rPr>
        <w:t>interim</w:t>
      </w:r>
      <w:r>
        <w:rPr>
          <w:spacing w:val="-2"/>
          <w:sz w:val="20"/>
        </w:rPr>
        <w:t> </w:t>
      </w:r>
      <w:r>
        <w:rPr>
          <w:sz w:val="20"/>
        </w:rPr>
        <w:t>relief,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PropertyFlow</w:t>
      </w:r>
      <w:r>
        <w:rPr>
          <w:spacing w:val="-2"/>
          <w:sz w:val="20"/>
        </w:rPr>
        <w:t> </w:t>
      </w:r>
      <w:r>
        <w:rPr>
          <w:sz w:val="20"/>
        </w:rPr>
        <w:t>acting</w:t>
      </w:r>
      <w:r>
        <w:rPr>
          <w:spacing w:val="-2"/>
          <w:sz w:val="20"/>
        </w:rPr>
        <w:t> </w:t>
      </w:r>
      <w:r>
        <w:rPr>
          <w:sz w:val="20"/>
        </w:rPr>
        <w:t>immediately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protect</w:t>
      </w:r>
      <w:r>
        <w:rPr>
          <w:spacing w:val="-2"/>
          <w:sz w:val="20"/>
        </w:rPr>
        <w:t> </w:t>
      </w:r>
      <w:r>
        <w:rPr>
          <w:sz w:val="20"/>
        </w:rPr>
        <w:t>Client</w:t>
      </w:r>
      <w:r>
        <w:rPr>
          <w:spacing w:val="-2"/>
          <w:sz w:val="20"/>
        </w:rPr>
        <w:t> </w:t>
      </w:r>
      <w:r>
        <w:rPr>
          <w:sz w:val="20"/>
        </w:rPr>
        <w:t>Money,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z w:val="20"/>
        </w:rPr>
        <w:t> Licence, a Landlord or a Guest.</w:t>
      </w:r>
    </w:p>
    <w:p>
      <w:pPr>
        <w:pStyle w:val="BodyText"/>
        <w:spacing w:before="13"/>
        <w:ind w:left="0"/>
      </w:pPr>
    </w:p>
    <w:p>
      <w:pPr>
        <w:pStyle w:val="Heading1"/>
        <w:numPr>
          <w:ilvl w:val="0"/>
          <w:numId w:val="5"/>
        </w:numPr>
        <w:tabs>
          <w:tab w:pos="373" w:val="left" w:leader="none"/>
        </w:tabs>
        <w:spacing w:line="240" w:lineRule="auto" w:before="0" w:after="71"/>
        <w:ind w:left="373" w:right="0" w:hanging="371"/>
        <w:jc w:val="left"/>
      </w:pPr>
      <w:bookmarkStart w:name="18. General" w:id="19"/>
      <w:bookmarkEnd w:id="19"/>
      <w:r>
        <w:rPr>
          <w:b w:val="0"/>
        </w:rPr>
      </w:r>
      <w:r>
        <w:rPr>
          <w:color w:val="0B0B0E"/>
          <w:spacing w:val="-2"/>
        </w:rPr>
        <w:t>General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72" coordorigin="0,0" coordsize="9637,15">
                <v:shape style="position:absolute;left:0;top:7;width:9637;height:2" id="docshape73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77" w:after="0"/>
        <w:ind w:left="723" w:right="414" w:hanging="720"/>
        <w:jc w:val="left"/>
        <w:rPr>
          <w:sz w:val="20"/>
        </w:rPr>
      </w:pPr>
      <w:r>
        <w:rPr>
          <w:rFonts w:ascii="Tahoma"/>
          <w:b/>
          <w:sz w:val="20"/>
        </w:rPr>
        <w:t>Assignment.</w:t>
      </w:r>
      <w:r>
        <w:rPr>
          <w:rFonts w:ascii="Tahoma"/>
          <w:b/>
          <w:spacing w:val="-5"/>
          <w:sz w:val="20"/>
        </w:rPr>
        <w:t> </w:t>
      </w:r>
      <w:r>
        <w:rPr>
          <w:sz w:val="20"/>
        </w:rPr>
        <w:t>PropertyFlow may assign or novate this Agreement to any Group company </w:t>
      </w:r>
      <w:r>
        <w:rPr>
          <w:sz w:val="20"/>
        </w:rPr>
        <w:t>on</w:t>
      </w:r>
      <w:r>
        <w:rPr>
          <w:sz w:val="20"/>
        </w:rPr>
        <w:t> written notice, and the Operator consents in advance. The Operator may not </w:t>
      </w:r>
      <w:r>
        <w:rPr>
          <w:sz w:val="20"/>
        </w:rPr>
        <w:t>assign,</w:t>
      </w:r>
      <w:r>
        <w:rPr>
          <w:sz w:val="20"/>
        </w:rPr>
        <w:t> subcontract or transfer it except under clause 15.5.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5" w:after="0"/>
        <w:ind w:left="723" w:right="180" w:hanging="720"/>
        <w:jc w:val="left"/>
        <w:rPr>
          <w:sz w:val="20"/>
        </w:rPr>
      </w:pPr>
      <w:r>
        <w:rPr>
          <w:rFonts w:ascii="Tahoma"/>
          <w:b/>
          <w:sz w:val="20"/>
        </w:rPr>
        <w:t>Entire</w:t>
      </w:r>
      <w:r>
        <w:rPr>
          <w:rFonts w:ascii="Tahoma"/>
          <w:b/>
          <w:spacing w:val="-4"/>
          <w:sz w:val="20"/>
        </w:rPr>
        <w:t> </w:t>
      </w:r>
      <w:r>
        <w:rPr>
          <w:rFonts w:ascii="Tahoma"/>
          <w:b/>
          <w:sz w:val="20"/>
        </w:rPr>
        <w:t>agreement</w:t>
      </w:r>
      <w:r>
        <w:rPr>
          <w:rFonts w:ascii="Tahoma"/>
          <w:b/>
          <w:spacing w:val="-4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4"/>
          <w:sz w:val="20"/>
        </w:rPr>
        <w:t> </w:t>
      </w:r>
      <w:r>
        <w:rPr>
          <w:rFonts w:ascii="Tahoma"/>
          <w:b/>
          <w:sz w:val="20"/>
        </w:rPr>
        <w:t>variation. </w:t>
      </w:r>
      <w:r>
        <w:rPr>
          <w:sz w:val="20"/>
        </w:rPr>
        <w:t>This Agreement, the Particulars, the Schedules and </w:t>
      </w:r>
      <w:r>
        <w:rPr>
          <w:sz w:val="20"/>
        </w:rPr>
        <w:t>any</w:t>
      </w:r>
      <w:r>
        <w:rPr>
          <w:sz w:val="20"/>
        </w:rPr>
        <w:t> declaration of interests under clause 13.2 are the entire agreement on their subject matter </w:t>
      </w:r>
      <w:r>
        <w:rPr>
          <w:sz w:val="20"/>
        </w:rPr>
        <w:t>and</w:t>
      </w:r>
      <w:r>
        <w:rPr>
          <w:sz w:val="20"/>
        </w:rPr>
        <w:t> replace every prior arrangement, understanding or course of dealing, including any pilot </w:t>
      </w:r>
      <w:r>
        <w:rPr>
          <w:sz w:val="20"/>
        </w:rPr>
        <w:t>or</w:t>
      </w:r>
      <w:r>
        <w:rPr>
          <w:sz w:val="20"/>
        </w:rPr>
        <w:t> informal revenue-share. Neither party has relied on any statement not set out here. </w:t>
      </w:r>
      <w:r>
        <w:rPr>
          <w:sz w:val="20"/>
        </w:rPr>
        <w:t>Variations</w:t>
      </w:r>
      <w:r>
        <w:rPr>
          <w:sz w:val="20"/>
        </w:rPr>
        <w:t> must be in writing signed by both parties; no delay is a waiver; an invalid provision is </w:t>
      </w:r>
      <w:r>
        <w:rPr>
          <w:sz w:val="20"/>
        </w:rPr>
        <w:t>severed</w:t>
      </w:r>
      <w:r>
        <w:rPr>
          <w:sz w:val="20"/>
        </w:rPr>
        <w:t> and the rest stands.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1" w:after="0"/>
        <w:ind w:left="723" w:right="188" w:hanging="720"/>
        <w:jc w:val="left"/>
        <w:rPr>
          <w:sz w:val="20"/>
        </w:rPr>
      </w:pPr>
      <w:r>
        <w:rPr>
          <w:rFonts w:ascii="Tahoma"/>
          <w:b/>
          <w:sz w:val="20"/>
        </w:rPr>
        <w:t>Force</w:t>
      </w:r>
      <w:r>
        <w:rPr>
          <w:rFonts w:ascii="Tahoma"/>
          <w:b/>
          <w:spacing w:val="-2"/>
          <w:sz w:val="20"/>
        </w:rPr>
        <w:t> </w:t>
      </w:r>
      <w:r>
        <w:rPr>
          <w:rFonts w:ascii="Tahoma"/>
          <w:b/>
          <w:sz w:val="20"/>
        </w:rPr>
        <w:t>majeure. </w:t>
      </w:r>
      <w:r>
        <w:rPr>
          <w:sz w:val="20"/>
        </w:rPr>
        <w:t>Neither party is liable for delay caused by events outside its </w:t>
      </w:r>
      <w:r>
        <w:rPr>
          <w:sz w:val="20"/>
        </w:rPr>
        <w:t>reasonable</w:t>
      </w:r>
      <w:r>
        <w:rPr>
          <w:spacing w:val="40"/>
          <w:sz w:val="20"/>
        </w:rPr>
        <w:t> </w:t>
      </w:r>
      <w:r>
        <w:rPr>
          <w:sz w:val="20"/>
        </w:rPr>
        <w:t>control (including failure of a bank, payment processor or Booking Channel, or action of </w:t>
      </w:r>
      <w:r>
        <w:rPr>
          <w:sz w:val="20"/>
        </w:rPr>
        <w:t>a</w:t>
      </w:r>
      <w:r>
        <w:rPr>
          <w:sz w:val="20"/>
        </w:rPr>
        <w:t> licensing</w:t>
      </w:r>
      <w:r>
        <w:rPr>
          <w:spacing w:val="-3"/>
          <w:sz w:val="20"/>
        </w:rPr>
        <w:t> </w:t>
      </w:r>
      <w:r>
        <w:rPr>
          <w:sz w:val="20"/>
        </w:rPr>
        <w:t>authority),</w:t>
      </w:r>
      <w:r>
        <w:rPr>
          <w:spacing w:val="-3"/>
          <w:sz w:val="20"/>
        </w:rPr>
        <w:t> </w:t>
      </w:r>
      <w:r>
        <w:rPr>
          <w:sz w:val="20"/>
        </w:rPr>
        <w:t>provided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notifies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promptly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mitigates.</w:t>
      </w:r>
      <w:r>
        <w:rPr>
          <w:spacing w:val="-3"/>
          <w:sz w:val="20"/>
        </w:rPr>
        <w:t> </w:t>
      </w:r>
      <w:r>
        <w:rPr>
          <w:sz w:val="20"/>
        </w:rPr>
        <w:t>Inability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pay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z w:val="20"/>
        </w:rPr>
        <w:t> force majeure.</w:t>
      </w:r>
    </w:p>
    <w:p>
      <w:pPr>
        <w:pStyle w:val="ListParagraph"/>
        <w:numPr>
          <w:ilvl w:val="1"/>
          <w:numId w:val="5"/>
        </w:numPr>
        <w:tabs>
          <w:tab w:pos="723" w:val="left" w:leader="none"/>
        </w:tabs>
        <w:spacing w:line="187" w:lineRule="auto" w:before="114" w:after="0"/>
        <w:ind w:left="723" w:right="256" w:hanging="720"/>
        <w:jc w:val="left"/>
        <w:rPr>
          <w:sz w:val="20"/>
        </w:rPr>
      </w:pPr>
      <w:r>
        <w:rPr>
          <w:rFonts w:ascii="Tahoma"/>
          <w:b/>
          <w:sz w:val="20"/>
        </w:rPr>
        <w:t>Notices,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third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parties,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signature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and</w:t>
      </w:r>
      <w:r>
        <w:rPr>
          <w:rFonts w:ascii="Tahoma"/>
          <w:b/>
          <w:spacing w:val="-8"/>
          <w:sz w:val="20"/>
        </w:rPr>
        <w:t> </w:t>
      </w:r>
      <w:r>
        <w:rPr>
          <w:rFonts w:ascii="Tahoma"/>
          <w:b/>
          <w:sz w:val="20"/>
        </w:rPr>
        <w:t>law. </w:t>
      </w:r>
      <w:r>
        <w:rPr>
          <w:sz w:val="20"/>
        </w:rPr>
        <w:t>Notices are sent by email to the addresses in </w:t>
      </w:r>
      <w:r>
        <w:rPr>
          <w:sz w:val="20"/>
        </w:rPr>
        <w:t>the</w:t>
      </w:r>
      <w:r>
        <w:rPr>
          <w:sz w:val="20"/>
        </w:rPr>
        <w:t> Particulars and are received on the next Business Day. No third party has rights under </w:t>
      </w:r>
      <w:r>
        <w:rPr>
          <w:sz w:val="20"/>
        </w:rPr>
        <w:t>the</w:t>
      </w:r>
      <w:r>
        <w:rPr>
          <w:sz w:val="20"/>
        </w:rPr>
        <w:t> Contracts (Rights of Third Parties) Act 1999. This Agreement may be signed ele</w:t>
      </w:r>
      <w:r>
        <w:rPr>
          <w:sz w:val="20"/>
        </w:rPr>
        <w:t>ctronically</w:t>
      </w:r>
      <w:r>
        <w:rPr>
          <w:sz w:val="20"/>
        </w:rPr>
        <w:t> (including through DocuSeal) and in counterparts. It is governed by the law of England </w:t>
      </w:r>
      <w:r>
        <w:rPr>
          <w:sz w:val="20"/>
        </w:rPr>
        <w:t>and</w:t>
      </w:r>
      <w:r>
        <w:rPr>
          <w:sz w:val="20"/>
        </w:rPr>
        <w:t> Wales and the parties submit to the exclusive jurisdiction of the courts of England and Wales.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74" coordorigin="0,0" coordsize="9637,15">
                <v:shape style="position:absolute;left:0;top:7;width:9637;height:2" id="docshape75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36"/>
      </w:pPr>
      <w:bookmarkStart w:name="Execution" w:id="20"/>
      <w:bookmarkEnd w:id="20"/>
      <w:r>
        <w:rPr>
          <w:b w:val="0"/>
        </w:rPr>
      </w:r>
      <w:r>
        <w:rPr>
          <w:color w:val="0B0B0E"/>
          <w:spacing w:val="-2"/>
        </w:rPr>
        <w:t>Execution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76" coordorigin="0,0" coordsize="9637,15">
                <v:shape style="position:absolute;left:0;top:7;width:9637;height:2" id="docshape77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before="8" w:after="1"/>
        <w:ind w:left="0"/>
        <w:rPr>
          <w:rFonts w:ascii="Century Gothic"/>
          <w:b/>
          <w:sz w:val="12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8"/>
        <w:gridCol w:w="4820"/>
      </w:tblGrid>
      <w:tr>
        <w:trPr>
          <w:trHeight w:val="440" w:hRule="atLeast"/>
        </w:trPr>
        <w:tc>
          <w:tcPr>
            <w:tcW w:w="4818" w:type="dxa"/>
            <w:shd w:val="clear" w:color="auto" w:fill="0B0B0E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For</w:t>
            </w:r>
            <w:r>
              <w:rPr>
                <w:rFonts w:ascii="Tahoma"/>
                <w:b/>
                <w:color w:val="FFFFFF"/>
                <w:spacing w:val="-8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PropertyFlow</w:t>
            </w:r>
            <w:r>
              <w:rPr>
                <w:rFonts w:ascii="Tahoma"/>
                <w:b/>
                <w:color w:val="FFFFFF"/>
                <w:spacing w:val="-8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Management</w:t>
            </w:r>
            <w:r>
              <w:rPr>
                <w:rFonts w:ascii="Tahoma"/>
                <w:b/>
                <w:color w:val="FFFFFF"/>
                <w:spacing w:val="-9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Partners</w:t>
            </w:r>
            <w:r>
              <w:rPr>
                <w:rFonts w:ascii="Tahoma"/>
                <w:b/>
                <w:color w:val="FFFFFF"/>
                <w:spacing w:val="-8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5"/>
                <w:sz w:val="18"/>
              </w:rPr>
              <w:t>Ltd</w:t>
            </w:r>
          </w:p>
        </w:tc>
        <w:tc>
          <w:tcPr>
            <w:tcW w:w="4820" w:type="dxa"/>
            <w:shd w:val="clear" w:color="auto" w:fill="0B0B0E"/>
          </w:tcPr>
          <w:p>
            <w:pPr>
              <w:pStyle w:val="TableParagraph"/>
              <w:spacing w:before="97"/>
              <w:ind w:left="11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For</w:t>
            </w:r>
            <w:r>
              <w:rPr>
                <w:rFonts w:ascii="Tahoma"/>
                <w:b/>
                <w:color w:val="FFFFFF"/>
                <w:spacing w:val="-10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the</w:t>
            </w:r>
            <w:r>
              <w:rPr>
                <w:rFonts w:ascii="Tahoma"/>
                <w:b/>
                <w:color w:val="FFFFFF"/>
                <w:spacing w:val="-10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Operator</w:t>
            </w:r>
          </w:p>
        </w:tc>
      </w:tr>
      <w:tr>
        <w:trPr>
          <w:trHeight w:val="440" w:hRule="atLeast"/>
        </w:trPr>
        <w:tc>
          <w:tcPr>
            <w:tcW w:w="4818" w:type="dxa"/>
          </w:tcPr>
          <w:p>
            <w:pPr>
              <w:pStyle w:val="TableParagraph"/>
              <w:tabs>
                <w:tab w:pos="3366" w:val="left" w:leader="none"/>
              </w:tabs>
              <w:ind w:left="110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4820" w:type="dxa"/>
          </w:tcPr>
          <w:p>
            <w:pPr>
              <w:pStyle w:val="TableParagraph"/>
              <w:tabs>
                <w:tab w:pos="3367" w:val="left" w:leader="none"/>
              </w:tabs>
              <w:ind w:left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>
        <w:trPr>
          <w:trHeight w:val="440" w:hRule="atLeast"/>
        </w:trPr>
        <w:tc>
          <w:tcPr>
            <w:tcW w:w="4818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Name: Simran Preet </w:t>
            </w:r>
            <w:r>
              <w:rPr>
                <w:spacing w:val="-2"/>
                <w:sz w:val="18"/>
              </w:rPr>
              <w:t>Singh</w:t>
            </w:r>
          </w:p>
        </w:tc>
        <w:tc>
          <w:tcPr>
            <w:tcW w:w="4820" w:type="dxa"/>
            <w:shd w:val="clear" w:color="auto" w:fill="F6F6F7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</w:tr>
      <w:tr>
        <w:trPr>
          <w:trHeight w:val="440" w:hRule="atLeast"/>
        </w:trPr>
        <w:tc>
          <w:tcPr>
            <w:tcW w:w="4818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Position: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Director</w:t>
            </w:r>
          </w:p>
        </w:tc>
        <w:tc>
          <w:tcPr>
            <w:tcW w:w="4820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Position:</w:t>
            </w:r>
          </w:p>
        </w:tc>
      </w:tr>
      <w:tr>
        <w:trPr>
          <w:trHeight w:val="440" w:hRule="atLeast"/>
        </w:trPr>
        <w:tc>
          <w:tcPr>
            <w:tcW w:w="4818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4820" w:type="dxa"/>
            <w:shd w:val="clear" w:color="auto" w:fill="F6F6F7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</w:tr>
    </w:tbl>
    <w:p>
      <w:pPr>
        <w:pStyle w:val="BodyText"/>
        <w:spacing w:before="71"/>
        <w:ind w:left="0"/>
        <w:rPr>
          <w:rFonts w:ascii="Century Gothic"/>
          <w:b/>
          <w:sz w:val="26"/>
        </w:rPr>
      </w:pPr>
    </w:p>
    <w:p>
      <w:pPr>
        <w:spacing w:before="0"/>
        <w:ind w:left="2" w:right="0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color w:val="696969"/>
          <w:w w:val="85"/>
          <w:sz w:val="19"/>
        </w:rPr>
        <w:t>Each</w:t>
      </w:r>
      <w:r>
        <w:rPr>
          <w:rFonts w:ascii="Verdana"/>
          <w:i/>
          <w:color w:val="696969"/>
          <w:spacing w:val="1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Operator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Principal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signs</w:t>
      </w:r>
      <w:r>
        <w:rPr>
          <w:rFonts w:ascii="Verdana"/>
          <w:i/>
          <w:color w:val="696969"/>
          <w:spacing w:val="1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to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confirm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their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personal</w:t>
      </w:r>
      <w:r>
        <w:rPr>
          <w:rFonts w:ascii="Verdana"/>
          <w:i/>
          <w:color w:val="696969"/>
          <w:spacing w:val="1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undertakings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under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clauses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2.5,</w:t>
      </w:r>
      <w:r>
        <w:rPr>
          <w:rFonts w:ascii="Verdana"/>
          <w:i/>
          <w:color w:val="696969"/>
          <w:spacing w:val="1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3,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7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and</w:t>
      </w:r>
      <w:r>
        <w:rPr>
          <w:rFonts w:ascii="Verdana"/>
          <w:i/>
          <w:color w:val="696969"/>
          <w:spacing w:val="1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9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w w:val="85"/>
          <w:sz w:val="19"/>
        </w:rPr>
        <w:t>to</w:t>
      </w:r>
      <w:r>
        <w:rPr>
          <w:rFonts w:ascii="Verdana"/>
          <w:i/>
          <w:color w:val="696969"/>
          <w:spacing w:val="2"/>
          <w:sz w:val="19"/>
        </w:rPr>
        <w:t> </w:t>
      </w:r>
      <w:r>
        <w:rPr>
          <w:rFonts w:ascii="Verdana"/>
          <w:i/>
          <w:color w:val="696969"/>
          <w:spacing w:val="-5"/>
          <w:w w:val="85"/>
          <w:sz w:val="19"/>
        </w:rPr>
        <w:t>14.</w:t>
      </w:r>
    </w:p>
    <w:p>
      <w:pPr>
        <w:pStyle w:val="BodyText"/>
        <w:spacing w:before="3"/>
        <w:ind w:left="0"/>
        <w:rPr>
          <w:rFonts w:ascii="Verdana"/>
          <w:i/>
          <w:sz w:val="11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8"/>
        <w:gridCol w:w="4820"/>
      </w:tblGrid>
      <w:tr>
        <w:trPr>
          <w:trHeight w:val="440" w:hRule="atLeast"/>
        </w:trPr>
        <w:tc>
          <w:tcPr>
            <w:tcW w:w="4818" w:type="dxa"/>
            <w:shd w:val="clear" w:color="auto" w:fill="0B0B0E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5"/>
                <w:sz w:val="18"/>
              </w:rPr>
              <w:t>Operator</w:t>
            </w:r>
            <w:r>
              <w:rPr>
                <w:rFonts w:ascii="Tahoma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2"/>
                <w:sz w:val="18"/>
              </w:rPr>
              <w:t>Principal</w:t>
            </w:r>
          </w:p>
        </w:tc>
        <w:tc>
          <w:tcPr>
            <w:tcW w:w="4820" w:type="dxa"/>
            <w:shd w:val="clear" w:color="auto" w:fill="0B0B0E"/>
          </w:tcPr>
          <w:p>
            <w:pPr>
              <w:pStyle w:val="TableParagraph"/>
              <w:spacing w:before="97"/>
              <w:ind w:left="11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5"/>
                <w:sz w:val="18"/>
              </w:rPr>
              <w:t>Operator</w:t>
            </w:r>
            <w:r>
              <w:rPr>
                <w:rFonts w:ascii="Tahoma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2"/>
                <w:sz w:val="18"/>
              </w:rPr>
              <w:t>Principal</w:t>
            </w:r>
          </w:p>
        </w:tc>
      </w:tr>
      <w:tr>
        <w:trPr>
          <w:trHeight w:val="440" w:hRule="atLeast"/>
        </w:trPr>
        <w:tc>
          <w:tcPr>
            <w:tcW w:w="4818" w:type="dxa"/>
          </w:tcPr>
          <w:p>
            <w:pPr>
              <w:pStyle w:val="TableParagraph"/>
              <w:tabs>
                <w:tab w:pos="3366" w:val="left" w:leader="none"/>
              </w:tabs>
              <w:ind w:left="110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4820" w:type="dxa"/>
          </w:tcPr>
          <w:p>
            <w:pPr>
              <w:pStyle w:val="TableParagraph"/>
              <w:tabs>
                <w:tab w:pos="3367" w:val="left" w:leader="none"/>
              </w:tabs>
              <w:ind w:left="112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>
        <w:trPr>
          <w:trHeight w:val="440" w:hRule="atLeast"/>
        </w:trPr>
        <w:tc>
          <w:tcPr>
            <w:tcW w:w="4818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  <w:tc>
          <w:tcPr>
            <w:tcW w:w="4820" w:type="dxa"/>
            <w:shd w:val="clear" w:color="auto" w:fill="F6F6F7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</w:p>
        </w:tc>
      </w:tr>
      <w:tr>
        <w:trPr>
          <w:trHeight w:val="440" w:hRule="atLeast"/>
        </w:trPr>
        <w:tc>
          <w:tcPr>
            <w:tcW w:w="4818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Position:</w:t>
            </w:r>
          </w:p>
        </w:tc>
        <w:tc>
          <w:tcPr>
            <w:tcW w:w="4820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Position:</w:t>
            </w:r>
          </w:p>
        </w:tc>
      </w:tr>
      <w:tr>
        <w:trPr>
          <w:trHeight w:val="440" w:hRule="atLeast"/>
        </w:trPr>
        <w:tc>
          <w:tcPr>
            <w:tcW w:w="4818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4820" w:type="dxa"/>
            <w:shd w:val="clear" w:color="auto" w:fill="F6F6F7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</w:tr>
    </w:tbl>
    <w:p>
      <w:pPr>
        <w:pStyle w:val="BodyText"/>
        <w:spacing w:before="166"/>
        <w:ind w:left="0"/>
        <w:rPr>
          <w:rFonts w:ascii="Verdana"/>
          <w:i/>
          <w:sz w:val="19"/>
        </w:rPr>
      </w:pPr>
    </w:p>
    <w:p>
      <w:pPr>
        <w:pStyle w:val="Heading1"/>
        <w:spacing w:after="70"/>
      </w:pPr>
      <w:bookmarkStart w:name="Schedule 1: Who does what" w:id="21"/>
      <w:bookmarkEnd w:id="21"/>
      <w:r>
        <w:rPr>
          <w:b w:val="0"/>
        </w:rPr>
      </w:r>
      <w:r>
        <w:rPr>
          <w:color w:val="0B0B0E"/>
          <w:w w:val="90"/>
        </w:rPr>
        <w:t>Schedule</w:t>
      </w:r>
      <w:r>
        <w:rPr>
          <w:color w:val="0B0B0E"/>
          <w:spacing w:val="-7"/>
          <w:w w:val="90"/>
        </w:rPr>
        <w:t> </w:t>
      </w:r>
      <w:r>
        <w:rPr>
          <w:color w:val="0B0B0E"/>
          <w:w w:val="90"/>
        </w:rPr>
        <w:t>1:</w:t>
      </w:r>
      <w:r>
        <w:rPr>
          <w:color w:val="0B0B0E"/>
          <w:spacing w:val="-7"/>
          <w:w w:val="90"/>
        </w:rPr>
        <w:t> </w:t>
      </w:r>
      <w:r>
        <w:rPr>
          <w:color w:val="0B0B0E"/>
          <w:w w:val="90"/>
        </w:rPr>
        <w:t>Who</w:t>
      </w:r>
      <w:r>
        <w:rPr>
          <w:color w:val="0B0B0E"/>
          <w:spacing w:val="-7"/>
          <w:w w:val="90"/>
        </w:rPr>
        <w:t> </w:t>
      </w:r>
      <w:r>
        <w:rPr>
          <w:color w:val="0B0B0E"/>
          <w:w w:val="90"/>
        </w:rPr>
        <w:t>does</w:t>
      </w:r>
      <w:r>
        <w:rPr>
          <w:color w:val="0B0B0E"/>
          <w:spacing w:val="-7"/>
          <w:w w:val="90"/>
        </w:rPr>
        <w:t> </w:t>
      </w:r>
      <w:r>
        <w:rPr>
          <w:color w:val="0B0B0E"/>
          <w:spacing w:val="-4"/>
          <w:w w:val="90"/>
        </w:rPr>
        <w:t>what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78" coordorigin="0,0" coordsize="9637,15">
                <v:shape style="position:absolute;left:0;top:7;width:9637;height:2" id="docshape79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Heading2"/>
        <w:spacing w:before="254"/>
      </w:pPr>
      <w:bookmarkStart w:name="Part A: PropertyFlow" w:id="22"/>
      <w:bookmarkEnd w:id="22"/>
      <w:r>
        <w:rPr>
          <w:b w:val="0"/>
        </w:rPr>
      </w:r>
      <w:r>
        <w:rPr>
          <w:color w:val="FF0256"/>
          <w:w w:val="105"/>
        </w:rPr>
        <w:t>Part</w:t>
      </w:r>
      <w:r>
        <w:rPr>
          <w:color w:val="FF0256"/>
          <w:spacing w:val="-16"/>
          <w:w w:val="105"/>
        </w:rPr>
        <w:t> </w:t>
      </w:r>
      <w:r>
        <w:rPr>
          <w:color w:val="FF0256"/>
          <w:w w:val="105"/>
        </w:rPr>
        <w:t>A:</w:t>
      </w:r>
      <w:r>
        <w:rPr>
          <w:color w:val="FF0256"/>
          <w:spacing w:val="-16"/>
          <w:w w:val="105"/>
        </w:rPr>
        <w:t> </w:t>
      </w:r>
      <w:r>
        <w:rPr>
          <w:color w:val="FF0256"/>
          <w:spacing w:val="-2"/>
          <w:w w:val="105"/>
        </w:rPr>
        <w:t>PropertyFlow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151" w:after="0"/>
        <w:ind w:left="543" w:right="369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Platform</w:t>
      </w:r>
      <w:r>
        <w:rPr>
          <w:rFonts w:ascii="Tahoma" w:hAnsi="Tahoma"/>
          <w:b/>
          <w:spacing w:val="-15"/>
          <w:sz w:val="20"/>
        </w:rPr>
        <w:t> </w:t>
      </w:r>
      <w:r>
        <w:rPr>
          <w:rFonts w:ascii="Tahoma" w:hAnsi="Tahoma"/>
          <w:b/>
          <w:sz w:val="20"/>
        </w:rPr>
        <w:t>and</w:t>
      </w:r>
      <w:r>
        <w:rPr>
          <w:rFonts w:ascii="Tahoma" w:hAnsi="Tahoma"/>
          <w:b/>
          <w:spacing w:val="-15"/>
          <w:sz w:val="20"/>
        </w:rPr>
        <w:t> </w:t>
      </w:r>
      <w:r>
        <w:rPr>
          <w:rFonts w:ascii="Tahoma" w:hAnsi="Tahoma"/>
          <w:b/>
          <w:sz w:val="20"/>
        </w:rPr>
        <w:t>listings:</w:t>
      </w:r>
      <w:r>
        <w:rPr>
          <w:rFonts w:ascii="Tahoma" w:hAnsi="Tahoma"/>
          <w:b/>
          <w:spacing w:val="-14"/>
          <w:sz w:val="20"/>
        </w:rPr>
        <w:t> </w:t>
      </w:r>
      <w:r>
        <w:rPr>
          <w:sz w:val="20"/>
        </w:rPr>
        <w:t>operator</w:t>
      </w:r>
      <w:r>
        <w:rPr>
          <w:spacing w:val="-13"/>
          <w:sz w:val="20"/>
        </w:rPr>
        <w:t> </w:t>
      </w:r>
      <w:r>
        <w:rPr>
          <w:sz w:val="20"/>
        </w:rPr>
        <w:t>portal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app,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training;</w:t>
      </w:r>
      <w:r>
        <w:rPr>
          <w:spacing w:val="-7"/>
          <w:sz w:val="20"/>
        </w:rPr>
        <w:t> </w:t>
      </w:r>
      <w:r>
        <w:rPr>
          <w:sz w:val="20"/>
        </w:rPr>
        <w:t>landlord</w:t>
      </w:r>
      <w:r>
        <w:rPr>
          <w:spacing w:val="-7"/>
          <w:sz w:val="20"/>
        </w:rPr>
        <w:t> </w:t>
      </w:r>
      <w:r>
        <w:rPr>
          <w:sz w:val="20"/>
        </w:rPr>
        <w:t>portal;</w:t>
      </w:r>
      <w:r>
        <w:rPr>
          <w:sz w:val="20"/>
        </w:rPr>
        <w:t> listings on every Booking Channel under PropertyFlow's accounts (or on the Landlord's </w:t>
      </w:r>
      <w:r>
        <w:rPr>
          <w:sz w:val="20"/>
        </w:rPr>
        <w:t>own</w:t>
      </w:r>
      <w:r>
        <w:rPr>
          <w:sz w:val="20"/>
        </w:rPr>
        <w:t> account with PropertyFlow as manager and sole payee where reviews are worth </w:t>
      </w:r>
      <w:r>
        <w:rPr>
          <w:sz w:val="20"/>
        </w:rPr>
        <w:t>keeping);</w:t>
      </w:r>
      <w:r>
        <w:rPr>
          <w:sz w:val="20"/>
        </w:rPr>
        <w:t> PropertyFlow's direct booking site; calendar sync; content and photography standards.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4" w:after="0"/>
        <w:ind w:left="543" w:right="211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Pricing:</w:t>
      </w:r>
      <w:r>
        <w:rPr>
          <w:rFonts w:ascii="Tahoma" w:hAnsi="Tahoma"/>
          <w:b/>
          <w:spacing w:val="-7"/>
          <w:sz w:val="20"/>
        </w:rPr>
        <w:t> </w:t>
      </w:r>
      <w:r>
        <w:rPr>
          <w:sz w:val="20"/>
        </w:rPr>
        <w:t>dynamic pricing and revenue management, including the guest cleaning fee, taking </w:t>
      </w:r>
      <w:r>
        <w:rPr>
          <w:sz w:val="20"/>
        </w:rPr>
        <w:t>the</w:t>
      </w:r>
      <w:r>
        <w:rPr>
          <w:sz w:val="20"/>
        </w:rPr>
        <w:t> Operator's local market intelligence into account.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7" w:after="0"/>
        <w:ind w:left="543" w:right="253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Guest communications: </w:t>
      </w:r>
      <w:r>
        <w:rPr>
          <w:sz w:val="20"/>
        </w:rPr>
        <w:t>pre-arrival,</w:t>
      </w:r>
      <w:r>
        <w:rPr>
          <w:spacing w:val="26"/>
          <w:sz w:val="20"/>
        </w:rPr>
        <w:t> </w:t>
      </w:r>
      <w:r>
        <w:rPr>
          <w:sz w:val="20"/>
        </w:rPr>
        <w:t>in-stay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post-stay</w:t>
      </w:r>
      <w:r>
        <w:rPr>
          <w:spacing w:val="26"/>
          <w:sz w:val="20"/>
        </w:rPr>
        <w:t> </w:t>
      </w:r>
      <w:r>
        <w:rPr>
          <w:sz w:val="20"/>
        </w:rPr>
        <w:t>messaging</w:t>
      </w:r>
      <w:r>
        <w:rPr>
          <w:spacing w:val="26"/>
          <w:sz w:val="20"/>
        </w:rPr>
        <w:t> </w:t>
      </w:r>
      <w:r>
        <w:rPr>
          <w:sz w:val="20"/>
        </w:rPr>
        <w:t>by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6"/>
          <w:sz w:val="20"/>
        </w:rPr>
        <w:t> </w:t>
      </w:r>
      <w:r>
        <w:rPr>
          <w:sz w:val="20"/>
        </w:rPr>
        <w:t>back</w:t>
      </w:r>
      <w:r>
        <w:rPr>
          <w:spacing w:val="26"/>
          <w:sz w:val="20"/>
        </w:rPr>
        <w:t> </w:t>
      </w:r>
      <w:r>
        <w:rPr>
          <w:sz w:val="20"/>
        </w:rPr>
        <w:t>office,</w:t>
      </w:r>
      <w:r>
        <w:rPr>
          <w:sz w:val="20"/>
        </w:rPr>
        <w:t> check-in instructions, 24/7 emergency line, reviews, and damage claims through each </w:t>
      </w:r>
      <w:r>
        <w:rPr>
          <w:sz w:val="20"/>
        </w:rPr>
        <w:t>Booking</w:t>
      </w:r>
      <w:r>
        <w:rPr>
          <w:sz w:val="20"/>
        </w:rPr>
        <w:t> Channel's own damage protection, filed and managed by the Portfolio Manager.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5" w:after="0"/>
        <w:ind w:left="543" w:right="153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Operations coordination: </w:t>
      </w:r>
      <w:r>
        <w:rPr>
          <w:sz w:val="20"/>
        </w:rPr>
        <w:t>scheduling of cleans and changeovers with Service Partners; </w:t>
      </w:r>
      <w:r>
        <w:rPr>
          <w:sz w:val="20"/>
        </w:rPr>
        <w:t>triage</w:t>
      </w:r>
      <w:r>
        <w:rPr>
          <w:sz w:val="20"/>
        </w:rPr>
        <w:t> and dispatch of maintenance to Maintenance Partners; call-outs; remote check-in (smart lock </w:t>
      </w:r>
      <w:r>
        <w:rPr>
          <w:sz w:val="20"/>
        </w:rPr>
        <w:t>or</w:t>
      </w:r>
      <w:r>
        <w:rPr>
          <w:sz w:val="20"/>
        </w:rPr>
        <w:t> key safe codes; hardware is a Landlord cost).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6" w:after="0"/>
        <w:ind w:left="543" w:right="161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Landlord</w:t>
      </w:r>
      <w:r>
        <w:rPr>
          <w:rFonts w:ascii="Tahoma" w:hAnsi="Tahoma"/>
          <w:b/>
          <w:spacing w:val="-10"/>
          <w:sz w:val="20"/>
        </w:rPr>
        <w:t> </w:t>
      </w:r>
      <w:r>
        <w:rPr>
          <w:rFonts w:ascii="Tahoma" w:hAnsi="Tahoma"/>
          <w:b/>
          <w:sz w:val="20"/>
        </w:rPr>
        <w:t>agreements</w:t>
      </w:r>
      <w:r>
        <w:rPr>
          <w:rFonts w:ascii="Tahoma" w:hAnsi="Tahoma"/>
          <w:b/>
          <w:spacing w:val="-10"/>
          <w:sz w:val="20"/>
        </w:rPr>
        <w:t> </w:t>
      </w:r>
      <w:r>
        <w:rPr>
          <w:rFonts w:ascii="Tahoma" w:hAnsi="Tahoma"/>
          <w:b/>
          <w:sz w:val="20"/>
        </w:rPr>
        <w:t>and</w:t>
      </w:r>
      <w:r>
        <w:rPr>
          <w:rFonts w:ascii="Tahoma" w:hAnsi="Tahoma"/>
          <w:b/>
          <w:spacing w:val="-10"/>
          <w:sz w:val="20"/>
        </w:rPr>
        <w:t> </w:t>
      </w:r>
      <w:r>
        <w:rPr>
          <w:rFonts w:ascii="Tahoma" w:hAnsi="Tahoma"/>
          <w:b/>
          <w:sz w:val="20"/>
        </w:rPr>
        <w:t>onboarding: </w:t>
      </w:r>
      <w:r>
        <w:rPr>
          <w:sz w:val="20"/>
        </w:rPr>
        <w:t>standard form on the Platform, electronic </w:t>
      </w:r>
      <w:r>
        <w:rPr>
          <w:sz w:val="20"/>
        </w:rPr>
        <w:t>signature,</w:t>
      </w:r>
      <w:r>
        <w:rPr>
          <w:sz w:val="20"/>
        </w:rPr>
        <w:t> countersignature within 1 Business Day of a complete Intake, identity and ownership </w:t>
      </w:r>
      <w:r>
        <w:rPr>
          <w:sz w:val="20"/>
        </w:rPr>
        <w:t>checks,</w:t>
      </w:r>
      <w:r>
        <w:rPr>
          <w:sz w:val="20"/>
        </w:rPr>
        <w:t> Register, landlord portal, renewals; the onboarding steps in Schedule 4 Part B; the Status </w:t>
      </w:r>
      <w:r>
        <w:rPr>
          <w:sz w:val="20"/>
        </w:rPr>
        <w:t>Report</w:t>
      </w:r>
      <w:r>
        <w:rPr>
          <w:sz w:val="20"/>
        </w:rPr>
        <w:t> at 2 Business Days; Go-live Sign-off.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4" w:after="0"/>
        <w:ind w:left="543" w:right="216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Licensing and compliance: </w:t>
      </w:r>
      <w:r>
        <w:rPr>
          <w:sz w:val="20"/>
        </w:rPr>
        <w:t>applications, tracker, expiry alerts and hosting blocks; </w:t>
      </w:r>
      <w:r>
        <w:rPr>
          <w:sz w:val="20"/>
        </w:rPr>
        <w:t>the</w:t>
      </w:r>
      <w:r>
        <w:rPr>
          <w:sz w:val="20"/>
        </w:rPr>
        <w:t> compliance register held by the Senior Operations Manager; certification instructed through </w:t>
      </w:r>
      <w:r>
        <w:rPr>
          <w:sz w:val="20"/>
        </w:rPr>
        <w:t>the</w:t>
      </w:r>
      <w:r>
        <w:rPr>
          <w:sz w:val="20"/>
        </w:rPr>
        <w:t> compliance providers; a Council Card for every council PropertyFlow operates in.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5" w:after="0"/>
        <w:ind w:left="543" w:right="246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Money: </w:t>
      </w:r>
      <w:r>
        <w:rPr>
          <w:sz w:val="20"/>
        </w:rPr>
        <w:t>Client Account and Client Ledgers; supplier payments under Schedule 2; </w:t>
      </w:r>
      <w:r>
        <w:rPr>
          <w:sz w:val="20"/>
        </w:rPr>
        <w:t>monthly</w:t>
      </w:r>
      <w:r>
        <w:rPr>
          <w:sz w:val="20"/>
        </w:rPr>
        <w:t> reconciliation and a single payout day within the first five Business Days of the following </w:t>
      </w:r>
      <w:r>
        <w:rPr>
          <w:sz w:val="20"/>
        </w:rPr>
        <w:t>month</w:t>
      </w:r>
      <w:r>
        <w:rPr>
          <w:sz w:val="20"/>
        </w:rPr>
        <w:t> (fee sweep, Landlord payouts and Statements, Operator Statement and self-billed Comm</w:t>
      </w:r>
      <w:r>
        <w:rPr>
          <w:sz w:val="20"/>
        </w:rPr>
        <w:t>ission</w:t>
      </w:r>
      <w:r>
        <w:rPr>
          <w:sz w:val="20"/>
        </w:rPr>
        <w:t> together); Tourist Tax collection and remittance as agent; Operating Advances.</w:t>
      </w:r>
    </w:p>
    <w:p>
      <w:pPr>
        <w:pStyle w:val="ListParagraph"/>
        <w:spacing w:after="0" w:line="187" w:lineRule="auto"/>
        <w:jc w:val="left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164" w:after="0"/>
        <w:ind w:left="543" w:right="425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Portfolio</w:t>
      </w:r>
      <w:r>
        <w:rPr>
          <w:rFonts w:ascii="Tahoma" w:hAnsi="Tahoma"/>
          <w:b/>
          <w:spacing w:val="-12"/>
          <w:sz w:val="20"/>
        </w:rPr>
        <w:t> </w:t>
      </w:r>
      <w:r>
        <w:rPr>
          <w:rFonts w:ascii="Tahoma" w:hAnsi="Tahoma"/>
          <w:b/>
          <w:sz w:val="20"/>
        </w:rPr>
        <w:t>Manager:</w:t>
      </w:r>
      <w:r>
        <w:rPr>
          <w:rFonts w:ascii="Tahoma" w:hAnsi="Tahoma"/>
          <w:b/>
          <w:spacing w:val="-1"/>
          <w:sz w:val="20"/>
        </w:rPr>
        <w:t> </w:t>
      </w:r>
      <w:r>
        <w:rPr>
          <w:sz w:val="20"/>
        </w:rPr>
        <w:t>named contact, monthly performance report, 30 days' notice of change</w:t>
      </w:r>
      <w:r>
        <w:rPr>
          <w:sz w:val="20"/>
        </w:rPr>
        <w:t>s,</w:t>
      </w:r>
      <w:r>
        <w:rPr>
          <w:sz w:val="20"/>
        </w:rPr>
        <w:t> approved sales materials, pricing, comparables and co-branded collateral.</w:t>
      </w:r>
    </w:p>
    <w:p>
      <w:pPr>
        <w:pStyle w:val="Heading2"/>
        <w:spacing w:before="234"/>
      </w:pPr>
      <w:bookmarkStart w:name="Part B: Operator" w:id="23"/>
      <w:bookmarkEnd w:id="23"/>
      <w:r>
        <w:rPr>
          <w:b w:val="0"/>
        </w:rPr>
      </w:r>
      <w:r>
        <w:rPr>
          <w:color w:val="FF0256"/>
          <w:w w:val="105"/>
        </w:rPr>
        <w:t>Part</w:t>
      </w:r>
      <w:r>
        <w:rPr>
          <w:color w:val="FF0256"/>
          <w:spacing w:val="-7"/>
          <w:w w:val="105"/>
        </w:rPr>
        <w:t> </w:t>
      </w:r>
      <w:r>
        <w:rPr>
          <w:color w:val="FF0256"/>
          <w:w w:val="105"/>
        </w:rPr>
        <w:t>B:</w:t>
      </w:r>
      <w:r>
        <w:rPr>
          <w:color w:val="FF0256"/>
          <w:spacing w:val="-6"/>
          <w:w w:val="105"/>
        </w:rPr>
        <w:t> </w:t>
      </w:r>
      <w:r>
        <w:rPr>
          <w:color w:val="FF0256"/>
          <w:spacing w:val="-2"/>
          <w:w w:val="105"/>
        </w:rPr>
        <w:t>Operator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150" w:after="0"/>
        <w:ind w:left="543" w:right="479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Prospecting:</w:t>
      </w:r>
      <w:r>
        <w:rPr>
          <w:rFonts w:ascii="Tahoma" w:hAnsi="Tahoma"/>
          <w:b/>
          <w:spacing w:val="-5"/>
          <w:sz w:val="20"/>
        </w:rPr>
        <w:t> </w:t>
      </w:r>
      <w:r>
        <w:rPr>
          <w:sz w:val="20"/>
        </w:rPr>
        <w:t>identify and approach Landlords in the Territory; outreach; pipeline kept on </w:t>
      </w:r>
      <w:r>
        <w:rPr>
          <w:sz w:val="20"/>
        </w:rPr>
        <w:t>the</w:t>
      </w:r>
      <w:r>
        <w:rPr>
          <w:sz w:val="20"/>
        </w:rPr>
        <w:t> Platform; industry and networking events.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7" w:after="0"/>
        <w:ind w:left="543" w:right="374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Qualification:</w:t>
      </w:r>
      <w:r>
        <w:rPr>
          <w:rFonts w:ascii="Tahoma" w:hAnsi="Tahoma"/>
          <w:b/>
          <w:spacing w:val="-2"/>
          <w:sz w:val="20"/>
        </w:rPr>
        <w:t> </w:t>
      </w:r>
      <w:r>
        <w:rPr>
          <w:sz w:val="20"/>
        </w:rPr>
        <w:t>discovery calls; property standard and Landlord expectations; the Intake on </w:t>
      </w:r>
      <w:r>
        <w:rPr>
          <w:sz w:val="20"/>
        </w:rPr>
        <w:t>the</w:t>
      </w:r>
      <w:r>
        <w:rPr>
          <w:sz w:val="20"/>
        </w:rPr>
        <w:t> Platform, including the property's planning and licensing position against the Council Card.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7" w:after="0"/>
        <w:ind w:left="543" w:right="260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Closing:</w:t>
      </w:r>
      <w:r>
        <w:rPr>
          <w:rFonts w:ascii="Tahoma" w:hAnsi="Tahoma"/>
          <w:b/>
          <w:spacing w:val="-7"/>
          <w:sz w:val="20"/>
        </w:rPr>
        <w:t> </w:t>
      </w:r>
      <w:r>
        <w:rPr>
          <w:sz w:val="20"/>
        </w:rPr>
        <w:t>pitch with approved materials; agree the Management Fee within the permitted range</w:t>
      </w:r>
      <w:r>
        <w:rPr>
          <w:sz w:val="20"/>
        </w:rPr>
        <w:t>;</w:t>
      </w:r>
      <w:r>
        <w:rPr>
          <w:sz w:val="20"/>
        </w:rPr>
        <w:t> initiate the Landlord Agreement from the Platform in the meeting; the Landlord signs on </w:t>
      </w:r>
      <w:r>
        <w:rPr>
          <w:sz w:val="20"/>
        </w:rPr>
        <w:t>the</w:t>
      </w:r>
      <w:r>
        <w:rPr>
          <w:sz w:val="20"/>
        </w:rPr>
        <w:t> Landlord's own device.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6" w:after="0"/>
        <w:ind w:left="543" w:right="483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Onboarding</w:t>
      </w:r>
      <w:r>
        <w:rPr>
          <w:rFonts w:ascii="Tahoma" w:hAnsi="Tahoma"/>
          <w:b/>
          <w:spacing w:val="-12"/>
          <w:sz w:val="20"/>
        </w:rPr>
        <w:t> </w:t>
      </w:r>
      <w:r>
        <w:rPr>
          <w:rFonts w:ascii="Tahoma" w:hAnsi="Tahoma"/>
          <w:b/>
          <w:sz w:val="20"/>
        </w:rPr>
        <w:t>liaison: </w:t>
      </w:r>
      <w:r>
        <w:rPr>
          <w:sz w:val="20"/>
        </w:rPr>
        <w:t>ensure the Landlord completes the Onboarding stage on the </w:t>
      </w:r>
      <w:r>
        <w:rPr>
          <w:sz w:val="20"/>
        </w:rPr>
        <w:t>landlord</w:t>
      </w:r>
      <w:r>
        <w:rPr>
          <w:sz w:val="20"/>
        </w:rPr>
        <w:t> portal; coordinate the Landlord's access for photography, certification and inspection; </w:t>
      </w:r>
      <w:r>
        <w:rPr>
          <w:sz w:val="20"/>
        </w:rPr>
        <w:t>chase</w:t>
      </w:r>
      <w:r>
        <w:rPr>
          <w:sz w:val="20"/>
        </w:rPr>
        <w:t> any missing item.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5" w:after="0"/>
        <w:ind w:left="543" w:right="847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Relationship: </w:t>
      </w:r>
      <w:r>
        <w:rPr>
          <w:sz w:val="20"/>
        </w:rPr>
        <w:t>day-to-day Landlord contact on PropertyFlow's behalf; quarterly check-</w:t>
      </w:r>
      <w:r>
        <w:rPr>
          <w:sz w:val="20"/>
        </w:rPr>
        <w:t>in;</w:t>
      </w:r>
      <w:r>
        <w:rPr>
          <w:sz w:val="20"/>
        </w:rPr>
        <w:t> retention; further properties; everything operational, financial or contractual routed </w:t>
      </w:r>
      <w:r>
        <w:rPr>
          <w:sz w:val="20"/>
        </w:rPr>
        <w:t>to</w:t>
      </w:r>
      <w:r>
        <w:rPr>
          <w:sz w:val="20"/>
        </w:rPr>
        <w:t> PropertyFlow; communications logged.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6" w:after="0"/>
        <w:ind w:left="543" w:right="311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Market</w:t>
      </w:r>
      <w:r>
        <w:rPr>
          <w:rFonts w:ascii="Tahoma" w:hAnsi="Tahoma"/>
          <w:b/>
          <w:spacing w:val="-14"/>
          <w:sz w:val="20"/>
        </w:rPr>
        <w:t> </w:t>
      </w:r>
      <w:r>
        <w:rPr>
          <w:rFonts w:ascii="Tahoma" w:hAnsi="Tahoma"/>
          <w:b/>
          <w:sz w:val="20"/>
        </w:rPr>
        <w:t>intelligence:</w:t>
      </w:r>
      <w:r>
        <w:rPr>
          <w:rFonts w:ascii="Tahoma" w:hAnsi="Tahoma"/>
          <w:b/>
          <w:spacing w:val="-2"/>
          <w:sz w:val="20"/>
        </w:rPr>
        <w:t> </w:t>
      </w:r>
      <w:r>
        <w:rPr>
          <w:sz w:val="20"/>
        </w:rPr>
        <w:t>comparables, pricing feedback, competitor activity, local events; </w:t>
      </w:r>
      <w:r>
        <w:rPr>
          <w:sz w:val="20"/>
        </w:rPr>
        <w:t>optional</w:t>
      </w:r>
      <w:r>
        <w:rPr>
          <w:sz w:val="20"/>
        </w:rPr>
        <w:t> introductions of local providers, who contract with PropertyFlow.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77" w:after="0"/>
        <w:ind w:left="543" w:right="466" w:hanging="300"/>
        <w:jc w:val="left"/>
        <w:rPr>
          <w:sz w:val="20"/>
        </w:rPr>
      </w:pPr>
      <w:r>
        <w:rPr>
          <w:rFonts w:ascii="Tahoma" w:hAnsi="Tahoma"/>
          <w:b/>
          <w:sz w:val="20"/>
        </w:rPr>
        <w:t>Brand</w:t>
      </w:r>
      <w:r>
        <w:rPr>
          <w:rFonts w:ascii="Tahoma" w:hAnsi="Tahoma"/>
          <w:b/>
          <w:spacing w:val="-13"/>
          <w:sz w:val="20"/>
        </w:rPr>
        <w:t> </w:t>
      </w:r>
      <w:r>
        <w:rPr>
          <w:rFonts w:ascii="Tahoma" w:hAnsi="Tahoma"/>
          <w:b/>
          <w:sz w:val="20"/>
        </w:rPr>
        <w:t>and</w:t>
      </w:r>
      <w:r>
        <w:rPr>
          <w:rFonts w:ascii="Tahoma" w:hAnsi="Tahoma"/>
          <w:b/>
          <w:spacing w:val="-13"/>
          <w:sz w:val="20"/>
        </w:rPr>
        <w:t> </w:t>
      </w:r>
      <w:r>
        <w:rPr>
          <w:rFonts w:ascii="Tahoma" w:hAnsi="Tahoma"/>
          <w:b/>
          <w:sz w:val="20"/>
        </w:rPr>
        <w:t>reporting:</w:t>
      </w:r>
      <w:r>
        <w:rPr>
          <w:rFonts w:ascii="Tahoma" w:hAnsi="Tahoma"/>
          <w:b/>
          <w:spacing w:val="-1"/>
          <w:sz w:val="20"/>
        </w:rPr>
        <w:t> </w:t>
      </w:r>
      <w:r>
        <w:rPr>
          <w:sz w:val="20"/>
        </w:rPr>
        <w:t>"PropertyFlow Verified Partner" association under Schedule 5; </w:t>
      </w:r>
      <w:r>
        <w:rPr>
          <w:sz w:val="20"/>
        </w:rPr>
        <w:t>pipeline</w:t>
      </w:r>
      <w:r>
        <w:rPr>
          <w:sz w:val="20"/>
        </w:rPr>
        <w:t> kept current on the Platform; same-day escalation.</w:t>
      </w:r>
    </w:p>
    <w:p>
      <w:pPr>
        <w:pStyle w:val="Heading2"/>
        <w:spacing w:before="234"/>
      </w:pPr>
      <w:bookmarkStart w:name="Part C: Service Partners, Maintenance Pa" w:id="24"/>
      <w:bookmarkEnd w:id="24"/>
      <w:r>
        <w:rPr>
          <w:b w:val="0"/>
        </w:rPr>
      </w:r>
      <w:r>
        <w:rPr>
          <w:color w:val="FF0256"/>
          <w:spacing w:val="-4"/>
        </w:rPr>
        <w:t>Part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C: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Service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Partners,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Maintenance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Partners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and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compliance</w:t>
      </w:r>
      <w:r>
        <w:rPr>
          <w:color w:val="FF0256"/>
          <w:spacing w:val="-19"/>
        </w:rPr>
        <w:t> </w:t>
      </w:r>
      <w:r>
        <w:rPr>
          <w:color w:val="FF0256"/>
          <w:spacing w:val="-4"/>
        </w:rPr>
        <w:t>providers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150" w:after="0"/>
        <w:ind w:left="543" w:right="172" w:hanging="300"/>
        <w:jc w:val="left"/>
        <w:rPr>
          <w:sz w:val="20"/>
        </w:rPr>
      </w:pPr>
      <w:r>
        <w:rPr>
          <w:sz w:val="20"/>
        </w:rPr>
        <w:t>Cleans,</w:t>
      </w:r>
      <w:r>
        <w:rPr>
          <w:spacing w:val="34"/>
          <w:sz w:val="20"/>
        </w:rPr>
        <w:t> </w:t>
      </w:r>
      <w:r>
        <w:rPr>
          <w:sz w:val="20"/>
        </w:rPr>
        <w:t>changeovers,</w:t>
      </w:r>
      <w:r>
        <w:rPr>
          <w:spacing w:val="34"/>
          <w:sz w:val="20"/>
        </w:rPr>
        <w:t> </w:t>
      </w:r>
      <w:r>
        <w:rPr>
          <w:sz w:val="20"/>
        </w:rPr>
        <w:t>linen,</w:t>
      </w:r>
      <w:r>
        <w:rPr>
          <w:spacing w:val="34"/>
          <w:sz w:val="20"/>
        </w:rPr>
        <w:t> </w:t>
      </w:r>
      <w:r>
        <w:rPr>
          <w:sz w:val="20"/>
        </w:rPr>
        <w:t>consumable</w:t>
      </w:r>
      <w:r>
        <w:rPr>
          <w:spacing w:val="34"/>
          <w:sz w:val="20"/>
        </w:rPr>
        <w:t> </w:t>
      </w:r>
      <w:r>
        <w:rPr>
          <w:sz w:val="20"/>
        </w:rPr>
        <w:t>restock,</w:t>
      </w:r>
      <w:r>
        <w:rPr>
          <w:spacing w:val="34"/>
          <w:sz w:val="20"/>
        </w:rPr>
        <w:t> </w:t>
      </w:r>
      <w:r>
        <w:rPr>
          <w:sz w:val="20"/>
        </w:rPr>
        <w:t>post-clean</w:t>
      </w:r>
      <w:r>
        <w:rPr>
          <w:spacing w:val="34"/>
          <w:sz w:val="20"/>
        </w:rPr>
        <w:t> </w:t>
      </w:r>
      <w:r>
        <w:rPr>
          <w:sz w:val="20"/>
        </w:rPr>
        <w:t>photo</w:t>
      </w:r>
      <w:r>
        <w:rPr>
          <w:spacing w:val="34"/>
          <w:sz w:val="20"/>
        </w:rPr>
        <w:t> </w:t>
      </w:r>
      <w:r>
        <w:rPr>
          <w:sz w:val="20"/>
        </w:rPr>
        <w:t>report,</w:t>
      </w:r>
      <w:r>
        <w:rPr>
          <w:spacing w:val="34"/>
          <w:sz w:val="20"/>
        </w:rPr>
        <w:t> </w:t>
      </w:r>
      <w:r>
        <w:rPr>
          <w:sz w:val="20"/>
        </w:rPr>
        <w:t>maintenance</w:t>
      </w:r>
      <w:r>
        <w:rPr>
          <w:spacing w:val="34"/>
          <w:sz w:val="20"/>
        </w:rPr>
        <w:t> </w:t>
      </w:r>
      <w:r>
        <w:rPr>
          <w:sz w:val="20"/>
        </w:rPr>
        <w:t>flags</w:t>
      </w:r>
      <w:r>
        <w:rPr>
          <w:sz w:val="20"/>
        </w:rPr>
        <w:t> and periodic inspection (Service Partners); reactive and emergency call-outs, quotes and </w:t>
      </w:r>
      <w:r>
        <w:rPr>
          <w:sz w:val="20"/>
        </w:rPr>
        <w:t>works</w:t>
      </w:r>
      <w:r>
        <w:rPr>
          <w:sz w:val="20"/>
        </w:rPr>
        <w:t> (Maintenance Partners); certificates and safety works (compliance providers). All are </w:t>
      </w:r>
      <w:r>
        <w:rPr>
          <w:sz w:val="20"/>
        </w:rPr>
        <w:t>Landlord</w:t>
      </w:r>
      <w:r>
        <w:rPr>
          <w:sz w:val="20"/>
        </w:rPr>
        <w:t> costs,</w:t>
      </w:r>
      <w:r>
        <w:rPr>
          <w:spacing w:val="23"/>
          <w:sz w:val="20"/>
        </w:rPr>
        <w:t> </w:t>
      </w:r>
      <w:r>
        <w:rPr>
          <w:sz w:val="20"/>
        </w:rPr>
        <w:t>contracted</w:t>
      </w:r>
      <w:r>
        <w:rPr>
          <w:spacing w:val="23"/>
          <w:sz w:val="20"/>
        </w:rPr>
        <w:t> </w:t>
      </w:r>
      <w:r>
        <w:rPr>
          <w:sz w:val="20"/>
        </w:rPr>
        <w:t>by</w:t>
      </w:r>
      <w:r>
        <w:rPr>
          <w:spacing w:val="23"/>
          <w:sz w:val="20"/>
        </w:rPr>
        <w:t> </w:t>
      </w:r>
      <w:r>
        <w:rPr>
          <w:sz w:val="20"/>
        </w:rPr>
        <w:t>PropertyFlow</w:t>
      </w:r>
      <w:r>
        <w:rPr>
          <w:spacing w:val="23"/>
          <w:sz w:val="20"/>
        </w:rPr>
        <w:t> </w:t>
      </w:r>
      <w:r>
        <w:rPr>
          <w:sz w:val="20"/>
        </w:rPr>
        <w:t>as</w:t>
      </w:r>
      <w:r>
        <w:rPr>
          <w:spacing w:val="23"/>
          <w:sz w:val="20"/>
        </w:rPr>
        <w:t> </w:t>
      </w:r>
      <w:r>
        <w:rPr>
          <w:sz w:val="20"/>
        </w:rPr>
        <w:t>agent</w:t>
      </w:r>
      <w:r>
        <w:rPr>
          <w:spacing w:val="23"/>
          <w:sz w:val="20"/>
        </w:rPr>
        <w:t> </w:t>
      </w:r>
      <w:r>
        <w:rPr>
          <w:sz w:val="20"/>
        </w:rPr>
        <w:t>under</w:t>
      </w:r>
      <w:r>
        <w:rPr>
          <w:spacing w:val="23"/>
          <w:sz w:val="20"/>
        </w:rPr>
        <w:t> </w:t>
      </w:r>
      <w:r>
        <w:rPr>
          <w:sz w:val="20"/>
        </w:rPr>
        <w:t>Service</w:t>
      </w:r>
      <w:r>
        <w:rPr>
          <w:spacing w:val="23"/>
          <w:sz w:val="20"/>
        </w:rPr>
        <w:t> </w:t>
      </w:r>
      <w:r>
        <w:rPr>
          <w:sz w:val="20"/>
        </w:rPr>
        <w:t>Partner</w:t>
      </w:r>
      <w:r>
        <w:rPr>
          <w:spacing w:val="23"/>
          <w:sz w:val="20"/>
        </w:rPr>
        <w:t> </w:t>
      </w:r>
      <w:r>
        <w:rPr>
          <w:sz w:val="20"/>
        </w:rPr>
        <w:t>Agreements</w:t>
      </w:r>
      <w:r>
        <w:rPr>
          <w:spacing w:val="23"/>
          <w:sz w:val="20"/>
        </w:rPr>
        <w:t> </w:t>
      </w:r>
      <w:r>
        <w:rPr>
          <w:sz w:val="20"/>
        </w:rPr>
        <w:t>and</w:t>
      </w:r>
      <w:r>
        <w:rPr>
          <w:spacing w:val="23"/>
          <w:sz w:val="20"/>
        </w:rPr>
        <w:t> </w:t>
      </w:r>
      <w:r>
        <w:rPr>
          <w:sz w:val="20"/>
        </w:rPr>
        <w:t>paid</w:t>
      </w:r>
      <w:r>
        <w:rPr>
          <w:spacing w:val="23"/>
          <w:sz w:val="20"/>
        </w:rPr>
        <w:t> </w:t>
      </w:r>
      <w:r>
        <w:rPr>
          <w:sz w:val="20"/>
        </w:rPr>
        <w:t>from</w:t>
      </w:r>
      <w:r>
        <w:rPr>
          <w:sz w:val="20"/>
        </w:rPr>
        <w:t> the Client Ledger. Every task that needs someone at the property is a paid call-out, never </w:t>
      </w:r>
      <w:r>
        <w:rPr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Operator.</w:t>
      </w:r>
    </w:p>
    <w:p>
      <w:pPr>
        <w:pStyle w:val="Heading2"/>
        <w:spacing w:before="228"/>
      </w:pPr>
      <w:bookmarkStart w:name="Part D: Landlord (under the Landlord Agr" w:id="25"/>
      <w:bookmarkEnd w:id="25"/>
      <w:r>
        <w:rPr>
          <w:b w:val="0"/>
        </w:rPr>
      </w:r>
      <w:r>
        <w:rPr>
          <w:color w:val="FF0256"/>
          <w:spacing w:val="-2"/>
        </w:rPr>
        <w:t>Part</w:t>
      </w:r>
      <w:r>
        <w:rPr>
          <w:color w:val="FF0256"/>
          <w:spacing w:val="-12"/>
        </w:rPr>
        <w:t> </w:t>
      </w:r>
      <w:r>
        <w:rPr>
          <w:color w:val="FF0256"/>
          <w:spacing w:val="-2"/>
        </w:rPr>
        <w:t>D:</w:t>
      </w:r>
      <w:r>
        <w:rPr>
          <w:color w:val="FF0256"/>
          <w:spacing w:val="-12"/>
        </w:rPr>
        <w:t> </w:t>
      </w:r>
      <w:r>
        <w:rPr>
          <w:color w:val="FF0256"/>
          <w:spacing w:val="-2"/>
        </w:rPr>
        <w:t>Landlord</w:t>
      </w:r>
      <w:r>
        <w:rPr>
          <w:color w:val="FF0256"/>
          <w:spacing w:val="-12"/>
        </w:rPr>
        <w:t> </w:t>
      </w:r>
      <w:r>
        <w:rPr>
          <w:color w:val="FF0256"/>
          <w:spacing w:val="-2"/>
        </w:rPr>
        <w:t>(under</w:t>
      </w:r>
      <w:r>
        <w:rPr>
          <w:color w:val="FF0256"/>
          <w:spacing w:val="-12"/>
        </w:rPr>
        <w:t> </w:t>
      </w:r>
      <w:r>
        <w:rPr>
          <w:color w:val="FF0256"/>
          <w:spacing w:val="-2"/>
        </w:rPr>
        <w:t>the</w:t>
      </w:r>
      <w:r>
        <w:rPr>
          <w:color w:val="FF0256"/>
          <w:spacing w:val="-12"/>
        </w:rPr>
        <w:t> </w:t>
      </w:r>
      <w:r>
        <w:rPr>
          <w:color w:val="FF0256"/>
          <w:spacing w:val="-2"/>
        </w:rPr>
        <w:t>Landlord</w:t>
      </w:r>
      <w:r>
        <w:rPr>
          <w:color w:val="FF0256"/>
          <w:spacing w:val="-11"/>
        </w:rPr>
        <w:t> </w:t>
      </w:r>
      <w:r>
        <w:rPr>
          <w:color w:val="FF0256"/>
          <w:spacing w:val="-2"/>
        </w:rPr>
        <w:t>Agreement)</w:t>
      </w:r>
    </w:p>
    <w:p>
      <w:pPr>
        <w:pStyle w:val="ListParagraph"/>
        <w:numPr>
          <w:ilvl w:val="2"/>
          <w:numId w:val="5"/>
        </w:numPr>
        <w:tabs>
          <w:tab w:pos="543" w:val="left" w:leader="none"/>
        </w:tabs>
        <w:spacing w:line="187" w:lineRule="auto" w:before="151" w:after="0"/>
        <w:ind w:left="543" w:right="151" w:hanging="300"/>
        <w:jc w:val="left"/>
        <w:rPr>
          <w:sz w:val="20"/>
        </w:rPr>
      </w:pPr>
      <w:r>
        <w:rPr>
          <w:sz w:val="20"/>
        </w:rPr>
        <w:t>Title and consents; planning position; Licence, certification and safety-work costs under </w:t>
      </w:r>
      <w:r>
        <w:rPr>
          <w:sz w:val="20"/>
        </w:rPr>
        <w:t>the</w:t>
      </w:r>
      <w:r>
        <w:rPr>
          <w:sz w:val="20"/>
        </w:rPr>
        <w:t> standing</w:t>
      </w:r>
      <w:r>
        <w:rPr>
          <w:spacing w:val="-5"/>
          <w:sz w:val="20"/>
        </w:rPr>
        <w:t> </w:t>
      </w:r>
      <w:r>
        <w:rPr>
          <w:sz w:val="20"/>
        </w:rPr>
        <w:t>approval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Landlord</w:t>
      </w:r>
      <w:r>
        <w:rPr>
          <w:spacing w:val="-5"/>
          <w:sz w:val="20"/>
        </w:rPr>
        <w:t> </w:t>
      </w:r>
      <w:r>
        <w:rPr>
          <w:sz w:val="20"/>
        </w:rPr>
        <w:t>Agreement;</w:t>
      </w:r>
      <w:r>
        <w:rPr>
          <w:spacing w:val="-5"/>
          <w:sz w:val="20"/>
        </w:rPr>
        <w:t> </w:t>
      </w:r>
      <w:r>
        <w:rPr>
          <w:sz w:val="20"/>
        </w:rPr>
        <w:t>insurance</w:t>
      </w:r>
      <w:r>
        <w:rPr>
          <w:spacing w:val="-5"/>
          <w:sz w:val="20"/>
        </w:rPr>
        <w:t> </w:t>
      </w:r>
      <w:r>
        <w:rPr>
          <w:sz w:val="20"/>
        </w:rPr>
        <w:t>permitting</w:t>
      </w:r>
      <w:r>
        <w:rPr>
          <w:spacing w:val="-6"/>
          <w:sz w:val="20"/>
        </w:rPr>
        <w:t> </w:t>
      </w:r>
      <w:r>
        <w:rPr>
          <w:sz w:val="20"/>
        </w:rPr>
        <w:t>short-term</w:t>
      </w:r>
      <w:r>
        <w:rPr>
          <w:spacing w:val="-5"/>
          <w:sz w:val="20"/>
        </w:rPr>
        <w:t> </w:t>
      </w:r>
      <w:r>
        <w:rPr>
          <w:sz w:val="20"/>
        </w:rPr>
        <w:t>letting;</w:t>
      </w:r>
      <w:r>
        <w:rPr>
          <w:spacing w:val="-5"/>
          <w:sz w:val="20"/>
        </w:rPr>
        <w:t> </w:t>
      </w:r>
      <w:r>
        <w:rPr>
          <w:sz w:val="20"/>
        </w:rPr>
        <w:t>furnishing</w:t>
      </w:r>
      <w:r>
        <w:rPr>
          <w:sz w:val="20"/>
        </w:rPr>
        <w:t> standard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hardware;</w:t>
      </w:r>
      <w:r>
        <w:rPr>
          <w:spacing w:val="24"/>
          <w:sz w:val="20"/>
        </w:rPr>
        <w:t> </w:t>
      </w:r>
      <w:r>
        <w:rPr>
          <w:sz w:val="20"/>
        </w:rPr>
        <w:t>access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timely</w:t>
      </w:r>
      <w:r>
        <w:rPr>
          <w:spacing w:val="24"/>
          <w:sz w:val="20"/>
        </w:rPr>
        <w:t> </w:t>
      </w:r>
      <w:r>
        <w:rPr>
          <w:sz w:val="20"/>
        </w:rPr>
        <w:t>decisions;</w:t>
      </w:r>
      <w:r>
        <w:rPr>
          <w:spacing w:val="24"/>
          <w:sz w:val="20"/>
        </w:rPr>
        <w:t> </w:t>
      </w:r>
      <w:r>
        <w:rPr>
          <w:sz w:val="20"/>
        </w:rPr>
        <w:t>documents,</w:t>
      </w:r>
      <w:r>
        <w:rPr>
          <w:spacing w:val="24"/>
          <w:sz w:val="20"/>
        </w:rPr>
        <w:t> </w:t>
      </w:r>
      <w:r>
        <w:rPr>
          <w:sz w:val="20"/>
        </w:rPr>
        <w:t>bank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tax</w:t>
      </w:r>
      <w:r>
        <w:rPr>
          <w:spacing w:val="24"/>
          <w:sz w:val="20"/>
        </w:rPr>
        <w:t> </w:t>
      </w:r>
      <w:r>
        <w:rPr>
          <w:sz w:val="20"/>
        </w:rPr>
        <w:t>details</w:t>
      </w:r>
      <w:r>
        <w:rPr>
          <w:spacing w:val="24"/>
          <w:sz w:val="20"/>
        </w:rPr>
        <w:t> </w:t>
      </w:r>
      <w:r>
        <w:rPr>
          <w:sz w:val="20"/>
        </w:rPr>
        <w:t>e</w:t>
      </w:r>
      <w:r>
        <w:rPr>
          <w:sz w:val="20"/>
        </w:rPr>
        <w:t>ntered</w:t>
      </w:r>
      <w:r>
        <w:rPr>
          <w:sz w:val="20"/>
        </w:rPr>
        <w:t> on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landlord</w:t>
      </w:r>
      <w:r>
        <w:rPr>
          <w:spacing w:val="18"/>
          <w:sz w:val="20"/>
        </w:rPr>
        <w:t> </w:t>
      </w:r>
      <w:r>
        <w:rPr>
          <w:sz w:val="20"/>
        </w:rPr>
        <w:t>portal;</w:t>
      </w:r>
      <w:r>
        <w:rPr>
          <w:spacing w:val="18"/>
          <w:sz w:val="20"/>
        </w:rPr>
        <w:t> </w:t>
      </w:r>
      <w:r>
        <w:rPr>
          <w:sz w:val="20"/>
        </w:rPr>
        <w:t>own</w:t>
      </w:r>
      <w:r>
        <w:rPr>
          <w:spacing w:val="18"/>
          <w:sz w:val="20"/>
        </w:rPr>
        <w:t> </w:t>
      </w:r>
      <w:r>
        <w:rPr>
          <w:sz w:val="20"/>
        </w:rPr>
        <w:t>taxes;</w:t>
      </w:r>
      <w:r>
        <w:rPr>
          <w:spacing w:val="18"/>
          <w:sz w:val="20"/>
        </w:rPr>
        <w:t> </w:t>
      </w:r>
      <w:r>
        <w:rPr>
          <w:sz w:val="20"/>
        </w:rPr>
        <w:t>Tourist</w:t>
      </w:r>
      <w:r>
        <w:rPr>
          <w:spacing w:val="18"/>
          <w:sz w:val="20"/>
        </w:rPr>
        <w:t> </w:t>
      </w:r>
      <w:r>
        <w:rPr>
          <w:sz w:val="20"/>
        </w:rPr>
        <w:t>Tax</w:t>
      </w:r>
      <w:r>
        <w:rPr>
          <w:spacing w:val="18"/>
          <w:sz w:val="20"/>
        </w:rPr>
        <w:t> </w:t>
      </w:r>
      <w:r>
        <w:rPr>
          <w:sz w:val="20"/>
        </w:rPr>
        <w:t>as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Landlord</w:t>
      </w:r>
      <w:r>
        <w:rPr>
          <w:spacing w:val="18"/>
          <w:sz w:val="20"/>
        </w:rPr>
        <w:t> </w:t>
      </w:r>
      <w:r>
        <w:rPr>
          <w:sz w:val="20"/>
        </w:rPr>
        <w:t>Agreement</w:t>
      </w:r>
      <w:r>
        <w:rPr>
          <w:spacing w:val="18"/>
          <w:sz w:val="20"/>
        </w:rPr>
        <w:t> </w:t>
      </w:r>
      <w:r>
        <w:rPr>
          <w:sz w:val="20"/>
        </w:rPr>
        <w:t>provides;</w:t>
      </w:r>
      <w:r>
        <w:rPr>
          <w:spacing w:val="18"/>
          <w:sz w:val="20"/>
        </w:rPr>
        <w:t> </w:t>
      </w:r>
      <w:r>
        <w:rPr>
          <w:sz w:val="20"/>
        </w:rPr>
        <w:t>repayment</w:t>
      </w:r>
      <w:r>
        <w:rPr>
          <w:sz w:val="20"/>
        </w:rPr>
        <w:t> of any Operating Advance from payouts, and in full in the final account if the </w:t>
      </w:r>
      <w:r>
        <w:rPr>
          <w:sz w:val="20"/>
        </w:rPr>
        <w:t>Landlord</w:t>
      </w:r>
      <w:r>
        <w:rPr>
          <w:spacing w:val="40"/>
          <w:sz w:val="20"/>
        </w:rPr>
        <w:t> </w:t>
      </w:r>
      <w:r>
        <w:rPr>
          <w:sz w:val="20"/>
        </w:rPr>
        <w:t>Agreement ends first.</w:t>
      </w:r>
    </w:p>
    <w:p>
      <w:pPr>
        <w:pStyle w:val="BodyText"/>
        <w:spacing w:before="11"/>
        <w:ind w:left="0"/>
      </w:pPr>
    </w:p>
    <w:p>
      <w:pPr>
        <w:pStyle w:val="Heading1"/>
      </w:pPr>
      <w:bookmarkStart w:name="Schedule 2: Money calendar and worked ex" w:id="26"/>
      <w:bookmarkEnd w:id="26"/>
      <w:r>
        <w:rPr>
          <w:b w:val="0"/>
        </w:rPr>
      </w:r>
      <w:r>
        <w:rPr>
          <w:color w:val="0B0B0E"/>
          <w:w w:val="90"/>
        </w:rPr>
        <w:t>Schedule</w:t>
      </w:r>
      <w:r>
        <w:rPr>
          <w:color w:val="0B0B0E"/>
          <w:spacing w:val="-6"/>
        </w:rPr>
        <w:t> </w:t>
      </w:r>
      <w:r>
        <w:rPr>
          <w:color w:val="0B0B0E"/>
          <w:w w:val="90"/>
        </w:rPr>
        <w:t>2:</w:t>
      </w:r>
      <w:r>
        <w:rPr>
          <w:color w:val="0B0B0E"/>
          <w:spacing w:val="-5"/>
        </w:rPr>
        <w:t> </w:t>
      </w:r>
      <w:r>
        <w:rPr>
          <w:color w:val="0B0B0E"/>
          <w:w w:val="90"/>
        </w:rPr>
        <w:t>Money</w:t>
      </w:r>
      <w:r>
        <w:rPr>
          <w:color w:val="0B0B0E"/>
          <w:spacing w:val="-6"/>
        </w:rPr>
        <w:t> </w:t>
      </w:r>
      <w:r>
        <w:rPr>
          <w:color w:val="0B0B0E"/>
          <w:w w:val="90"/>
        </w:rPr>
        <w:t>calendar</w:t>
      </w:r>
      <w:r>
        <w:rPr>
          <w:color w:val="0B0B0E"/>
          <w:spacing w:val="-5"/>
        </w:rPr>
        <w:t> </w:t>
      </w:r>
      <w:r>
        <w:rPr>
          <w:color w:val="0B0B0E"/>
          <w:w w:val="90"/>
        </w:rPr>
        <w:t>and</w:t>
      </w:r>
      <w:r>
        <w:rPr>
          <w:color w:val="0B0B0E"/>
          <w:spacing w:val="-6"/>
        </w:rPr>
        <w:t> </w:t>
      </w:r>
      <w:r>
        <w:rPr>
          <w:color w:val="0B0B0E"/>
          <w:w w:val="90"/>
        </w:rPr>
        <w:t>worked</w:t>
      </w:r>
      <w:r>
        <w:rPr>
          <w:color w:val="0B0B0E"/>
          <w:spacing w:val="-5"/>
        </w:rPr>
        <w:t> </w:t>
      </w:r>
      <w:r>
        <w:rPr>
          <w:color w:val="0B0B0E"/>
          <w:spacing w:val="-2"/>
          <w:w w:val="90"/>
        </w:rPr>
        <w:t>example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84" coordorigin="0,0" coordsize="9637,15">
                <v:shape style="position:absolute;left:0;top:7;width:9637;height:2" id="docshape85" coordorigin="0,8" coordsize="9637,0" path="m9637,7l0,7m9637,7l0,7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Heading2"/>
        <w:spacing w:before="254"/>
      </w:pPr>
      <w:bookmarkStart w:name="Part A: Calendar" w:id="27"/>
      <w:bookmarkEnd w:id="27"/>
      <w:r>
        <w:rPr>
          <w:b w:val="0"/>
        </w:rPr>
      </w:r>
      <w:r>
        <w:rPr>
          <w:color w:val="FF0256"/>
        </w:rPr>
        <w:t>Part</w:t>
      </w:r>
      <w:r>
        <w:rPr>
          <w:color w:val="FF0256"/>
          <w:spacing w:val="3"/>
        </w:rPr>
        <w:t> </w:t>
      </w:r>
      <w:r>
        <w:rPr>
          <w:color w:val="FF0256"/>
        </w:rPr>
        <w:t>A:</w:t>
      </w:r>
      <w:r>
        <w:rPr>
          <w:color w:val="FF0256"/>
          <w:spacing w:val="3"/>
        </w:rPr>
        <w:t> </w:t>
      </w:r>
      <w:r>
        <w:rPr>
          <w:color w:val="FF0256"/>
          <w:spacing w:val="-2"/>
        </w:rPr>
        <w:t>Calendar</w:t>
      </w:r>
    </w:p>
    <w:p>
      <w:pPr>
        <w:pStyle w:val="BodyText"/>
        <w:spacing w:before="7"/>
        <w:ind w:left="0"/>
        <w:rPr>
          <w:rFonts w:ascii="Century Gothic"/>
          <w:b/>
          <w:sz w:val="10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8"/>
        <w:gridCol w:w="6440"/>
      </w:tblGrid>
      <w:tr>
        <w:trPr>
          <w:trHeight w:val="440" w:hRule="atLeast"/>
        </w:trPr>
        <w:tc>
          <w:tcPr>
            <w:tcW w:w="3198" w:type="dxa"/>
            <w:shd w:val="clear" w:color="auto" w:fill="0B0B0E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When</w:t>
            </w:r>
          </w:p>
        </w:tc>
        <w:tc>
          <w:tcPr>
            <w:tcW w:w="6440" w:type="dxa"/>
            <w:shd w:val="clear" w:color="auto" w:fill="0B0B0E"/>
          </w:tcPr>
          <w:p>
            <w:pPr>
              <w:pStyle w:val="TableParagraph"/>
              <w:spacing w:before="9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What</w:t>
            </w:r>
          </w:p>
        </w:tc>
      </w:tr>
      <w:tr>
        <w:trPr>
          <w:trHeight w:val="1219" w:hRule="atLeast"/>
        </w:trPr>
        <w:tc>
          <w:tcPr>
            <w:tcW w:w="3198" w:type="dxa"/>
          </w:tcPr>
          <w:p>
            <w:pPr>
              <w:pStyle w:val="TableParagraph"/>
              <w:spacing w:line="194" w:lineRule="auto" w:before="92"/>
              <w:ind w:left="110" w:right="112"/>
              <w:rPr>
                <w:sz w:val="18"/>
              </w:rPr>
            </w:pPr>
            <w:r>
              <w:rPr>
                <w:sz w:val="18"/>
              </w:rPr>
              <w:t>10th,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6440" w:type="dxa"/>
          </w:tcPr>
          <w:p>
            <w:pPr>
              <w:pStyle w:val="TableParagraph"/>
              <w:spacing w:line="194" w:lineRule="auto" w:before="92"/>
              <w:ind w:right="213"/>
              <w:rPr>
                <w:sz w:val="18"/>
              </w:rPr>
            </w:pPr>
            <w:r>
              <w:rPr>
                <w:sz w:val="18"/>
              </w:rPr>
              <w:t>Service Partner cycles close (1st to 10th, 11th to 20th, 21st to e</w:t>
            </w:r>
            <w:r>
              <w:rPr>
                <w:sz w:val="18"/>
              </w:rPr>
              <w:t>nd).</w:t>
            </w:r>
            <w:r>
              <w:rPr>
                <w:sz w:val="18"/>
              </w:rPr>
              <w:t> Invoices are generated from tasks completed on the Platform and </w:t>
            </w:r>
            <w:r>
              <w:rPr>
                <w:sz w:val="18"/>
              </w:rPr>
              <w:t>paid</w:t>
            </w:r>
            <w:r>
              <w:rPr>
                <w:sz w:val="18"/>
              </w:rPr>
              <w:t> from the Client Ledger within 2 Business Days, the same day where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invoice matches the Platform record.</w:t>
            </w:r>
          </w:p>
        </w:tc>
      </w:tr>
      <w:tr>
        <w:trPr>
          <w:trHeight w:val="400" w:hRule="atLeast"/>
        </w:trPr>
        <w:tc>
          <w:tcPr>
            <w:tcW w:w="3198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Per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ticket</w:t>
            </w:r>
          </w:p>
        </w:tc>
        <w:tc>
          <w:tcPr>
            <w:tcW w:w="6440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Maintenance Partner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call-outs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works, paid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Client Ledger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on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headerReference w:type="default" r:id="rId14"/>
          <w:footerReference w:type="default" r:id="rId15"/>
          <w:pgSz w:w="11910" w:h="16840"/>
          <w:pgMar w:header="560" w:footer="602" w:top="980" w:bottom="800" w:left="1133" w:right="992"/>
        </w:sectPr>
      </w:pPr>
    </w:p>
    <w:p>
      <w:pPr>
        <w:pStyle w:val="BodyText"/>
        <w:spacing w:before="7"/>
        <w:ind w:left="0"/>
        <w:rPr>
          <w:rFonts w:ascii="Century Gothic"/>
          <w:b/>
          <w:sz w:val="11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8"/>
        <w:gridCol w:w="6440"/>
      </w:tblGrid>
      <w:tr>
        <w:trPr>
          <w:trHeight w:val="440" w:hRule="atLeast"/>
        </w:trPr>
        <w:tc>
          <w:tcPr>
            <w:tcW w:w="3198" w:type="dxa"/>
            <w:shd w:val="clear" w:color="auto" w:fill="0B0B0E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When</w:t>
            </w:r>
          </w:p>
        </w:tc>
        <w:tc>
          <w:tcPr>
            <w:tcW w:w="6440" w:type="dxa"/>
            <w:shd w:val="clear" w:color="auto" w:fill="0B0B0E"/>
          </w:tcPr>
          <w:p>
            <w:pPr>
              <w:pStyle w:val="TableParagraph"/>
              <w:spacing w:before="9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What</w:t>
            </w:r>
          </w:p>
        </w:tc>
      </w:tr>
      <w:tr>
        <w:trPr>
          <w:trHeight w:val="700" w:hRule="atLeast"/>
        </w:trPr>
        <w:tc>
          <w:tcPr>
            <w:tcW w:w="3198" w:type="dxa"/>
            <w:shd w:val="clear" w:color="auto" w:fill="F6F6F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440" w:type="dxa"/>
            <w:shd w:val="clear" w:color="auto" w:fill="F6F6F7"/>
          </w:tcPr>
          <w:p>
            <w:pPr>
              <w:pStyle w:val="TableParagraph"/>
              <w:spacing w:line="194" w:lineRule="auto" w:before="93"/>
              <w:rPr>
                <w:sz w:val="18"/>
              </w:rPr>
            </w:pPr>
            <w:r>
              <w:rPr>
                <w:sz w:val="18"/>
              </w:rPr>
              <w:t>completion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ticket,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Landlord's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approval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threshold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z w:val="18"/>
              </w:rPr>
              <w:t> the Landlord's approval above it.</w:t>
            </w:r>
          </w:p>
        </w:tc>
      </w:tr>
      <w:tr>
        <w:trPr>
          <w:trHeight w:val="960" w:hRule="atLeast"/>
        </w:trPr>
        <w:tc>
          <w:tcPr>
            <w:tcW w:w="3198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instruction</w:t>
            </w:r>
          </w:p>
        </w:tc>
        <w:tc>
          <w:tcPr>
            <w:tcW w:w="6440" w:type="dxa"/>
          </w:tcPr>
          <w:p>
            <w:pPr>
              <w:pStyle w:val="TableParagraph"/>
              <w:spacing w:line="194" w:lineRule="auto" w:before="93"/>
              <w:rPr>
                <w:sz w:val="18"/>
              </w:rPr>
            </w:pPr>
            <w:r>
              <w:rPr>
                <w:sz w:val="18"/>
              </w:rPr>
              <w:t>Licence, application and compliance fees, paid from the Client Le</w:t>
            </w:r>
            <w:r>
              <w:rPr>
                <w:sz w:val="18"/>
              </w:rPr>
              <w:t>dger</w:t>
            </w:r>
            <w:r>
              <w:rPr>
                <w:sz w:val="18"/>
              </w:rPr>
              <w:t> under the Landlord's standing approval for the standard certif</w:t>
            </w:r>
            <w:r>
              <w:rPr>
                <w:sz w:val="18"/>
              </w:rPr>
              <w:t>ication</w:t>
            </w:r>
            <w:r>
              <w:rPr>
                <w:sz w:val="18"/>
              </w:rPr>
              <w:t> package, or with the Landlord's sign-off above it.</w:t>
            </w:r>
          </w:p>
        </w:tc>
      </w:tr>
      <w:tr>
        <w:trPr>
          <w:trHeight w:val="1220" w:hRule="atLeast"/>
        </w:trPr>
        <w:tc>
          <w:tcPr>
            <w:tcW w:w="3198" w:type="dxa"/>
            <w:shd w:val="clear" w:color="auto" w:fill="F6F6F7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Days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6440" w:type="dxa"/>
            <w:shd w:val="clear" w:color="auto" w:fill="F6F6F7"/>
          </w:tcPr>
          <w:p>
            <w:pPr>
              <w:pStyle w:val="TableParagraph"/>
              <w:spacing w:line="194" w:lineRule="auto" w:before="93"/>
              <w:ind w:right="213"/>
              <w:rPr>
                <w:sz w:val="18"/>
              </w:rPr>
            </w:pPr>
            <w:r>
              <w:rPr>
                <w:sz w:val="18"/>
              </w:rPr>
              <w:t>Three-way reconciliation of the previous month: Client Ledgers, </w:t>
            </w:r>
            <w:r>
              <w:rPr>
                <w:sz w:val="18"/>
              </w:rPr>
              <w:t>supplier</w:t>
            </w:r>
            <w:r>
              <w:rPr>
                <w:sz w:val="18"/>
              </w:rPr>
              <w:t> invoices, the Client Account bank statement and Booking </w:t>
            </w:r>
            <w:r>
              <w:rPr>
                <w:sz w:val="18"/>
              </w:rPr>
              <w:t>Channel</w:t>
            </w:r>
            <w:r>
              <w:rPr>
                <w:sz w:val="18"/>
              </w:rPr>
              <w:t> settlement reports, completed as soon as the month's </w:t>
            </w:r>
            <w:r>
              <w:rPr>
                <w:sz w:val="18"/>
              </w:rPr>
              <w:t>channel</w:t>
            </w:r>
            <w:r>
              <w:rPr>
                <w:sz w:val="18"/>
              </w:rPr>
              <w:t> settlements have landed, and in any case by the third Business Day.</w:t>
            </w:r>
          </w:p>
        </w:tc>
      </w:tr>
      <w:tr>
        <w:trPr>
          <w:trHeight w:val="1220" w:hRule="atLeast"/>
        </w:trPr>
        <w:tc>
          <w:tcPr>
            <w:tcW w:w="3198" w:type="dxa"/>
          </w:tcPr>
          <w:p>
            <w:pPr>
              <w:pStyle w:val="TableParagraph"/>
              <w:spacing w:line="194" w:lineRule="auto" w:before="93"/>
              <w:ind w:left="110"/>
              <w:rPr>
                <w:sz w:val="18"/>
              </w:rPr>
            </w:pPr>
            <w:r>
              <w:rPr>
                <w:w w:val="105"/>
                <w:sz w:val="18"/>
              </w:rPr>
              <w:t>Payout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day: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target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Business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Day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4,</w:t>
            </w:r>
            <w:r>
              <w:rPr>
                <w:w w:val="105"/>
                <w:sz w:val="18"/>
              </w:rPr>
              <w:t> no later than Business Day 5</w:t>
            </w:r>
          </w:p>
        </w:tc>
        <w:tc>
          <w:tcPr>
            <w:tcW w:w="6440" w:type="dxa"/>
          </w:tcPr>
          <w:p>
            <w:pPr>
              <w:pStyle w:val="TableParagraph"/>
              <w:spacing w:line="194" w:lineRule="auto" w:before="93"/>
              <w:ind w:right="213"/>
              <w:rPr>
                <w:sz w:val="18"/>
              </w:rPr>
            </w:pPr>
            <w:r>
              <w:rPr>
                <w:sz w:val="18"/>
              </w:rPr>
              <w:t>One run, one day: Management Fee (plus VAT where applicable) </w:t>
            </w:r>
            <w:r>
              <w:rPr>
                <w:sz w:val="18"/>
              </w:rPr>
              <w:t>swept</w:t>
            </w:r>
            <w:r>
              <w:rPr>
                <w:sz w:val="18"/>
              </w:rPr>
              <w:t> to PropertyFlow's own account; Landlord Statements and </w:t>
            </w:r>
            <w:r>
              <w:rPr>
                <w:sz w:val="18"/>
              </w:rPr>
              <w:t>payouts;</w:t>
            </w:r>
            <w:r>
              <w:rPr>
                <w:sz w:val="18"/>
              </w:rPr>
              <w:t> Operator Statement, self-billed invoice and Commission paid </w:t>
            </w:r>
            <w:r>
              <w:rPr>
                <w:sz w:val="18"/>
              </w:rPr>
              <w:t>from</w:t>
            </w:r>
            <w:r>
              <w:rPr>
                <w:sz w:val="18"/>
              </w:rPr>
              <w:t> PropertyFlow's own funds.</w:t>
            </w:r>
          </w:p>
        </w:tc>
      </w:tr>
    </w:tbl>
    <w:p>
      <w:pPr>
        <w:pStyle w:val="BodyText"/>
        <w:spacing w:before="138"/>
        <w:ind w:left="0"/>
        <w:rPr>
          <w:rFonts w:ascii="Century Gothic"/>
          <w:b/>
        </w:rPr>
      </w:pPr>
    </w:p>
    <w:p>
      <w:pPr>
        <w:pStyle w:val="BodyText"/>
        <w:spacing w:line="187" w:lineRule="auto" w:before="0"/>
        <w:ind w:left="2" w:right="224"/>
      </w:pPr>
      <w:r>
        <w:rPr>
          <w:rFonts w:ascii="Tahoma"/>
          <w:b/>
        </w:rPr>
        <w:t>Ledger</w:t>
      </w:r>
      <w:r>
        <w:rPr>
          <w:rFonts w:ascii="Tahoma"/>
          <w:b/>
          <w:spacing w:val="-6"/>
        </w:rPr>
        <w:t> </w:t>
      </w:r>
      <w:r>
        <w:rPr>
          <w:rFonts w:ascii="Tahoma"/>
          <w:b/>
        </w:rPr>
        <w:t>rule. </w:t>
      </w:r>
      <w:r>
        <w:rPr/>
        <w:t>A payment leaves a Client Ledger only if that ledger covers it. Where a new or </w:t>
      </w:r>
      <w:r>
        <w:rPr/>
        <w:t>quiet</w:t>
      </w:r>
      <w:r>
        <w:rPr/>
        <w:t> property cannot yet cover its costs, PropertyFlow may lend the Landlord an Operating Advance </w:t>
      </w:r>
      <w:r>
        <w:rPr/>
        <w:t>under</w:t>
      </w:r>
      <w:r>
        <w:rPr/>
        <w:t> the Landlord Agreement, interest-free, credited to the Client Ledger and repaid from payouts </w:t>
      </w:r>
      <w:r>
        <w:rPr/>
        <w:t>within</w:t>
      </w:r>
      <w:r>
        <w:rPr>
          <w:spacing w:val="80"/>
        </w:rPr>
        <w:t> </w:t>
      </w:r>
      <w:r>
        <w:rPr/>
        <w:t>12 months. Once credited the money is the Landlord's, so its costs remain the Landlord's own costs.</w:t>
      </w:r>
    </w:p>
    <w:p>
      <w:pPr>
        <w:pStyle w:val="Heading2"/>
        <w:spacing w:before="231"/>
      </w:pPr>
      <w:bookmarkStart w:name="Part B: Worked example, one property, on" w:id="28"/>
      <w:bookmarkEnd w:id="28"/>
      <w:r>
        <w:rPr>
          <w:b w:val="0"/>
        </w:rPr>
      </w:r>
      <w:r>
        <w:rPr>
          <w:color w:val="FF0256"/>
          <w:spacing w:val="-4"/>
        </w:rPr>
        <w:t>Part</w:t>
      </w:r>
      <w:r>
        <w:rPr>
          <w:color w:val="FF0256"/>
          <w:spacing w:val="-18"/>
        </w:rPr>
        <w:t> </w:t>
      </w:r>
      <w:r>
        <w:rPr>
          <w:color w:val="FF0256"/>
          <w:spacing w:val="-4"/>
        </w:rPr>
        <w:t>B:</w:t>
      </w:r>
      <w:r>
        <w:rPr>
          <w:color w:val="FF0256"/>
          <w:spacing w:val="-17"/>
        </w:rPr>
        <w:t> </w:t>
      </w:r>
      <w:r>
        <w:rPr>
          <w:color w:val="FF0256"/>
          <w:spacing w:val="-4"/>
        </w:rPr>
        <w:t>Worked</w:t>
      </w:r>
      <w:r>
        <w:rPr>
          <w:color w:val="FF0256"/>
          <w:spacing w:val="-18"/>
        </w:rPr>
        <w:t> </w:t>
      </w:r>
      <w:r>
        <w:rPr>
          <w:color w:val="FF0256"/>
          <w:spacing w:val="-4"/>
        </w:rPr>
        <w:t>example,</w:t>
      </w:r>
      <w:r>
        <w:rPr>
          <w:color w:val="FF0256"/>
          <w:spacing w:val="-17"/>
        </w:rPr>
        <w:t> </w:t>
      </w:r>
      <w:r>
        <w:rPr>
          <w:color w:val="FF0256"/>
          <w:spacing w:val="-4"/>
        </w:rPr>
        <w:t>one</w:t>
      </w:r>
      <w:r>
        <w:rPr>
          <w:color w:val="FF0256"/>
          <w:spacing w:val="-18"/>
        </w:rPr>
        <w:t> </w:t>
      </w:r>
      <w:r>
        <w:rPr>
          <w:color w:val="FF0256"/>
          <w:spacing w:val="-4"/>
        </w:rPr>
        <w:t>property,</w:t>
      </w:r>
      <w:r>
        <w:rPr>
          <w:color w:val="FF0256"/>
          <w:spacing w:val="-17"/>
        </w:rPr>
        <w:t> </w:t>
      </w:r>
      <w:r>
        <w:rPr>
          <w:color w:val="FF0256"/>
          <w:spacing w:val="-4"/>
        </w:rPr>
        <w:t>one</w:t>
      </w:r>
      <w:r>
        <w:rPr>
          <w:color w:val="FF0256"/>
          <w:spacing w:val="-17"/>
        </w:rPr>
        <w:t> </w:t>
      </w:r>
      <w:r>
        <w:rPr>
          <w:color w:val="FF0256"/>
          <w:spacing w:val="-4"/>
        </w:rPr>
        <w:t>month</w:t>
      </w:r>
    </w:p>
    <w:p>
      <w:pPr>
        <w:pStyle w:val="BodyText"/>
        <w:spacing w:line="187" w:lineRule="auto" w:before="151"/>
        <w:ind w:left="2" w:right="174"/>
      </w:pPr>
      <w:r>
        <w:rPr/>
        <w:t>The example follows the layout of PropertyFlow's monthly Landlord Statement, at the standard </w:t>
      </w:r>
      <w:r>
        <w:rPr/>
        <w:t>20%</w:t>
      </w:r>
      <w:r>
        <w:rPr/>
        <w:t> rate. Figures are illustrative.</w:t>
      </w: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6"/>
        <w:gridCol w:w="2100"/>
        <w:gridCol w:w="2102"/>
      </w:tblGrid>
      <w:tr>
        <w:trPr>
          <w:trHeight w:val="700" w:hRule="atLeast"/>
        </w:trPr>
        <w:tc>
          <w:tcPr>
            <w:tcW w:w="5436" w:type="dxa"/>
            <w:shd w:val="clear" w:color="auto" w:fill="0B0B0E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100" w:type="dxa"/>
            <w:shd w:val="clear" w:color="auto" w:fill="0B0B0E"/>
          </w:tcPr>
          <w:p>
            <w:pPr>
              <w:pStyle w:val="TableParagraph"/>
              <w:spacing w:line="288" w:lineRule="auto" w:before="97"/>
              <w:ind w:right="7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Before</w:t>
            </w:r>
            <w:r>
              <w:rPr>
                <w:rFonts w:ascii="Tahoma"/>
                <w:b/>
                <w:color w:val="FFFFFF"/>
                <w:spacing w:val="-11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PropertyFlow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 </w:t>
            </w:r>
            <w:r>
              <w:rPr>
                <w:rFonts w:ascii="Tahoma"/>
                <w:b/>
                <w:color w:val="FFFFFF"/>
                <w:sz w:val="18"/>
              </w:rPr>
              <w:t>is</w:t>
            </w:r>
            <w:r>
              <w:rPr>
                <w:rFonts w:ascii="Tahoma"/>
                <w:b/>
                <w:color w:val="FFFFFF"/>
                <w:spacing w:val="-10"/>
                <w:sz w:val="18"/>
              </w:rPr>
              <w:t> </w:t>
            </w:r>
            <w:r>
              <w:rPr>
                <w:rFonts w:ascii="Tahoma"/>
                <w:b/>
                <w:color w:val="FFFFFF"/>
                <w:sz w:val="18"/>
              </w:rPr>
              <w:t>VAT-registered</w:t>
            </w:r>
          </w:p>
        </w:tc>
        <w:tc>
          <w:tcPr>
            <w:tcW w:w="2102" w:type="dxa"/>
            <w:shd w:val="clear" w:color="auto" w:fill="0B0B0E"/>
          </w:tcPr>
          <w:p>
            <w:pPr>
              <w:pStyle w:val="TableParagraph"/>
              <w:spacing w:before="9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After</w:t>
            </w:r>
          </w:p>
        </w:tc>
      </w:tr>
      <w:tr>
        <w:trPr>
          <w:trHeight w:val="700" w:hRule="atLeast"/>
        </w:trPr>
        <w:tc>
          <w:tcPr>
            <w:tcW w:w="5436" w:type="dxa"/>
          </w:tcPr>
          <w:p>
            <w:pPr>
              <w:pStyle w:val="TableParagraph"/>
              <w:spacing w:line="194" w:lineRule="auto" w:before="92"/>
              <w:ind w:left="110"/>
              <w:rPr>
                <w:sz w:val="18"/>
              </w:rPr>
            </w:pPr>
            <w:r>
              <w:rPr>
                <w:sz w:val="18"/>
              </w:rPr>
              <w:t>Gross Revenue: accommodation £9,400 plus guest </w:t>
            </w:r>
            <w:r>
              <w:rPr>
                <w:sz w:val="18"/>
              </w:rPr>
              <w:t>cleaning</w:t>
            </w:r>
            <w:r>
              <w:rPr>
                <w:sz w:val="18"/>
              </w:rPr>
              <w:t> fees £600, bookings checking out in the month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£10,000.00</w:t>
            </w:r>
          </w:p>
        </w:tc>
        <w:tc>
          <w:tcPr>
            <w:tcW w:w="21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£10,000.00</w:t>
            </w:r>
          </w:p>
        </w:tc>
      </w:tr>
      <w:tr>
        <w:trPr>
          <w:trHeight w:val="700" w:hRule="atLeast"/>
        </w:trPr>
        <w:tc>
          <w:tcPr>
            <w:tcW w:w="5436" w:type="dxa"/>
            <w:shd w:val="clear" w:color="auto" w:fill="F6F6F7"/>
          </w:tcPr>
          <w:p>
            <w:pPr>
              <w:pStyle w:val="TableParagraph"/>
              <w:spacing w:line="194" w:lineRule="auto" w:before="92"/>
              <w:ind w:left="110"/>
              <w:rPr>
                <w:sz w:val="18"/>
              </w:rPr>
            </w:pPr>
            <w:r>
              <w:rPr>
                <w:sz w:val="18"/>
              </w:rPr>
              <w:t>Less Booking Channel commission (at the actual amoun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 deducted) and payment processing fees</w:t>
            </w:r>
          </w:p>
        </w:tc>
        <w:tc>
          <w:tcPr>
            <w:tcW w:w="2100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(£1,700.00)</w:t>
            </w:r>
          </w:p>
        </w:tc>
        <w:tc>
          <w:tcPr>
            <w:tcW w:w="2102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(£1,700.00)</w:t>
            </w:r>
          </w:p>
        </w:tc>
      </w:tr>
      <w:tr>
        <w:trPr>
          <w:trHeight w:val="440" w:hRule="atLeast"/>
        </w:trPr>
        <w:tc>
          <w:tcPr>
            <w:tcW w:w="5436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Less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refunds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Guests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(£300.00)</w:t>
            </w:r>
          </w:p>
        </w:tc>
        <w:tc>
          <w:tcPr>
            <w:tcW w:w="21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(£300.00)</w:t>
            </w:r>
          </w:p>
        </w:tc>
      </w:tr>
      <w:tr>
        <w:trPr>
          <w:trHeight w:val="440" w:hRule="atLeast"/>
        </w:trPr>
        <w:tc>
          <w:tcPr>
            <w:tcW w:w="5436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6"/>
                <w:sz w:val="18"/>
              </w:rPr>
              <w:t>Net</w:t>
            </w:r>
            <w:r>
              <w:rPr>
                <w:rFonts w:ascii="Tahoma"/>
                <w:b/>
                <w:spacing w:val="-8"/>
                <w:sz w:val="18"/>
              </w:rPr>
              <w:t> </w:t>
            </w:r>
            <w:r>
              <w:rPr>
                <w:rFonts w:ascii="Tahoma"/>
                <w:b/>
                <w:spacing w:val="-2"/>
                <w:sz w:val="18"/>
              </w:rPr>
              <w:t>Revenue</w:t>
            </w:r>
          </w:p>
        </w:tc>
        <w:tc>
          <w:tcPr>
            <w:tcW w:w="2100" w:type="dxa"/>
            <w:shd w:val="clear" w:color="auto" w:fill="F6F6F7"/>
          </w:tcPr>
          <w:p>
            <w:pPr>
              <w:pStyle w:val="TableParagraph"/>
              <w:spacing w:before="9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2"/>
                <w:w w:val="105"/>
                <w:sz w:val="18"/>
              </w:rPr>
              <w:t>£8,000.00</w:t>
            </w:r>
          </w:p>
        </w:tc>
        <w:tc>
          <w:tcPr>
            <w:tcW w:w="2102" w:type="dxa"/>
            <w:shd w:val="clear" w:color="auto" w:fill="F6F6F7"/>
          </w:tcPr>
          <w:p>
            <w:pPr>
              <w:pStyle w:val="TableParagraph"/>
              <w:spacing w:before="9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2"/>
                <w:w w:val="105"/>
                <w:sz w:val="18"/>
              </w:rPr>
              <w:t>£8,000.00</w:t>
            </w:r>
          </w:p>
        </w:tc>
      </w:tr>
      <w:tr>
        <w:trPr>
          <w:trHeight w:val="440" w:hRule="atLeast"/>
        </w:trPr>
        <w:tc>
          <w:tcPr>
            <w:tcW w:w="5436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Management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Fee,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20%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Net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Revenue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(£1,600.00)</w:t>
            </w:r>
          </w:p>
        </w:tc>
        <w:tc>
          <w:tcPr>
            <w:tcW w:w="21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(£1,600.00)</w:t>
            </w:r>
          </w:p>
        </w:tc>
      </w:tr>
      <w:tr>
        <w:trPr>
          <w:trHeight w:val="700" w:hRule="atLeast"/>
        </w:trPr>
        <w:tc>
          <w:tcPr>
            <w:tcW w:w="5436" w:type="dxa"/>
            <w:shd w:val="clear" w:color="auto" w:fill="F6F6F7"/>
          </w:tcPr>
          <w:p>
            <w:pPr>
              <w:pStyle w:val="TableParagraph"/>
              <w:spacing w:line="194" w:lineRule="auto" w:before="92"/>
              <w:ind w:left="110" w:right="140"/>
              <w:rPr>
                <w:sz w:val="18"/>
              </w:rPr>
            </w:pPr>
            <w:r>
              <w:rPr>
                <w:sz w:val="18"/>
              </w:rPr>
              <w:t>VAT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Fee,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added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paid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z w:val="18"/>
              </w:rPr>
              <w:t> </w:t>
            </w:r>
            <w:r>
              <w:rPr>
                <w:spacing w:val="-4"/>
                <w:sz w:val="18"/>
              </w:rPr>
              <w:t>HMRC</w:t>
            </w:r>
          </w:p>
        </w:tc>
        <w:tc>
          <w:tcPr>
            <w:tcW w:w="2100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nil</w:t>
            </w:r>
          </w:p>
        </w:tc>
        <w:tc>
          <w:tcPr>
            <w:tcW w:w="2102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(£320.00)</w:t>
            </w:r>
          </w:p>
        </w:tc>
      </w:tr>
      <w:tr>
        <w:trPr>
          <w:trHeight w:val="700" w:hRule="atLeast"/>
        </w:trPr>
        <w:tc>
          <w:tcPr>
            <w:tcW w:w="5436" w:type="dxa"/>
          </w:tcPr>
          <w:p>
            <w:pPr>
              <w:pStyle w:val="TableParagraph"/>
              <w:spacing w:line="194" w:lineRule="auto" w:before="92"/>
              <w:ind w:left="110"/>
              <w:rPr>
                <w:sz w:val="18"/>
              </w:rPr>
            </w:pPr>
            <w:r>
              <w:rPr>
                <w:sz w:val="18"/>
              </w:rPr>
              <w:t>Less Tourist Tax collected and remitted by PropertyFlow </w:t>
            </w:r>
            <w:r>
              <w:rPr>
                <w:sz w:val="18"/>
              </w:rPr>
              <w:t>as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agent</w:t>
            </w:r>
          </w:p>
        </w:tc>
        <w:tc>
          <w:tcPr>
            <w:tcW w:w="21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(£470.00)</w:t>
            </w:r>
          </w:p>
        </w:tc>
        <w:tc>
          <w:tcPr>
            <w:tcW w:w="21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(£470.00)</w:t>
            </w:r>
          </w:p>
        </w:tc>
      </w:tr>
      <w:tr>
        <w:trPr>
          <w:trHeight w:val="700" w:hRule="atLeast"/>
        </w:trPr>
        <w:tc>
          <w:tcPr>
            <w:tcW w:w="5436" w:type="dxa"/>
            <w:shd w:val="clear" w:color="auto" w:fill="F6F6F7"/>
          </w:tcPr>
          <w:p>
            <w:pPr>
              <w:pStyle w:val="TableParagraph"/>
              <w:spacing w:line="194" w:lineRule="auto" w:before="92"/>
              <w:ind w:left="110"/>
              <w:rPr>
                <w:sz w:val="18"/>
              </w:rPr>
            </w:pPr>
            <w:r>
              <w:rPr>
                <w:sz w:val="18"/>
              </w:rPr>
              <w:t>Less Landlord costs at cost: Service Partner clean</w:t>
            </w:r>
            <w:r>
              <w:rPr>
                <w:sz w:val="18"/>
              </w:rPr>
              <w:t>s,</w:t>
            </w:r>
            <w:r>
              <w:rPr>
                <w:sz w:val="18"/>
              </w:rPr>
              <w:t> maintenance, consumables</w:t>
            </w:r>
          </w:p>
        </w:tc>
        <w:tc>
          <w:tcPr>
            <w:tcW w:w="2100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(£920.00)</w:t>
            </w:r>
          </w:p>
        </w:tc>
        <w:tc>
          <w:tcPr>
            <w:tcW w:w="2102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(£920.00)</w:t>
            </w:r>
          </w:p>
        </w:tc>
      </w:tr>
      <w:tr>
        <w:trPr>
          <w:trHeight w:val="440" w:hRule="atLeast"/>
        </w:trPr>
        <w:tc>
          <w:tcPr>
            <w:tcW w:w="5436" w:type="dxa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5"/>
                <w:sz w:val="18"/>
              </w:rPr>
              <w:t>Landlord</w:t>
            </w:r>
            <w:r>
              <w:rPr>
                <w:rFonts w:ascii="Tahoma"/>
                <w:b/>
                <w:spacing w:val="-2"/>
                <w:sz w:val="18"/>
              </w:rPr>
              <w:t> payout</w:t>
            </w:r>
          </w:p>
        </w:tc>
        <w:tc>
          <w:tcPr>
            <w:tcW w:w="2100" w:type="dxa"/>
          </w:tcPr>
          <w:p>
            <w:pPr>
              <w:pStyle w:val="TableParagraph"/>
              <w:spacing w:before="9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2"/>
                <w:sz w:val="18"/>
              </w:rPr>
              <w:t>£5,010.00</w:t>
            </w:r>
          </w:p>
        </w:tc>
        <w:tc>
          <w:tcPr>
            <w:tcW w:w="2102" w:type="dxa"/>
          </w:tcPr>
          <w:p>
            <w:pPr>
              <w:pStyle w:val="TableParagraph"/>
              <w:spacing w:before="9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2"/>
                <w:w w:val="105"/>
                <w:sz w:val="18"/>
              </w:rPr>
              <w:t>£4,690.00</w:t>
            </w:r>
          </w:p>
        </w:tc>
      </w:tr>
      <w:tr>
        <w:trPr>
          <w:trHeight w:val="440" w:hRule="atLeast"/>
        </w:trPr>
        <w:tc>
          <w:tcPr>
            <w:tcW w:w="5436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Fee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Received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(Management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Fee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excluding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VAT)</w:t>
            </w:r>
          </w:p>
        </w:tc>
        <w:tc>
          <w:tcPr>
            <w:tcW w:w="2100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£1,600.00</w:t>
            </w:r>
          </w:p>
        </w:tc>
        <w:tc>
          <w:tcPr>
            <w:tcW w:w="2102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£1,600.00</w:t>
            </w:r>
          </w:p>
        </w:tc>
      </w:tr>
      <w:tr>
        <w:trPr>
          <w:trHeight w:val="440" w:hRule="atLeast"/>
        </w:trPr>
        <w:tc>
          <w:tcPr>
            <w:tcW w:w="5436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rFonts w:ascii="Tahoma"/>
                <w:b/>
                <w:sz w:val="18"/>
              </w:rPr>
              <w:t>Commission,</w:t>
            </w:r>
            <w:r>
              <w:rPr>
                <w:rFonts w:ascii="Tahoma"/>
                <w:b/>
                <w:spacing w:val="-14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50%</w:t>
            </w:r>
            <w:r>
              <w:rPr>
                <w:rFonts w:ascii="Tahoma"/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(plus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VAT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self-billed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invoice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the</w:t>
            </w:r>
          </w:p>
        </w:tc>
        <w:tc>
          <w:tcPr>
            <w:tcW w:w="2100" w:type="dxa"/>
          </w:tcPr>
          <w:p>
            <w:pPr>
              <w:pStyle w:val="TableParagraph"/>
              <w:spacing w:before="9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2"/>
                <w:w w:val="105"/>
                <w:sz w:val="18"/>
              </w:rPr>
              <w:t>£800.00</w:t>
            </w:r>
          </w:p>
        </w:tc>
        <w:tc>
          <w:tcPr>
            <w:tcW w:w="2102" w:type="dxa"/>
          </w:tcPr>
          <w:p>
            <w:pPr>
              <w:pStyle w:val="TableParagraph"/>
              <w:spacing w:before="97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2"/>
                <w:w w:val="105"/>
                <w:sz w:val="18"/>
              </w:rPr>
              <w:t>£800.00</w:t>
            </w:r>
          </w:p>
        </w:tc>
      </w:tr>
    </w:tbl>
    <w:p>
      <w:pPr>
        <w:pStyle w:val="TableParagraph"/>
        <w:spacing w:after="0"/>
        <w:rPr>
          <w:rFonts w:ascii="Tahoma" w:hAnsi="Tahoma"/>
          <w:b/>
          <w:sz w:val="18"/>
        </w:rPr>
        <w:sectPr>
          <w:pgSz w:w="11910" w:h="16840"/>
          <w:pgMar w:header="560" w:footer="602" w:top="98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89" coordorigin="0,0" coordsize="9637,15">
                <v:shape style="position:absolute;left:0;top:7;width:9637;height:2" id="docshape90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"/>
        <w:ind w:left="0"/>
        <w:rPr>
          <w:sz w:val="7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6"/>
        <w:gridCol w:w="2100"/>
        <w:gridCol w:w="2102"/>
      </w:tblGrid>
      <w:tr>
        <w:trPr>
          <w:trHeight w:val="700" w:hRule="atLeast"/>
        </w:trPr>
        <w:tc>
          <w:tcPr>
            <w:tcW w:w="5436" w:type="dxa"/>
            <w:shd w:val="clear" w:color="auto" w:fill="0B0B0E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100" w:type="dxa"/>
            <w:shd w:val="clear" w:color="auto" w:fill="0B0B0E"/>
          </w:tcPr>
          <w:p>
            <w:pPr>
              <w:pStyle w:val="TableParagraph"/>
              <w:spacing w:line="288" w:lineRule="auto" w:before="98"/>
              <w:ind w:right="7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Before</w:t>
            </w:r>
            <w:r>
              <w:rPr>
                <w:rFonts w:ascii="Tahoma"/>
                <w:b/>
                <w:color w:val="FFFFFF"/>
                <w:spacing w:val="-11"/>
                <w:sz w:val="18"/>
              </w:rPr>
              <w:t> 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PropertyFlow</w:t>
            </w:r>
            <w:r>
              <w:rPr>
                <w:rFonts w:ascii="Tahoma"/>
                <w:b/>
                <w:color w:val="FFFFFF"/>
                <w:spacing w:val="-4"/>
                <w:sz w:val="18"/>
              </w:rPr>
              <w:t> </w:t>
            </w:r>
            <w:r>
              <w:rPr>
                <w:rFonts w:ascii="Tahoma"/>
                <w:b/>
                <w:color w:val="FFFFFF"/>
                <w:sz w:val="18"/>
              </w:rPr>
              <w:t>is</w:t>
            </w:r>
            <w:r>
              <w:rPr>
                <w:rFonts w:ascii="Tahoma"/>
                <w:b/>
                <w:color w:val="FFFFFF"/>
                <w:spacing w:val="-10"/>
                <w:sz w:val="18"/>
              </w:rPr>
              <w:t> </w:t>
            </w:r>
            <w:r>
              <w:rPr>
                <w:rFonts w:ascii="Tahoma"/>
                <w:b/>
                <w:color w:val="FFFFFF"/>
                <w:sz w:val="18"/>
              </w:rPr>
              <w:t>VAT-registered</w:t>
            </w:r>
          </w:p>
        </w:tc>
        <w:tc>
          <w:tcPr>
            <w:tcW w:w="2102" w:type="dxa"/>
            <w:shd w:val="clear" w:color="auto" w:fill="0B0B0E"/>
          </w:tcPr>
          <w:p>
            <w:pPr>
              <w:pStyle w:val="TableParagraph"/>
              <w:spacing w:before="9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After</w:t>
            </w:r>
          </w:p>
        </w:tc>
      </w:tr>
      <w:tr>
        <w:trPr>
          <w:trHeight w:val="440" w:hRule="atLeast"/>
        </w:trPr>
        <w:tc>
          <w:tcPr>
            <w:tcW w:w="5436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Operator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registered)</w:t>
            </w:r>
          </w:p>
        </w:tc>
        <w:tc>
          <w:tcPr>
            <w:tcW w:w="21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40" w:hRule="atLeast"/>
        </w:trPr>
        <w:tc>
          <w:tcPr>
            <w:tcW w:w="5436" w:type="dxa"/>
            <w:shd w:val="clear" w:color="auto" w:fill="F6F6F7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PropertyFlow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retains</w:t>
            </w:r>
          </w:p>
        </w:tc>
        <w:tc>
          <w:tcPr>
            <w:tcW w:w="2100" w:type="dxa"/>
            <w:shd w:val="clear" w:color="auto" w:fill="F6F6F7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£800.00</w:t>
            </w:r>
          </w:p>
        </w:tc>
        <w:tc>
          <w:tcPr>
            <w:tcW w:w="2102" w:type="dxa"/>
            <w:shd w:val="clear" w:color="auto" w:fill="F6F6F7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£800.00</w:t>
            </w:r>
          </w:p>
        </w:tc>
      </w:tr>
    </w:tbl>
    <w:p>
      <w:pPr>
        <w:pStyle w:val="BodyText"/>
        <w:spacing w:before="28"/>
        <w:ind w:left="0"/>
      </w:pPr>
    </w:p>
    <w:p>
      <w:pPr>
        <w:pStyle w:val="BodyText"/>
        <w:spacing w:line="187" w:lineRule="auto" w:before="0"/>
        <w:ind w:left="2" w:right="276"/>
      </w:pPr>
      <w:r>
        <w:rPr/>
        <w:t>VAT sits on top of the fee, not inside it. Once PropertyFlow is VAT-registered the VAT is added to </w:t>
      </w:r>
      <w:r>
        <w:rPr/>
        <w:t>the</w:t>
      </w:r>
      <w:r>
        <w:rPr/>
        <w:t> Management Fee on the Landlord's Statement and paid to HMRC; it changes the Landlord's </w:t>
      </w:r>
      <w:r>
        <w:rPr/>
        <w:t>payout</w:t>
      </w:r>
      <w:r>
        <w:rPr/>
        <w:t> (unless the Landlord is VAT-registered and recovers it) and changes nothing for the Operator. On </w:t>
      </w:r>
      <w:r>
        <w:rPr/>
        <w:t>this</w:t>
      </w:r>
      <w:r>
        <w:rPr/>
        <w:t> example the Management Fee is 16% of Gross Revenue; the headline 20% is a percentage of Ne</w:t>
      </w:r>
      <w:r>
        <w:rPr/>
        <w:t>t</w:t>
      </w:r>
      <w:r>
        <w:rPr/>
        <w:t> Revenue. At the 15% floor the Management Fee would be £1,200 and Commission £600. Gue</w:t>
      </w:r>
      <w:r>
        <w:rPr/>
        <w:t>st</w:t>
      </w:r>
      <w:r>
        <w:rPr/>
        <w:t> cleaning fees are inside Gross Revenue and the Service Partner's actual charge is inside </w:t>
      </w:r>
      <w:r>
        <w:rPr/>
        <w:t>Landlord</w:t>
      </w:r>
      <w:r>
        <w:rPr>
          <w:spacing w:val="80"/>
          <w:w w:val="150"/>
        </w:rPr>
        <w:t> </w:t>
      </w:r>
      <w:r>
        <w:rPr/>
        <w:t>costs; the two are independent of each other.</w:t>
      </w:r>
    </w:p>
    <w:p>
      <w:pPr>
        <w:pStyle w:val="BodyText"/>
        <w:spacing w:before="10"/>
        <w:ind w:left="0"/>
      </w:pPr>
    </w:p>
    <w:p>
      <w:pPr>
        <w:pStyle w:val="Heading1"/>
      </w:pPr>
      <w:bookmarkStart w:name="Schedule 3: Service Standards" w:id="29"/>
      <w:bookmarkEnd w:id="29"/>
      <w:r>
        <w:rPr>
          <w:b w:val="0"/>
        </w:rPr>
      </w:r>
      <w:r>
        <w:rPr>
          <w:color w:val="0B0B0E"/>
          <w:w w:val="90"/>
        </w:rPr>
        <w:t>Schedule</w:t>
      </w:r>
      <w:r>
        <w:rPr>
          <w:color w:val="0B0B0E"/>
        </w:rPr>
        <w:t> </w:t>
      </w:r>
      <w:r>
        <w:rPr>
          <w:color w:val="0B0B0E"/>
          <w:w w:val="90"/>
        </w:rPr>
        <w:t>3:</w:t>
      </w:r>
      <w:r>
        <w:rPr>
          <w:color w:val="0B0B0E"/>
          <w:spacing w:val="1"/>
        </w:rPr>
        <w:t> </w:t>
      </w:r>
      <w:r>
        <w:rPr>
          <w:color w:val="0B0B0E"/>
          <w:w w:val="90"/>
        </w:rPr>
        <w:t>Service</w:t>
      </w:r>
      <w:r>
        <w:rPr>
          <w:color w:val="0B0B0E"/>
        </w:rPr>
        <w:t> </w:t>
      </w:r>
      <w:r>
        <w:rPr>
          <w:color w:val="0B0B0E"/>
          <w:spacing w:val="-2"/>
          <w:w w:val="90"/>
        </w:rPr>
        <w:t>Standards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91" coordorigin="0,0" coordsize="9637,15">
                <v:shape style="position:absolute;left:0;top:7;width:9637;height:2" id="docshape92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line="187" w:lineRule="auto" w:before="177"/>
        <w:ind w:left="2" w:right="174"/>
      </w:pPr>
      <w:r>
        <w:rPr/>
        <w:t>Times</w:t>
      </w:r>
      <w:r>
        <w:rPr>
          <w:spacing w:val="19"/>
        </w:rPr>
        <w:t> </w:t>
      </w:r>
      <w:r>
        <w:rPr/>
        <w:t>are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Business</w:t>
      </w:r>
      <w:r>
        <w:rPr>
          <w:spacing w:val="19"/>
        </w:rPr>
        <w:t> </w:t>
      </w:r>
      <w:r>
        <w:rPr/>
        <w:t>Days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business</w:t>
      </w:r>
      <w:r>
        <w:rPr>
          <w:spacing w:val="19"/>
        </w:rPr>
        <w:t> </w:t>
      </w:r>
      <w:r>
        <w:rPr/>
        <w:t>hours</w:t>
      </w:r>
      <w:r>
        <w:rPr>
          <w:spacing w:val="19"/>
        </w:rPr>
        <w:t> </w:t>
      </w:r>
      <w:r>
        <w:rPr/>
        <w:t>(08:00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18:00)</w:t>
      </w:r>
      <w:r>
        <w:rPr>
          <w:spacing w:val="19"/>
        </w:rPr>
        <w:t> </w:t>
      </w:r>
      <w:r>
        <w:rPr/>
        <w:t>unless</w:t>
      </w:r>
      <w:r>
        <w:rPr>
          <w:spacing w:val="19"/>
        </w:rPr>
        <w:t> </w:t>
      </w:r>
      <w:r>
        <w:rPr/>
        <w:t>stated.</w:t>
      </w:r>
      <w:r>
        <w:rPr>
          <w:spacing w:val="19"/>
        </w:rPr>
        <w:t> </w:t>
      </w:r>
      <w:r>
        <w:rPr/>
        <w:t>★</w:t>
      </w:r>
      <w:r>
        <w:rPr>
          <w:spacing w:val="19"/>
        </w:rPr>
        <w:t> </w:t>
      </w:r>
      <w:r>
        <w:rPr/>
        <w:t>marks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Mone</w:t>
      </w:r>
      <w:r>
        <w:rPr/>
        <w:t>y</w:t>
      </w:r>
      <w:r>
        <w:rPr/>
        <w:t> Service Standard.</w:t>
      </w:r>
    </w:p>
    <w:p>
      <w:pPr>
        <w:pStyle w:val="Heading2"/>
        <w:spacing w:before="233"/>
      </w:pPr>
      <w:bookmarkStart w:name="Part A: PropertyFlow" w:id="30"/>
      <w:bookmarkEnd w:id="30"/>
      <w:r>
        <w:rPr>
          <w:b w:val="0"/>
        </w:rPr>
      </w:r>
      <w:r>
        <w:rPr>
          <w:color w:val="FF0256"/>
          <w:w w:val="105"/>
        </w:rPr>
        <w:t>Part</w:t>
      </w:r>
      <w:r>
        <w:rPr>
          <w:color w:val="FF0256"/>
          <w:spacing w:val="-16"/>
          <w:w w:val="105"/>
        </w:rPr>
        <w:t> </w:t>
      </w:r>
      <w:r>
        <w:rPr>
          <w:color w:val="FF0256"/>
          <w:w w:val="105"/>
        </w:rPr>
        <w:t>A:</w:t>
      </w:r>
      <w:r>
        <w:rPr>
          <w:color w:val="FF0256"/>
          <w:spacing w:val="-16"/>
          <w:w w:val="105"/>
        </w:rPr>
        <w:t> </w:t>
      </w:r>
      <w:r>
        <w:rPr>
          <w:color w:val="FF0256"/>
          <w:spacing w:val="-2"/>
          <w:w w:val="105"/>
        </w:rPr>
        <w:t>PropertyFlow</w:t>
      </w:r>
    </w:p>
    <w:p>
      <w:pPr>
        <w:pStyle w:val="BodyText"/>
        <w:spacing w:before="6"/>
        <w:ind w:left="0"/>
        <w:rPr>
          <w:rFonts w:ascii="Century Gothic"/>
          <w:b/>
          <w:sz w:val="10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7138"/>
      </w:tblGrid>
      <w:tr>
        <w:trPr>
          <w:trHeight w:val="440" w:hRule="atLeast"/>
        </w:trPr>
        <w:tc>
          <w:tcPr>
            <w:tcW w:w="2500" w:type="dxa"/>
            <w:shd w:val="clear" w:color="auto" w:fill="0B0B0E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7138" w:type="dxa"/>
            <w:shd w:val="clear" w:color="auto" w:fill="0B0B0E"/>
          </w:tcPr>
          <w:p>
            <w:pPr>
              <w:pStyle w:val="TableParagraph"/>
              <w:spacing w:before="9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Standard</w:t>
            </w:r>
          </w:p>
        </w:tc>
      </w:tr>
      <w:tr>
        <w:trPr>
          <w:trHeight w:val="700" w:hRule="atLeast"/>
        </w:trPr>
        <w:tc>
          <w:tcPr>
            <w:tcW w:w="2500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w w:val="105"/>
                <w:sz w:val="18"/>
              </w:rPr>
              <w:t>★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Landlord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payouts</w:t>
            </w:r>
          </w:p>
        </w:tc>
        <w:tc>
          <w:tcPr>
            <w:tcW w:w="7138" w:type="dxa"/>
          </w:tcPr>
          <w:p>
            <w:pPr>
              <w:pStyle w:val="TableParagraph"/>
              <w:spacing w:line="194" w:lineRule="auto" w:before="93"/>
              <w:ind w:right="161"/>
              <w:rPr>
                <w:sz w:val="18"/>
              </w:rPr>
            </w:pPr>
            <w:r>
              <w:rPr>
                <w:sz w:val="18"/>
              </w:rPr>
              <w:t>On payout day, no later than the fifth Business Day of the following month, </w:t>
            </w:r>
            <w:r>
              <w:rPr>
                <w:sz w:val="18"/>
              </w:rPr>
              <w:t>with</w:t>
            </w:r>
            <w:r>
              <w:rPr>
                <w:sz w:val="18"/>
              </w:rPr>
              <w:t> an itemised Statement.</w:t>
            </w:r>
          </w:p>
        </w:tc>
      </w:tr>
      <w:tr>
        <w:trPr>
          <w:trHeight w:val="96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w w:val="105"/>
                <w:sz w:val="18"/>
              </w:rPr>
              <w:t>★</w:t>
            </w:r>
            <w:r>
              <w:rPr>
                <w:spacing w:val="-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Supplier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payments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line="194" w:lineRule="auto" w:before="93"/>
              <w:ind w:right="386"/>
              <w:rPr>
                <w:sz w:val="18"/>
              </w:rPr>
            </w:pPr>
            <w:r>
              <w:rPr>
                <w:sz w:val="18"/>
              </w:rPr>
              <w:t>Service Partner invoices paid within 2 Business Days of cycle </w:t>
            </w:r>
            <w:r>
              <w:rPr>
                <w:sz w:val="18"/>
              </w:rPr>
              <w:t>close;</w:t>
            </w:r>
            <w:r>
              <w:rPr>
                <w:sz w:val="18"/>
              </w:rPr>
              <w:t> Maintenance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Partner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tickets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completion;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validated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invoice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outstanding</w:t>
            </w:r>
            <w:r>
              <w:rPr>
                <w:sz w:val="18"/>
              </w:rPr>
              <w:t> more than 5 Business Days.</w:t>
            </w:r>
          </w:p>
        </w:tc>
      </w:tr>
      <w:tr>
        <w:trPr>
          <w:trHeight w:val="700" w:hRule="atLeast"/>
        </w:trPr>
        <w:tc>
          <w:tcPr>
            <w:tcW w:w="2500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w w:val="115"/>
                <w:sz w:val="18"/>
              </w:rPr>
              <w:t>★</w:t>
            </w:r>
            <w:r>
              <w:rPr>
                <w:spacing w:val="1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Commission</w:t>
            </w:r>
          </w:p>
        </w:tc>
        <w:tc>
          <w:tcPr>
            <w:tcW w:w="7138" w:type="dxa"/>
          </w:tcPr>
          <w:p>
            <w:pPr>
              <w:pStyle w:val="TableParagraph"/>
              <w:spacing w:line="194" w:lineRule="auto" w:before="93"/>
              <w:rPr>
                <w:sz w:val="18"/>
              </w:rPr>
            </w:pPr>
            <w:r>
              <w:rPr>
                <w:sz w:val="18"/>
              </w:rPr>
              <w:t>Statement, self-billed invoice and payment on payout day, no later than the f</w:t>
            </w:r>
            <w:r>
              <w:rPr>
                <w:sz w:val="18"/>
              </w:rPr>
              <w:t>ifth</w:t>
            </w:r>
            <w:r>
              <w:rPr>
                <w:sz w:val="18"/>
              </w:rPr>
              <w:t> Business Day.</w:t>
            </w:r>
          </w:p>
        </w:tc>
      </w:tr>
      <w:tr>
        <w:trPr>
          <w:trHeight w:val="70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Reconciliation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line="194" w:lineRule="auto" w:before="93"/>
              <w:ind w:right="161"/>
              <w:rPr>
                <w:sz w:val="18"/>
              </w:rPr>
            </w:pPr>
            <w:r>
              <w:rPr>
                <w:sz w:val="18"/>
              </w:rPr>
              <w:t>Monthly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three-way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reconciliation;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Ledger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reports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available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Ope</w:t>
            </w:r>
            <w:r>
              <w:rPr>
                <w:sz w:val="18"/>
              </w:rPr>
              <w:t>rator</w:t>
            </w:r>
            <w:r>
              <w:rPr>
                <w:sz w:val="18"/>
              </w:rPr>
              <w:t> read-only on payout day.</w:t>
            </w:r>
          </w:p>
        </w:tc>
      </w:tr>
      <w:tr>
        <w:trPr>
          <w:trHeight w:val="700" w:hRule="atLeast"/>
        </w:trPr>
        <w:tc>
          <w:tcPr>
            <w:tcW w:w="2500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Signing</w:t>
            </w:r>
          </w:p>
        </w:tc>
        <w:tc>
          <w:tcPr>
            <w:tcW w:w="7138" w:type="dxa"/>
          </w:tcPr>
          <w:p>
            <w:pPr>
              <w:pStyle w:val="TableParagraph"/>
              <w:spacing w:line="194" w:lineRule="auto" w:before="93"/>
              <w:ind w:right="386"/>
              <w:rPr>
                <w:sz w:val="18"/>
              </w:rPr>
            </w:pPr>
            <w:r>
              <w:rPr>
                <w:sz w:val="18"/>
              </w:rPr>
              <w:t>Duplicate check on entry; countersignature of a Landlord Agreement, or 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 decline with reasons, within 1 Business Day of a complete Intake.</w:t>
            </w:r>
          </w:p>
        </w:tc>
      </w:tr>
      <w:tr>
        <w:trPr>
          <w:trHeight w:val="122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spacing w:line="194" w:lineRule="auto" w:before="93"/>
              <w:ind w:left="110" w:right="239"/>
              <w:rPr>
                <w:sz w:val="18"/>
              </w:rPr>
            </w:pPr>
            <w:r>
              <w:rPr>
                <w:sz w:val="18"/>
              </w:rPr>
              <w:t>Onboarding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48-</w:t>
            </w:r>
            <w:r>
              <w:rPr>
                <w:sz w:val="18"/>
              </w:rPr>
              <w:t>hour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standard)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line="194" w:lineRule="auto" w:before="93"/>
              <w:ind w:right="161"/>
              <w:rPr>
                <w:sz w:val="18"/>
              </w:rPr>
            </w:pPr>
            <w:r>
              <w:rPr>
                <w:sz w:val="18"/>
              </w:rPr>
              <w:t>Within 2 Business Days of countersignature: every compliance item verified 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 booked with a named provider on a confirmed date; certification instructed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same day as countersignature where the Landlord has confirmed access;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Status Report issued to the Landlord and the Operator.</w:t>
            </w:r>
          </w:p>
        </w:tc>
      </w:tr>
      <w:tr>
        <w:trPr>
          <w:trHeight w:val="1480" w:hRule="atLeast"/>
        </w:trPr>
        <w:tc>
          <w:tcPr>
            <w:tcW w:w="2500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Compliance and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licensing</w:t>
            </w:r>
          </w:p>
        </w:tc>
        <w:tc>
          <w:tcPr>
            <w:tcW w:w="7138" w:type="dxa"/>
          </w:tcPr>
          <w:p>
            <w:pPr>
              <w:pStyle w:val="TableParagraph"/>
              <w:spacing w:line="194" w:lineRule="auto" w:before="93"/>
              <w:ind w:right="201"/>
              <w:rPr>
                <w:sz w:val="18"/>
              </w:rPr>
            </w:pPr>
            <w:r>
              <w:rPr>
                <w:sz w:val="18"/>
              </w:rPr>
              <w:t>Licence application lodged within 5 Business Days of a complete pack; </w:t>
            </w:r>
            <w:r>
              <w:rPr>
                <w:sz w:val="18"/>
              </w:rPr>
              <w:t>listings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live on every Booking Channel within 5 Business Days of Go-live Sign-off; </w:t>
            </w:r>
            <w:r>
              <w:rPr>
                <w:sz w:val="18"/>
              </w:rPr>
              <w:t>expiry</w:t>
            </w:r>
            <w:r>
              <w:rPr>
                <w:sz w:val="18"/>
              </w:rPr>
              <w:t> alerts at 60 and 30 days; tracker updated within 2 Business Days of </w:t>
            </w:r>
            <w:r>
              <w:rPr>
                <w:sz w:val="18"/>
              </w:rPr>
              <w:t>council</w:t>
            </w:r>
            <w:r>
              <w:rPr>
                <w:sz w:val="18"/>
              </w:rPr>
              <w:t> correspondence; Operator told the same day of any refusal, condition 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 enforcement contact.</w:t>
            </w:r>
          </w:p>
        </w:tc>
      </w:tr>
      <w:tr>
        <w:trPr>
          <w:trHeight w:val="70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z w:val="18"/>
              </w:rPr>
              <w:t>Guest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messaging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line="194" w:lineRule="auto" w:before="93"/>
              <w:ind w:right="386"/>
              <w:rPr>
                <w:sz w:val="18"/>
              </w:rPr>
            </w:pPr>
            <w:r>
              <w:rPr>
                <w:sz w:val="18"/>
              </w:rPr>
              <w:t>First response within 1 hour, 08:00 to 22:00, 7 days; check-in instructions </w:t>
            </w:r>
            <w:r>
              <w:rPr>
                <w:sz w:val="18"/>
              </w:rPr>
              <w:t>48</w:t>
            </w:r>
            <w:r>
              <w:rPr>
                <w:sz w:val="18"/>
              </w:rPr>
              <w:t> hours before arrival; emergency line 24/7.</w:t>
            </w:r>
          </w:p>
        </w:tc>
      </w:tr>
      <w:tr>
        <w:trPr>
          <w:trHeight w:val="659" w:hRule="atLeast"/>
        </w:trPr>
        <w:tc>
          <w:tcPr>
            <w:tcW w:w="2500" w:type="dxa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Maintenance</w:t>
            </w:r>
          </w:p>
        </w:tc>
        <w:tc>
          <w:tcPr>
            <w:tcW w:w="7138" w:type="dxa"/>
          </w:tcPr>
          <w:p>
            <w:pPr>
              <w:pStyle w:val="TableParagraph"/>
              <w:spacing w:line="194" w:lineRule="auto" w:before="93"/>
              <w:rPr>
                <w:sz w:val="18"/>
              </w:rPr>
            </w:pPr>
            <w:r>
              <w:rPr>
                <w:sz w:val="18"/>
              </w:rPr>
              <w:t>Acknowledged within 4 business hours; non-urgent job raised within 1 </w:t>
            </w:r>
            <w:r>
              <w:rPr>
                <w:sz w:val="18"/>
              </w:rPr>
              <w:t>Business</w:t>
            </w:r>
            <w:r>
              <w:rPr>
                <w:sz w:val="18"/>
              </w:rPr>
              <w:t> Day; urgent (no heat, no water, security, safety) contractor instructed within 4</w:t>
            </w:r>
          </w:p>
        </w:tc>
      </w:tr>
    </w:tbl>
    <w:p>
      <w:pPr>
        <w:pStyle w:val="TableParagraph"/>
        <w:spacing w:after="0" w:line="194" w:lineRule="auto"/>
        <w:rPr>
          <w:sz w:val="18"/>
        </w:rPr>
        <w:sectPr>
          <w:headerReference w:type="default" r:id="rId16"/>
          <w:footerReference w:type="default" r:id="rId17"/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8"/>
        <w:ind w:left="0"/>
        <w:rPr>
          <w:rFonts w:ascii="Century Gothic"/>
          <w:b/>
          <w:sz w:val="9"/>
        </w:rPr>
      </w:pP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93" coordorigin="0,0" coordsize="9637,15">
                <v:shape style="position:absolute;left:0;top:7;width:9637;height:2" id="docshape94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before="3"/>
        <w:ind w:left="0"/>
        <w:rPr>
          <w:rFonts w:ascii="Century Gothic"/>
          <w:b/>
          <w:sz w:val="11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7138"/>
      </w:tblGrid>
      <w:tr>
        <w:trPr>
          <w:trHeight w:val="440" w:hRule="atLeast"/>
        </w:trPr>
        <w:tc>
          <w:tcPr>
            <w:tcW w:w="2500" w:type="dxa"/>
            <w:shd w:val="clear" w:color="auto" w:fill="0B0B0E"/>
          </w:tcPr>
          <w:p>
            <w:pPr>
              <w:pStyle w:val="TableParagraph"/>
              <w:spacing w:before="98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7138" w:type="dxa"/>
            <w:shd w:val="clear" w:color="auto" w:fill="0B0B0E"/>
          </w:tcPr>
          <w:p>
            <w:pPr>
              <w:pStyle w:val="TableParagraph"/>
              <w:spacing w:before="9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Standard</w:t>
            </w:r>
          </w:p>
        </w:tc>
      </w:tr>
      <w:tr>
        <w:trPr>
          <w:trHeight w:val="440" w:hRule="atLeast"/>
        </w:trPr>
        <w:tc>
          <w:tcPr>
            <w:tcW w:w="250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8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hours;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Landlord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Operator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updated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stage.</w:t>
            </w:r>
          </w:p>
        </w:tc>
      </w:tr>
      <w:tr>
        <w:trPr>
          <w:trHeight w:val="44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spacing w:before="49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Portfolio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Operator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queries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answered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Day;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monthly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report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payout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day.</w:t>
            </w:r>
          </w:p>
        </w:tc>
      </w:tr>
    </w:tbl>
    <w:p>
      <w:pPr>
        <w:pStyle w:val="BodyText"/>
        <w:spacing w:before="138"/>
        <w:ind w:left="0"/>
        <w:rPr>
          <w:rFonts w:ascii="Century Gothic"/>
          <w:b/>
        </w:rPr>
      </w:pP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0" w:after="0"/>
        <w:ind w:left="543" w:right="304" w:hanging="300"/>
        <w:jc w:val="left"/>
        <w:rPr>
          <w:sz w:val="20"/>
        </w:rPr>
      </w:pPr>
      <w:r>
        <w:rPr>
          <w:sz w:val="20"/>
        </w:rPr>
        <w:t>Each failure is logged with a root cause and corrective action within 5 Business Days. Three </w:t>
      </w:r>
      <w:r>
        <w:rPr>
          <w:sz w:val="20"/>
        </w:rPr>
        <w:t>★</w:t>
      </w:r>
      <w:r>
        <w:rPr>
          <w:spacing w:val="40"/>
          <w:sz w:val="20"/>
        </w:rPr>
        <w:t> </w:t>
      </w:r>
      <w:r>
        <w:rPr>
          <w:sz w:val="20"/>
        </w:rPr>
        <w:t>failures attributable to PropertyFlow in any rolling six months, each notified in writing and </w:t>
      </w:r>
      <w:r>
        <w:rPr>
          <w:sz w:val="20"/>
        </w:rPr>
        <w:t>not</w:t>
      </w:r>
      <w:r>
        <w:rPr>
          <w:sz w:val="20"/>
        </w:rPr>
        <w:t> cured within 5 Business Days, give the Operator the right in clause 15.4. Failures caused by </w:t>
      </w:r>
      <w:r>
        <w:rPr>
          <w:sz w:val="20"/>
        </w:rPr>
        <w:t>a</w:t>
      </w:r>
      <w:r>
        <w:rPr>
          <w:sz w:val="20"/>
        </w:rPr>
        <w:t> bank, payment processor or Booking Channel, by a Landlord's or the Operator's delay, by </w:t>
      </w:r>
      <w:r>
        <w:rPr>
          <w:sz w:val="20"/>
        </w:rPr>
        <w:t>a</w:t>
      </w:r>
      <w:r>
        <w:rPr>
          <w:sz w:val="20"/>
        </w:rPr>
        <w:t> council's timescale, or by incomplete information do not count.</w:t>
      </w:r>
    </w:p>
    <w:p>
      <w:pPr>
        <w:pStyle w:val="Heading2"/>
        <w:spacing w:before="230"/>
      </w:pPr>
      <w:bookmarkStart w:name="Part B: Operator" w:id="31"/>
      <w:bookmarkEnd w:id="31"/>
      <w:r>
        <w:rPr>
          <w:b w:val="0"/>
        </w:rPr>
      </w:r>
      <w:r>
        <w:rPr>
          <w:color w:val="FF0256"/>
          <w:w w:val="105"/>
        </w:rPr>
        <w:t>Part</w:t>
      </w:r>
      <w:r>
        <w:rPr>
          <w:color w:val="FF0256"/>
          <w:spacing w:val="-7"/>
          <w:w w:val="105"/>
        </w:rPr>
        <w:t> </w:t>
      </w:r>
      <w:r>
        <w:rPr>
          <w:color w:val="FF0256"/>
          <w:w w:val="105"/>
        </w:rPr>
        <w:t>B:</w:t>
      </w:r>
      <w:r>
        <w:rPr>
          <w:color w:val="FF0256"/>
          <w:spacing w:val="-6"/>
          <w:w w:val="105"/>
        </w:rPr>
        <w:t> </w:t>
      </w:r>
      <w:r>
        <w:rPr>
          <w:color w:val="FF0256"/>
          <w:spacing w:val="-2"/>
          <w:w w:val="105"/>
        </w:rPr>
        <w:t>Operator</w:t>
      </w:r>
    </w:p>
    <w:p>
      <w:pPr>
        <w:pStyle w:val="BodyText"/>
        <w:spacing w:before="6" w:after="1"/>
        <w:ind w:left="0"/>
        <w:rPr>
          <w:rFonts w:ascii="Century Gothic"/>
          <w:b/>
          <w:sz w:val="10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0"/>
        <w:gridCol w:w="7138"/>
      </w:tblGrid>
      <w:tr>
        <w:trPr>
          <w:trHeight w:val="440" w:hRule="atLeast"/>
        </w:trPr>
        <w:tc>
          <w:tcPr>
            <w:tcW w:w="2500" w:type="dxa"/>
            <w:shd w:val="clear" w:color="auto" w:fill="0B0B0E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4"/>
                <w:sz w:val="18"/>
              </w:rPr>
              <w:t>Area</w:t>
            </w:r>
          </w:p>
        </w:tc>
        <w:tc>
          <w:tcPr>
            <w:tcW w:w="7138" w:type="dxa"/>
            <w:shd w:val="clear" w:color="auto" w:fill="0B0B0E"/>
          </w:tcPr>
          <w:p>
            <w:pPr>
              <w:pStyle w:val="TableParagraph"/>
              <w:spacing w:before="97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color w:val="FFFFFF"/>
                <w:spacing w:val="-2"/>
                <w:sz w:val="18"/>
              </w:rPr>
              <w:t>Standard</w:t>
            </w:r>
          </w:p>
        </w:tc>
      </w:tr>
      <w:tr>
        <w:trPr>
          <w:trHeight w:val="440" w:hRule="atLeast"/>
        </w:trPr>
        <w:tc>
          <w:tcPr>
            <w:tcW w:w="2500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Intake</w:t>
            </w:r>
          </w:p>
        </w:tc>
        <w:tc>
          <w:tcPr>
            <w:tcW w:w="71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Complete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truthful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Landlord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Agreement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initiated.</w:t>
            </w:r>
          </w:p>
        </w:tc>
      </w:tr>
      <w:tr>
        <w:trPr>
          <w:trHeight w:val="70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Onboarding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line="194" w:lineRule="auto" w:before="92"/>
              <w:rPr>
                <w:sz w:val="18"/>
              </w:rPr>
            </w:pPr>
            <w:r>
              <w:rPr>
                <w:sz w:val="18"/>
              </w:rPr>
              <w:t>Landlord's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Onboarding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stage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complete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signature;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missing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item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Platform within 2 Business Days of countersignature.</w:t>
            </w:r>
          </w:p>
        </w:tc>
      </w:tr>
      <w:tr>
        <w:trPr>
          <w:trHeight w:val="439" w:hRule="atLeast"/>
        </w:trPr>
        <w:tc>
          <w:tcPr>
            <w:tcW w:w="2500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Responsiveness</w:t>
            </w:r>
          </w:p>
        </w:tc>
        <w:tc>
          <w:tcPr>
            <w:tcW w:w="71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Landlord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PropertyFlow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queries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answered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within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4"/>
                <w:sz w:val="18"/>
              </w:rPr>
              <w:t>Day.</w:t>
            </w:r>
          </w:p>
        </w:tc>
      </w:tr>
      <w:tr>
        <w:trPr>
          <w:trHeight w:val="70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Escalation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spacing w:line="194" w:lineRule="auto" w:before="92"/>
              <w:ind w:right="386"/>
              <w:rPr>
                <w:sz w:val="18"/>
              </w:rPr>
            </w:pPr>
            <w:r>
              <w:rPr>
                <w:sz w:val="18"/>
              </w:rPr>
              <w:t>Complaints, incidents, safety or compliance issues and any council </w:t>
            </w:r>
            <w:r>
              <w:rPr>
                <w:sz w:val="18"/>
              </w:rPr>
              <w:t>or</w:t>
            </w:r>
            <w:r>
              <w:rPr>
                <w:sz w:val="18"/>
              </w:rPr>
              <w:t> enforcement contact reported the same day.</w:t>
            </w:r>
          </w:p>
        </w:tc>
      </w:tr>
      <w:tr>
        <w:trPr>
          <w:trHeight w:val="440" w:hRule="atLeast"/>
        </w:trPr>
        <w:tc>
          <w:tcPr>
            <w:tcW w:w="2500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Relationship</w:t>
            </w:r>
          </w:p>
        </w:tc>
        <w:tc>
          <w:tcPr>
            <w:tcW w:w="71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Quarterly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check-in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Introduced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Landlord,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logged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Platform.</w:t>
            </w:r>
          </w:p>
        </w:tc>
      </w:tr>
      <w:tr>
        <w:trPr>
          <w:trHeight w:val="440" w:hRule="atLeast"/>
        </w:trPr>
        <w:tc>
          <w:tcPr>
            <w:tcW w:w="2500" w:type="dxa"/>
            <w:shd w:val="clear" w:color="auto" w:fill="F6F6F7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Pipeline</w:t>
            </w:r>
          </w:p>
        </w:tc>
        <w:tc>
          <w:tcPr>
            <w:tcW w:w="7138" w:type="dxa"/>
            <w:shd w:val="clear" w:color="auto" w:fill="F6F6F7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Kept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Platform;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monthly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pipeline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report.</w:t>
            </w:r>
          </w:p>
        </w:tc>
      </w:tr>
      <w:tr>
        <w:trPr>
          <w:trHeight w:val="440" w:hRule="atLeast"/>
        </w:trPr>
        <w:tc>
          <w:tcPr>
            <w:tcW w:w="2500" w:type="dxa"/>
          </w:tcPr>
          <w:p>
            <w:pPr>
              <w:pStyle w:val="TableParagraph"/>
              <w:ind w:left="110"/>
              <w:rPr>
                <w:sz w:val="18"/>
              </w:rPr>
            </w:pPr>
            <w:r>
              <w:rPr>
                <w:w w:val="105"/>
                <w:sz w:val="18"/>
              </w:rPr>
              <w:t>Sales</w:t>
            </w:r>
            <w:r>
              <w:rPr>
                <w:spacing w:val="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Target</w:t>
            </w:r>
          </w:p>
        </w:tc>
        <w:tc>
          <w:tcPr>
            <w:tcW w:w="71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notified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clause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5.5,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reviewed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quarterly.</w:t>
            </w:r>
          </w:p>
        </w:tc>
      </w:tr>
    </w:tbl>
    <w:p>
      <w:pPr>
        <w:pStyle w:val="BodyText"/>
        <w:spacing w:before="128"/>
        <w:ind w:left="0"/>
        <w:rPr>
          <w:rFonts w:ascii="Century Gothic"/>
          <w:b/>
          <w:sz w:val="22"/>
        </w:rPr>
      </w:pPr>
    </w:p>
    <w:p>
      <w:pPr>
        <w:pStyle w:val="Heading1"/>
      </w:pPr>
      <w:bookmarkStart w:name="Schedule 4: Onboarding Pack and listing " w:id="32"/>
      <w:bookmarkEnd w:id="32"/>
      <w:r>
        <w:rPr>
          <w:b w:val="0"/>
        </w:rPr>
      </w:r>
      <w:r>
        <w:rPr>
          <w:color w:val="0B0B0E"/>
          <w:w w:val="90"/>
        </w:rPr>
        <w:t>Schedule</w:t>
      </w:r>
      <w:r>
        <w:rPr>
          <w:color w:val="0B0B0E"/>
          <w:spacing w:val="14"/>
        </w:rPr>
        <w:t> </w:t>
      </w:r>
      <w:r>
        <w:rPr>
          <w:color w:val="0B0B0E"/>
          <w:w w:val="90"/>
        </w:rPr>
        <w:t>fi:</w:t>
      </w:r>
      <w:r>
        <w:rPr>
          <w:color w:val="0B0B0E"/>
          <w:spacing w:val="13"/>
        </w:rPr>
        <w:t> </w:t>
      </w:r>
      <w:r>
        <w:rPr>
          <w:color w:val="0B0B0E"/>
          <w:w w:val="90"/>
        </w:rPr>
        <w:t>Onboarding</w:t>
      </w:r>
      <w:r>
        <w:rPr>
          <w:color w:val="0B0B0E"/>
          <w:spacing w:val="14"/>
        </w:rPr>
        <w:t> </w:t>
      </w:r>
      <w:r>
        <w:rPr>
          <w:color w:val="0B0B0E"/>
          <w:w w:val="90"/>
        </w:rPr>
        <w:t>Pack</w:t>
      </w:r>
      <w:r>
        <w:rPr>
          <w:color w:val="0B0B0E"/>
          <w:spacing w:val="14"/>
        </w:rPr>
        <w:t> </w:t>
      </w:r>
      <w:r>
        <w:rPr>
          <w:color w:val="0B0B0E"/>
          <w:w w:val="90"/>
        </w:rPr>
        <w:t>and</w:t>
      </w:r>
      <w:r>
        <w:rPr>
          <w:color w:val="0B0B0E"/>
          <w:spacing w:val="14"/>
        </w:rPr>
        <w:t> </w:t>
      </w:r>
      <w:r>
        <w:rPr>
          <w:color w:val="0B0B0E"/>
          <w:w w:val="90"/>
        </w:rPr>
        <w:t>listing</w:t>
      </w:r>
      <w:r>
        <w:rPr>
          <w:color w:val="0B0B0E"/>
          <w:spacing w:val="14"/>
        </w:rPr>
        <w:t> </w:t>
      </w:r>
      <w:r>
        <w:rPr>
          <w:color w:val="0B0B0E"/>
          <w:spacing w:val="-2"/>
          <w:w w:val="90"/>
        </w:rPr>
        <w:t>migration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95" coordorigin="0,0" coordsize="9637,15">
                <v:shape style="position:absolute;left:0;top:7;width:9637;height:2" id="docshape96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Heading2"/>
        <w:spacing w:before="254"/>
      </w:pPr>
      <w:bookmarkStart w:name="Part A: The Onboarding Pack" w:id="33"/>
      <w:bookmarkEnd w:id="33"/>
      <w:r>
        <w:rPr>
          <w:b w:val="0"/>
        </w:rPr>
      </w:r>
      <w:r>
        <w:rPr>
          <w:color w:val="FF0256"/>
          <w:spacing w:val="-2"/>
        </w:rPr>
        <w:t>Part</w:t>
      </w:r>
      <w:r>
        <w:rPr>
          <w:color w:val="FF0256"/>
          <w:spacing w:val="-11"/>
        </w:rPr>
        <w:t> </w:t>
      </w:r>
      <w:r>
        <w:rPr>
          <w:color w:val="FF0256"/>
          <w:spacing w:val="-2"/>
        </w:rPr>
        <w:t>A:</w:t>
      </w:r>
      <w:r>
        <w:rPr>
          <w:color w:val="FF0256"/>
          <w:spacing w:val="-11"/>
        </w:rPr>
        <w:t> </w:t>
      </w:r>
      <w:r>
        <w:rPr>
          <w:color w:val="FF0256"/>
          <w:spacing w:val="-2"/>
        </w:rPr>
        <w:t>The</w:t>
      </w:r>
      <w:r>
        <w:rPr>
          <w:color w:val="FF0256"/>
          <w:spacing w:val="-10"/>
        </w:rPr>
        <w:t> </w:t>
      </w:r>
      <w:r>
        <w:rPr>
          <w:color w:val="FF0256"/>
          <w:spacing w:val="-2"/>
        </w:rPr>
        <w:t>Onboarding</w:t>
      </w:r>
      <w:r>
        <w:rPr>
          <w:color w:val="FF0256"/>
          <w:spacing w:val="-11"/>
        </w:rPr>
        <w:t> </w:t>
      </w:r>
      <w:r>
        <w:rPr>
          <w:color w:val="FF0256"/>
          <w:spacing w:val="-4"/>
        </w:rPr>
        <w:t>Pack</w:t>
      </w:r>
    </w:p>
    <w:p>
      <w:pPr>
        <w:pStyle w:val="BodyText"/>
        <w:spacing w:line="187" w:lineRule="auto" w:before="151"/>
        <w:ind w:left="2" w:right="174"/>
      </w:pPr>
      <w:r>
        <w:rPr>
          <w:rFonts w:ascii="Tahoma"/>
          <w:b/>
          <w:spacing w:val="-2"/>
        </w:rPr>
        <w:t>Stage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1,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Intake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(Operator,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on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the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Platform,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before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the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Landlord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Agreement</w:t>
      </w:r>
      <w:r>
        <w:rPr>
          <w:rFonts w:ascii="Tahoma"/>
          <w:b/>
          <w:spacing w:val="-13"/>
        </w:rPr>
        <w:t> </w:t>
      </w:r>
      <w:r>
        <w:rPr>
          <w:rFonts w:ascii="Tahoma"/>
          <w:b/>
          <w:spacing w:val="-2"/>
        </w:rPr>
        <w:t>is</w:t>
      </w:r>
      <w:r>
        <w:rPr>
          <w:rFonts w:ascii="Tahoma"/>
          <w:b/>
          <w:spacing w:val="-12"/>
        </w:rPr>
        <w:t> </w:t>
      </w:r>
      <w:r>
        <w:rPr>
          <w:rFonts w:ascii="Tahoma"/>
          <w:b/>
          <w:spacing w:val="-2"/>
        </w:rPr>
        <w:t>initiated):</w:t>
      </w:r>
      <w:r>
        <w:rPr>
          <w:rFonts w:ascii="Tahoma"/>
          <w:b/>
          <w:spacing w:val="-13"/>
        </w:rPr>
        <w:t> </w:t>
      </w:r>
      <w:r>
        <w:rPr>
          <w:spacing w:val="-2"/>
        </w:rPr>
        <w:t>Landlord</w:t>
      </w:r>
      <w:r>
        <w:rPr>
          <w:spacing w:val="-2"/>
        </w:rPr>
        <w:t> </w:t>
      </w:r>
      <w:r>
        <w:rPr/>
        <w:t>identity and contact details; property address and description; ownership type and evidence of title </w:t>
      </w:r>
      <w:r>
        <w:rPr/>
        <w:t>or</w:t>
      </w:r>
      <w:r>
        <w:rPr/>
        <w:t> right to let; occupation status (no sitting tenants); lender, insurer, factor, freeholder or title </w:t>
      </w:r>
      <w:r>
        <w:rPr/>
        <w:t>consents</w:t>
      </w:r>
      <w:r>
        <w:rPr/>
        <w:t> where required; planning position and any existing Licence, application or council </w:t>
      </w:r>
      <w:r>
        <w:rPr/>
        <w:t>correspondence,</w:t>
      </w:r>
      <w:r>
        <w:rPr/>
        <w:t> checked against the Council Card; existing certification with expiry dates (gas, electrical </w:t>
      </w:r>
      <w:r>
        <w:rPr/>
        <w:t>installation,</w:t>
      </w:r>
      <w:r>
        <w:rPr/>
        <w:t> portable appliances, fire risk assessment or checklist, energy performance) and detection </w:t>
      </w:r>
      <w:r>
        <w:rPr/>
        <w:t>installed;</w:t>
      </w:r>
      <w:r>
        <w:rPr/>
        <w:t> buildings and contents insurance permitting short-term letting; existing Booking Channel </w:t>
      </w:r>
      <w:r>
        <w:rPr/>
        <w:t>listings,</w:t>
      </w:r>
      <w:r>
        <w:rPr/>
        <w:t> reviews and future bookings; the agreed Management Fee; whether an Operating Advance </w:t>
      </w:r>
      <w:r>
        <w:rPr/>
        <w:t>is</w:t>
      </w:r>
      <w:r>
        <w:rPr/>
        <w:t> </w:t>
      </w:r>
      <w:r>
        <w:rPr>
          <w:spacing w:val="-2"/>
        </w:rPr>
        <w:t>requested.</w:t>
      </w:r>
    </w:p>
    <w:p>
      <w:pPr>
        <w:pStyle w:val="BodyText"/>
        <w:spacing w:line="187" w:lineRule="auto" w:before="106"/>
        <w:ind w:left="2" w:right="174"/>
      </w:pPr>
      <w:r>
        <w:rPr>
          <w:rFonts w:ascii="Tahoma"/>
          <w:b/>
          <w:spacing w:val="-2"/>
        </w:rPr>
        <w:t>Stage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2,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Onboarding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(Landlord,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on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the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landlord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portal,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with</w:t>
      </w:r>
      <w:r>
        <w:rPr>
          <w:rFonts w:ascii="Tahoma"/>
          <w:b/>
          <w:spacing w:val="-11"/>
        </w:rPr>
        <w:t> </w:t>
      </w:r>
      <w:r>
        <w:rPr>
          <w:rFonts w:ascii="Tahoma"/>
          <w:b/>
          <w:spacing w:val="-2"/>
        </w:rPr>
        <w:t>signature):</w:t>
      </w:r>
      <w:r>
        <w:rPr>
          <w:rFonts w:ascii="Tahoma"/>
          <w:b/>
          <w:spacing w:val="9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documents</w:t>
      </w:r>
      <w:r>
        <w:rPr>
          <w:spacing w:val="7"/>
        </w:rPr>
        <w:t> </w:t>
      </w:r>
      <w:r>
        <w:rPr>
          <w:spacing w:val="-2"/>
        </w:rPr>
        <w:t>themse</w:t>
      </w:r>
      <w:r>
        <w:rPr>
          <w:spacing w:val="-2"/>
        </w:rPr>
        <w:t>lves,</w:t>
      </w:r>
      <w:r>
        <w:rPr>
          <w:spacing w:val="-2"/>
        </w:rPr>
        <w:t> </w:t>
      </w:r>
      <w:r>
        <w:rPr/>
        <w:t>uploaded by the Landlord against the checklist for the property; floor plan; inventory; </w:t>
      </w:r>
      <w:r>
        <w:rPr/>
        <w:t>access</w:t>
      </w:r>
      <w:r>
        <w:rPr/>
        <w:t> arrangements; bank details for payouts and the tax information required for platform </w:t>
      </w:r>
      <w:r>
        <w:rPr/>
        <w:t>reporting,</w:t>
      </w:r>
      <w:r>
        <w:rPr/>
        <w:t> entered by the Landlord directly, never given to the Operator; for properties in Scotland, the pe</w:t>
      </w:r>
      <w:r>
        <w:rPr/>
        <w:t>rsonal</w:t>
      </w:r>
      <w:r>
        <w:rPr/>
        <w:t> details of each owner or director required for the licensing authority's checks, entered by that pe</w:t>
      </w:r>
      <w:r>
        <w:rPr/>
        <w:t>rson</w:t>
      </w:r>
      <w:r>
        <w:rPr/>
        <w:t> on the Platform's secure form, never emailed.</w:t>
      </w:r>
    </w:p>
    <w:p>
      <w:pPr>
        <w:pStyle w:val="BodyText"/>
        <w:spacing w:after="0" w:line="187" w:lineRule="auto"/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97" coordorigin="0,0" coordsize="9637,15">
                <v:shape style="position:absolute;left:0;top:7;width:9637;height:2" id="docshape98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spacing w:before="136"/>
      </w:pPr>
      <w:bookmarkStart w:name="Part B: Completed by PropertyFlow" w:id="34"/>
      <w:bookmarkEnd w:id="34"/>
      <w:r>
        <w:rPr>
          <w:b w:val="0"/>
        </w:rPr>
      </w:r>
      <w:r>
        <w:rPr>
          <w:color w:val="FF0256"/>
          <w:spacing w:val="-4"/>
        </w:rPr>
        <w:t>Part</w:t>
      </w:r>
      <w:r>
        <w:rPr>
          <w:color w:val="FF0256"/>
          <w:spacing w:val="-18"/>
        </w:rPr>
        <w:t> </w:t>
      </w:r>
      <w:r>
        <w:rPr>
          <w:color w:val="FF0256"/>
          <w:spacing w:val="-4"/>
        </w:rPr>
        <w:t>B:</w:t>
      </w:r>
      <w:r>
        <w:rPr>
          <w:color w:val="FF0256"/>
          <w:spacing w:val="-17"/>
        </w:rPr>
        <w:t> </w:t>
      </w:r>
      <w:r>
        <w:rPr>
          <w:color w:val="FF0256"/>
          <w:spacing w:val="-4"/>
        </w:rPr>
        <w:t>Completed</w:t>
      </w:r>
      <w:r>
        <w:rPr>
          <w:color w:val="FF0256"/>
          <w:spacing w:val="-18"/>
        </w:rPr>
        <w:t> </w:t>
      </w:r>
      <w:r>
        <w:rPr>
          <w:color w:val="FF0256"/>
          <w:spacing w:val="-4"/>
        </w:rPr>
        <w:t>by</w:t>
      </w:r>
      <w:r>
        <w:rPr>
          <w:color w:val="FF0256"/>
          <w:spacing w:val="-17"/>
        </w:rPr>
        <w:t> </w:t>
      </w:r>
      <w:r>
        <w:rPr>
          <w:color w:val="FF0256"/>
          <w:spacing w:val="-4"/>
        </w:rPr>
        <w:t>PropertyFlow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151" w:after="0"/>
        <w:ind w:left="543" w:right="187" w:hanging="300"/>
        <w:jc w:val="left"/>
        <w:rPr>
          <w:sz w:val="20"/>
        </w:rPr>
      </w:pPr>
      <w:r>
        <w:rPr>
          <w:sz w:val="20"/>
        </w:rPr>
        <w:t>Duplicate check on entry; countersignature within 1 Business Day of a complete Intake; Registe</w:t>
      </w:r>
      <w:r>
        <w:rPr>
          <w:sz w:val="20"/>
        </w:rPr>
        <w:t>r</w:t>
      </w:r>
      <w:r>
        <w:rPr>
          <w:sz w:val="20"/>
        </w:rPr>
        <w:t> entry; landlord portal access; Client Ledger opened; Operating Advance decision.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7" w:after="0"/>
        <w:ind w:left="543" w:right="425" w:hanging="300"/>
        <w:jc w:val="left"/>
        <w:rPr>
          <w:sz w:val="20"/>
        </w:rPr>
      </w:pPr>
      <w:r>
        <w:rPr>
          <w:sz w:val="20"/>
        </w:rPr>
        <w:t>Checklist generated from the Council Card; gap list; certification instructed through </w:t>
      </w:r>
      <w:r>
        <w:rPr>
          <w:sz w:val="20"/>
        </w:rPr>
        <w:t>the</w:t>
      </w:r>
      <w:r>
        <w:rPr>
          <w:sz w:val="20"/>
        </w:rPr>
        <w:t> compliance provider under the standing approval; Licence verified or applied for; </w:t>
      </w:r>
      <w:r>
        <w:rPr>
          <w:sz w:val="20"/>
        </w:rPr>
        <w:t>compliance</w:t>
      </w:r>
      <w:r>
        <w:rPr>
          <w:sz w:val="20"/>
        </w:rPr>
        <w:t> register entry; the Status Report within 2 Business Days.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5" w:after="0"/>
        <w:ind w:left="543" w:right="149" w:hanging="300"/>
        <w:jc w:val="left"/>
        <w:rPr>
          <w:sz w:val="20"/>
        </w:rPr>
      </w:pPr>
      <w:r>
        <w:rPr>
          <w:sz w:val="20"/>
        </w:rPr>
        <w:t>Setup and dressing from the standard specification, quoted and approved before spend; </w:t>
      </w:r>
      <w:r>
        <w:rPr>
          <w:sz w:val="20"/>
        </w:rPr>
        <w:t>listings</w:t>
      </w:r>
      <w:r>
        <w:rPr>
          <w:sz w:val="20"/>
        </w:rPr>
        <w:t> created or migrated; pricing set; photography.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7" w:after="0"/>
        <w:ind w:left="543" w:right="414" w:hanging="300"/>
        <w:jc w:val="left"/>
        <w:rPr>
          <w:sz w:val="20"/>
        </w:rPr>
      </w:pPr>
      <w:r>
        <w:rPr>
          <w:sz w:val="20"/>
        </w:rPr>
        <w:t>Go-live Sign-off only when the Licence and safety certification are in force and onboarding </w:t>
      </w:r>
      <w:r>
        <w:rPr>
          <w:sz w:val="20"/>
        </w:rPr>
        <w:t>is</w:t>
      </w:r>
      <w:r>
        <w:rPr>
          <w:sz w:val="20"/>
        </w:rPr>
        <w:t> complete; listings live within 5 Business Days of sign-off.</w:t>
      </w:r>
    </w:p>
    <w:p>
      <w:pPr>
        <w:pStyle w:val="Heading2"/>
        <w:spacing w:before="234"/>
      </w:pPr>
      <w:bookmarkStart w:name="Part C: Migrating an existing listing" w:id="35"/>
      <w:bookmarkEnd w:id="35"/>
      <w:r>
        <w:rPr>
          <w:b w:val="0"/>
        </w:rPr>
      </w:r>
      <w:r>
        <w:rPr>
          <w:color w:val="FF0256"/>
          <w:spacing w:val="-2"/>
        </w:rPr>
        <w:t>Part</w:t>
      </w:r>
      <w:r>
        <w:rPr>
          <w:color w:val="FF0256"/>
          <w:spacing w:val="-14"/>
        </w:rPr>
        <w:t> </w:t>
      </w:r>
      <w:r>
        <w:rPr>
          <w:color w:val="FF0256"/>
          <w:spacing w:val="-2"/>
        </w:rPr>
        <w:t>C:</w:t>
      </w:r>
      <w:r>
        <w:rPr>
          <w:color w:val="FF0256"/>
          <w:spacing w:val="-14"/>
        </w:rPr>
        <w:t> </w:t>
      </w:r>
      <w:r>
        <w:rPr>
          <w:color w:val="FF0256"/>
          <w:spacing w:val="-2"/>
        </w:rPr>
        <w:t>Migrating</w:t>
      </w:r>
      <w:r>
        <w:rPr>
          <w:color w:val="FF0256"/>
          <w:spacing w:val="-13"/>
        </w:rPr>
        <w:t> </w:t>
      </w:r>
      <w:r>
        <w:rPr>
          <w:color w:val="FF0256"/>
          <w:spacing w:val="-2"/>
        </w:rPr>
        <w:t>an</w:t>
      </w:r>
      <w:r>
        <w:rPr>
          <w:color w:val="FF0256"/>
          <w:spacing w:val="-14"/>
        </w:rPr>
        <w:t> </w:t>
      </w:r>
      <w:r>
        <w:rPr>
          <w:color w:val="FF0256"/>
          <w:spacing w:val="-2"/>
        </w:rPr>
        <w:t>existing</w:t>
      </w:r>
      <w:r>
        <w:rPr>
          <w:color w:val="FF0256"/>
          <w:spacing w:val="-14"/>
        </w:rPr>
        <w:t> </w:t>
      </w:r>
      <w:r>
        <w:rPr>
          <w:color w:val="FF0256"/>
          <w:spacing w:val="-2"/>
        </w:rPr>
        <w:t>listing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151" w:after="0"/>
        <w:ind w:left="543" w:right="561" w:hanging="300"/>
        <w:jc w:val="left"/>
        <w:rPr>
          <w:sz w:val="20"/>
        </w:rPr>
      </w:pPr>
      <w:r>
        <w:rPr>
          <w:sz w:val="20"/>
        </w:rPr>
        <w:t>One documented session attended by PropertyFlow and the listing holder, with before-and</w:t>
      </w:r>
      <w:r>
        <w:rPr>
          <w:sz w:val="20"/>
        </w:rPr>
        <w:t>-</w:t>
      </w:r>
      <w:r>
        <w:rPr>
          <w:sz w:val="20"/>
        </w:rPr>
        <w:t>after screenshots stored on the Platform.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7" w:after="0"/>
        <w:ind w:left="543" w:right="174" w:hanging="300"/>
        <w:jc w:val="left"/>
        <w:rPr>
          <w:sz w:val="20"/>
        </w:rPr>
      </w:pPr>
      <w:r>
        <w:rPr>
          <w:sz w:val="20"/>
        </w:rPr>
        <w:t>The listing is transferred to PropertyFlow's account or, where the Booking Channel does </w:t>
      </w:r>
      <w:r>
        <w:rPr>
          <w:sz w:val="20"/>
        </w:rPr>
        <w:t>not</w:t>
      </w:r>
      <w:r>
        <w:rPr>
          <w:spacing w:val="40"/>
          <w:sz w:val="20"/>
        </w:rPr>
        <w:t> </w:t>
      </w:r>
      <w:r>
        <w:rPr>
          <w:sz w:val="20"/>
        </w:rPr>
        <w:t>allow transfer or the Landlord's reviews are worth keeping, kept under the Landlord's </w:t>
      </w:r>
      <w:r>
        <w:rPr>
          <w:sz w:val="20"/>
        </w:rPr>
        <w:t>account</w:t>
      </w:r>
      <w:r>
        <w:rPr>
          <w:sz w:val="20"/>
        </w:rPr>
        <w:t> with</w:t>
      </w:r>
      <w:r>
        <w:rPr>
          <w:spacing w:val="17"/>
          <w:sz w:val="20"/>
        </w:rPr>
        <w:t> </w:t>
      </w:r>
      <w:r>
        <w:rPr>
          <w:sz w:val="20"/>
        </w:rPr>
        <w:t>PropertyFlow</w:t>
      </w:r>
      <w:r>
        <w:rPr>
          <w:spacing w:val="17"/>
          <w:sz w:val="20"/>
        </w:rPr>
        <w:t> </w:t>
      </w:r>
      <w:r>
        <w:rPr>
          <w:sz w:val="20"/>
        </w:rPr>
        <w:t>as</w:t>
      </w:r>
      <w:r>
        <w:rPr>
          <w:spacing w:val="17"/>
          <w:sz w:val="20"/>
        </w:rPr>
        <w:t> </w:t>
      </w:r>
      <w:r>
        <w:rPr>
          <w:sz w:val="20"/>
        </w:rPr>
        <w:t>manager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sole</w:t>
      </w:r>
      <w:r>
        <w:rPr>
          <w:spacing w:val="17"/>
          <w:sz w:val="20"/>
        </w:rPr>
        <w:t> </w:t>
      </w:r>
      <w:r>
        <w:rPr>
          <w:sz w:val="20"/>
        </w:rPr>
        <w:t>payee. Payout</w:t>
      </w:r>
      <w:r>
        <w:rPr>
          <w:spacing w:val="17"/>
          <w:sz w:val="20"/>
        </w:rPr>
        <w:t> </w:t>
      </w:r>
      <w:r>
        <w:rPr>
          <w:sz w:val="20"/>
        </w:rPr>
        <w:t>and</w:t>
      </w:r>
      <w:r>
        <w:rPr>
          <w:spacing w:val="17"/>
          <w:sz w:val="20"/>
        </w:rPr>
        <w:t> </w:t>
      </w:r>
      <w:r>
        <w:rPr>
          <w:sz w:val="20"/>
        </w:rPr>
        <w:t>tax</w:t>
      </w:r>
      <w:r>
        <w:rPr>
          <w:spacing w:val="17"/>
          <w:sz w:val="20"/>
        </w:rPr>
        <w:t> </w:t>
      </w:r>
      <w:r>
        <w:rPr>
          <w:sz w:val="20"/>
        </w:rPr>
        <w:t>information</w:t>
      </w:r>
      <w:r>
        <w:rPr>
          <w:spacing w:val="17"/>
          <w:sz w:val="20"/>
        </w:rPr>
        <w:t> </w:t>
      </w:r>
      <w:r>
        <w:rPr>
          <w:sz w:val="20"/>
        </w:rPr>
        <w:t>is</w:t>
      </w:r>
      <w:r>
        <w:rPr>
          <w:spacing w:val="17"/>
          <w:sz w:val="20"/>
        </w:rPr>
        <w:t> </w:t>
      </w:r>
      <w:r>
        <w:rPr>
          <w:sz w:val="20"/>
        </w:rPr>
        <w:t>set</w:t>
      </w:r>
      <w:r>
        <w:rPr>
          <w:spacing w:val="17"/>
          <w:sz w:val="20"/>
        </w:rPr>
        <w:t> </w:t>
      </w:r>
      <w:r>
        <w:rPr>
          <w:sz w:val="20"/>
        </w:rPr>
        <w:t>to</w:t>
      </w:r>
      <w:r>
        <w:rPr>
          <w:sz w:val="20"/>
        </w:rPr>
        <w:t> PropertyFlow as agent or to the Landlord, as PropertyFlow's accountant confirms. Any Ope</w:t>
      </w:r>
      <w:r>
        <w:rPr>
          <w:sz w:val="20"/>
        </w:rPr>
        <w:t>rator</w:t>
      </w:r>
      <w:r>
        <w:rPr>
          <w:sz w:val="20"/>
        </w:rPr>
        <w:t> payout method is removed.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2" w:after="0"/>
        <w:ind w:left="543" w:right="296" w:hanging="300"/>
        <w:jc w:val="left"/>
        <w:rPr>
          <w:sz w:val="20"/>
        </w:rPr>
      </w:pPr>
      <w:r>
        <w:rPr>
          <w:sz w:val="20"/>
        </w:rPr>
        <w:t>Future bookings, reviews and Guest records are checked intact; a confirmation of the </w:t>
      </w:r>
      <w:r>
        <w:rPr>
          <w:sz w:val="20"/>
        </w:rPr>
        <w:t>changes</w:t>
      </w:r>
      <w:r>
        <w:rPr>
          <w:spacing w:val="80"/>
          <w:sz w:val="20"/>
        </w:rPr>
        <w:t> </w:t>
      </w:r>
      <w:r>
        <w:rPr>
          <w:sz w:val="20"/>
        </w:rPr>
        <w:t>is sent to the Landlord, the Operator and PropertyFlow.</w:t>
      </w:r>
    </w:p>
    <w:p>
      <w:pPr>
        <w:pStyle w:val="BodyText"/>
        <w:spacing w:before="18"/>
        <w:ind w:left="0"/>
      </w:pPr>
    </w:p>
    <w:p>
      <w:pPr>
        <w:pStyle w:val="Heading1"/>
      </w:pPr>
      <w:bookmarkStart w:name="Schedule 5: Brand association" w:id="36"/>
      <w:bookmarkEnd w:id="36"/>
      <w:r>
        <w:rPr>
          <w:b w:val="0"/>
        </w:rPr>
      </w:r>
      <w:r>
        <w:rPr>
          <w:color w:val="0B0B0E"/>
          <w:w w:val="90"/>
        </w:rPr>
        <w:t>Schedule</w:t>
      </w:r>
      <w:r>
        <w:rPr>
          <w:color w:val="0B0B0E"/>
          <w:spacing w:val="9"/>
        </w:rPr>
        <w:t> </w:t>
      </w:r>
      <w:r>
        <w:rPr>
          <w:color w:val="0B0B0E"/>
          <w:w w:val="90"/>
        </w:rPr>
        <w:t>5:</w:t>
      </w:r>
      <w:r>
        <w:rPr>
          <w:color w:val="0B0B0E"/>
          <w:spacing w:val="10"/>
        </w:rPr>
        <w:t> </w:t>
      </w:r>
      <w:r>
        <w:rPr>
          <w:color w:val="0B0B0E"/>
          <w:w w:val="90"/>
        </w:rPr>
        <w:t>Brand</w:t>
      </w:r>
      <w:r>
        <w:rPr>
          <w:color w:val="0B0B0E"/>
          <w:spacing w:val="9"/>
        </w:rPr>
        <w:t> </w:t>
      </w:r>
      <w:r>
        <w:rPr>
          <w:color w:val="0B0B0E"/>
          <w:spacing w:val="-2"/>
          <w:w w:val="90"/>
        </w:rPr>
        <w:t>association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99" coordorigin="0,0" coordsize="9637,15">
                <v:shape style="position:absolute;left:0;top:7;width:9637;height:2" id="docshape100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177" w:after="0"/>
        <w:ind w:left="543" w:right="181" w:hanging="300"/>
        <w:jc w:val="left"/>
        <w:rPr>
          <w:sz w:val="20"/>
        </w:rPr>
      </w:pPr>
      <w:r>
        <w:rPr>
          <w:sz w:val="20"/>
        </w:rPr>
        <w:t>Marks: PROPERTYFLOW, the PropertyFlow logo, the "PropertyFlow Verified Partner" badge </w:t>
      </w:r>
      <w:r>
        <w:rPr>
          <w:sz w:val="20"/>
        </w:rPr>
        <w:t>and</w:t>
      </w:r>
      <w:r>
        <w:rPr>
          <w:sz w:val="20"/>
        </w:rPr>
        <w:t> the name "PropertyFlow Partner Programme", as supplied.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7" w:after="0"/>
        <w:ind w:left="543" w:right="194" w:hanging="300"/>
        <w:jc w:val="left"/>
        <w:rPr>
          <w:sz w:val="20"/>
        </w:rPr>
      </w:pPr>
      <w:r>
        <w:rPr>
          <w:sz w:val="20"/>
        </w:rPr>
        <w:t>Placements: website footer or partners page; social media profile descriptions; email signature</w:t>
      </w:r>
      <w:r>
        <w:rPr>
          <w:sz w:val="20"/>
        </w:rPr>
        <w:t>s</w:t>
      </w:r>
      <w:r>
        <w:rPr>
          <w:sz w:val="20"/>
        </w:rPr>
        <w:t> of Operator personnel dealing with Landlords, alongside the Operator's own business name.</w:t>
      </w:r>
    </w:p>
    <w:p>
      <w:pPr>
        <w:pStyle w:val="ListParagraph"/>
        <w:numPr>
          <w:ilvl w:val="0"/>
          <w:numId w:val="6"/>
        </w:numPr>
        <w:tabs>
          <w:tab w:pos="543" w:val="left" w:leader="none"/>
        </w:tabs>
        <w:spacing w:line="187" w:lineRule="auto" w:before="77" w:after="0"/>
        <w:ind w:left="543" w:right="152" w:hanging="300"/>
        <w:jc w:val="left"/>
        <w:rPr>
          <w:sz w:val="20"/>
        </w:rPr>
      </w:pPr>
      <w:r>
        <w:rPr>
          <w:sz w:val="20"/>
        </w:rPr>
        <w:t>Co-branded materials approved in writing before use; marks not altered, cropped, recoloured </w:t>
      </w:r>
      <w:r>
        <w:rPr>
          <w:sz w:val="20"/>
        </w:rPr>
        <w:t>or</w:t>
      </w:r>
      <w:r>
        <w:rPr>
          <w:sz w:val="20"/>
        </w:rPr>
        <w:t> combined; brand guidelines as issued apply; non-compliant use withdrawn within 5 </w:t>
      </w:r>
      <w:r>
        <w:rPr>
          <w:sz w:val="20"/>
        </w:rPr>
        <w:t>Business</w:t>
      </w:r>
      <w:r>
        <w:rPr>
          <w:sz w:val="20"/>
        </w:rPr>
        <w:t> Days of request.</w:t>
      </w:r>
    </w:p>
    <w:p>
      <w:pPr>
        <w:pStyle w:val="BodyText"/>
        <w:spacing w:before="16"/>
        <w:ind w:left="0"/>
      </w:pPr>
    </w:p>
    <w:p>
      <w:pPr>
        <w:pStyle w:val="Heading1"/>
        <w:spacing w:after="70"/>
      </w:pPr>
      <w:bookmarkStart w:name="Schedule 6: Self-billing agreement" w:id="37"/>
      <w:bookmarkEnd w:id="37"/>
      <w:r>
        <w:rPr>
          <w:b w:val="0"/>
        </w:rPr>
      </w:r>
      <w:r>
        <w:rPr>
          <w:color w:val="0B0B0E"/>
          <w:spacing w:val="-4"/>
        </w:rPr>
        <w:t>Schedule</w:t>
      </w:r>
      <w:r>
        <w:rPr>
          <w:color w:val="0B0B0E"/>
          <w:spacing w:val="-23"/>
        </w:rPr>
        <w:t> </w:t>
      </w:r>
      <w:r>
        <w:rPr>
          <w:color w:val="0B0B0E"/>
          <w:spacing w:val="-4"/>
        </w:rPr>
        <w:t>6:</w:t>
      </w:r>
      <w:r>
        <w:rPr>
          <w:color w:val="0B0B0E"/>
          <w:spacing w:val="-23"/>
        </w:rPr>
        <w:t> </w:t>
      </w:r>
      <w:r>
        <w:rPr>
          <w:color w:val="0B0B0E"/>
          <w:spacing w:val="-4"/>
        </w:rPr>
        <w:t>Self-billing</w:t>
      </w:r>
      <w:r>
        <w:rPr>
          <w:color w:val="0B0B0E"/>
          <w:spacing w:val="-23"/>
        </w:rPr>
        <w:t> </w:t>
      </w:r>
      <w:r>
        <w:rPr>
          <w:color w:val="0B0B0E"/>
          <w:spacing w:val="-4"/>
        </w:rPr>
        <w:t>agreement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01" coordorigin="0,0" coordsize="9637,15">
                <v:shape style="position:absolute;left:0;top:7;width:9637;height:2" id="docshape102" coordorigin="0,8" coordsize="9637,0" path="m9637,7l0,7m9637,7l0,7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line="187" w:lineRule="auto" w:before="178"/>
        <w:ind w:left="2" w:right="174"/>
      </w:pPr>
      <w:r>
        <w:rPr/>
        <w:t>Made between PropertyFlow (the customer) and the Operator (the supplier) in accordance </w:t>
      </w:r>
      <w:r>
        <w:rPr/>
        <w:t>with</w:t>
      </w:r>
      <w:r>
        <w:rPr/>
        <w:t> HMRC's self-billing requirements.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187" w:lineRule="auto" w:before="117" w:after="0"/>
        <w:ind w:left="723" w:right="493" w:hanging="720"/>
        <w:jc w:val="left"/>
        <w:rPr>
          <w:sz w:val="20"/>
        </w:rPr>
      </w:pPr>
      <w:r>
        <w:rPr>
          <w:sz w:val="20"/>
        </w:rPr>
        <w:t>The Operator agrees that PropertyFlow will issue self-billed invoices for all supplies </w:t>
      </w:r>
      <w:r>
        <w:rPr>
          <w:sz w:val="20"/>
        </w:rPr>
        <w:t>the</w:t>
      </w:r>
      <w:r>
        <w:rPr>
          <w:sz w:val="20"/>
        </w:rPr>
        <w:t> Operator</w:t>
      </w:r>
      <w:r>
        <w:rPr>
          <w:spacing w:val="-4"/>
          <w:sz w:val="20"/>
        </w:rPr>
        <w:t> </w:t>
      </w:r>
      <w:r>
        <w:rPr>
          <w:sz w:val="20"/>
        </w:rPr>
        <w:t>makes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PropertyFlow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Operator</w:t>
      </w:r>
      <w:r>
        <w:rPr>
          <w:spacing w:val="-4"/>
          <w:sz w:val="20"/>
        </w:rPr>
        <w:t> </w:t>
      </w:r>
      <w:r>
        <w:rPr>
          <w:sz w:val="20"/>
        </w:rPr>
        <w:t>Agreement,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Commencement</w:t>
      </w:r>
      <w:r>
        <w:rPr>
          <w:sz w:val="20"/>
        </w:rPr>
        <w:t> Date until the Agreement ends, and that this arrangement is reviewed and re-confirmed </w:t>
      </w:r>
      <w:r>
        <w:rPr>
          <w:sz w:val="20"/>
        </w:rPr>
        <w:t>in</w:t>
      </w:r>
      <w:r>
        <w:rPr>
          <w:sz w:val="20"/>
        </w:rPr>
        <w:t> writing at least every 12 months.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187" w:lineRule="auto" w:before="114" w:after="0"/>
        <w:ind w:left="723" w:right="329" w:hanging="720"/>
        <w:jc w:val="both"/>
        <w:rPr>
          <w:sz w:val="20"/>
        </w:rPr>
      </w:pPr>
      <w:r>
        <w:rPr>
          <w:sz w:val="20"/>
        </w:rPr>
        <w:t>The Operator will not raise its own VAT invoices for those supplies, accepts each self-bille</w:t>
      </w:r>
      <w:r>
        <w:rPr>
          <w:sz w:val="20"/>
        </w:rPr>
        <w:t>d</w:t>
      </w:r>
      <w:r>
        <w:rPr>
          <w:sz w:val="20"/>
        </w:rPr>
        <w:t> invoice, and will tell PropertyFlow immediately if it becomes or ceases to be VAT-re</w:t>
      </w:r>
      <w:r>
        <w:rPr>
          <w:sz w:val="20"/>
        </w:rPr>
        <w:t>gistered,</w:t>
      </w:r>
      <w:r>
        <w:rPr>
          <w:sz w:val="20"/>
        </w:rPr>
        <w:t> changes its VAT number, or transfers its business.</w:t>
      </w:r>
    </w:p>
    <w:p>
      <w:pPr>
        <w:pStyle w:val="ListParagraph"/>
        <w:numPr>
          <w:ilvl w:val="0"/>
          <w:numId w:val="7"/>
        </w:numPr>
        <w:tabs>
          <w:tab w:pos="721" w:val="left" w:leader="none"/>
          <w:tab w:pos="723" w:val="left" w:leader="none"/>
        </w:tabs>
        <w:spacing w:line="187" w:lineRule="auto" w:before="115" w:after="0"/>
        <w:ind w:left="723" w:right="283" w:hanging="720"/>
        <w:jc w:val="both"/>
        <w:rPr>
          <w:sz w:val="20"/>
        </w:rPr>
      </w:pPr>
      <w:r>
        <w:rPr>
          <w:sz w:val="20"/>
        </w:rPr>
        <w:t>PropertyFlow will issue self-billed invoices showing the Operator's name, address and </w:t>
      </w:r>
      <w:r>
        <w:rPr>
          <w:sz w:val="20"/>
        </w:rPr>
        <w:t>VAT</w:t>
      </w:r>
      <w:r>
        <w:rPr>
          <w:sz w:val="20"/>
        </w:rPr>
        <w:t> number (where registered), the date, a unique number, the supply, the net amount, the </w:t>
      </w:r>
      <w:r>
        <w:rPr>
          <w:sz w:val="20"/>
        </w:rPr>
        <w:t>VAT</w:t>
      </w:r>
      <w:r>
        <w:rPr>
          <w:sz w:val="20"/>
        </w:rPr>
        <w:t> rate and amount, and the statement "The VAT shown is your output tax due to HMRC" where</w:t>
      </w:r>
    </w:p>
    <w:p>
      <w:pPr>
        <w:pStyle w:val="ListParagraph"/>
        <w:spacing w:after="0" w:line="187" w:lineRule="auto"/>
        <w:jc w:val="both"/>
        <w:rPr>
          <w:sz w:val="20"/>
        </w:rPr>
        <w:sectPr>
          <w:pgSz w:w="11910" w:h="16840"/>
          <w:pgMar w:header="560" w:footer="602" w:top="840" w:bottom="800" w:left="1133" w:right="992"/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spacing w:line="20" w:lineRule="exact"/>
        <w:ind w:left="-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03" coordorigin="0,0" coordsize="9637,15">
                <v:shape style="position:absolute;left:0;top:7;width:9637;height:2" id="docshape104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187" w:lineRule="auto" w:before="160"/>
        <w:ind w:right="224"/>
      </w:pPr>
      <w:r>
        <w:rPr/>
        <w:t>applicable, on the timetable in Schedule 2; and will keep the names, addresses and </w:t>
      </w:r>
      <w:r>
        <w:rPr/>
        <w:t>VAT</w:t>
      </w:r>
      <w:r>
        <w:rPr/>
        <w:t> numbers of all self-billing suppliers.</w:t>
      </w:r>
    </w:p>
    <w:p>
      <w:pPr>
        <w:pStyle w:val="ListParagraph"/>
        <w:numPr>
          <w:ilvl w:val="0"/>
          <w:numId w:val="7"/>
        </w:numPr>
        <w:tabs>
          <w:tab w:pos="723" w:val="left" w:leader="none"/>
        </w:tabs>
        <w:spacing w:line="187" w:lineRule="auto" w:before="117" w:after="0"/>
        <w:ind w:left="723" w:right="277" w:hanging="720"/>
        <w:jc w:val="left"/>
        <w:rPr>
          <w:sz w:val="20"/>
        </w:rPr>
      </w:pPr>
      <w:r>
        <w:rPr>
          <w:sz w:val="20"/>
        </w:rPr>
        <w:t>Both parties keep copies of every self-billed invoice for the period the law requires. Ope</w:t>
      </w:r>
      <w:r>
        <w:rPr>
          <w:sz w:val="20"/>
        </w:rPr>
        <w:t>rator</w:t>
      </w:r>
      <w:r>
        <w:rPr>
          <w:sz w:val="20"/>
        </w:rPr>
        <w:t> VAT status at signature: as stated in the Particulars.</w:t>
      </w:r>
    </w:p>
    <w:p>
      <w:pPr>
        <w:pStyle w:val="BodyText"/>
        <w:spacing w:before="17"/>
        <w:ind w:left="0"/>
      </w:pPr>
    </w:p>
    <w:p>
      <w:pPr>
        <w:pStyle w:val="Heading1"/>
      </w:pPr>
      <w:bookmarkStart w:name="Schedule 7: Data processing terms" w:id="38"/>
      <w:bookmarkEnd w:id="38"/>
      <w:r>
        <w:rPr>
          <w:b w:val="0"/>
        </w:rPr>
      </w:r>
      <w:r>
        <w:rPr>
          <w:color w:val="0B0B0E"/>
          <w:w w:val="90"/>
        </w:rPr>
        <w:t>Schedule</w:t>
      </w:r>
      <w:r>
        <w:rPr>
          <w:color w:val="0B0B0E"/>
          <w:spacing w:val="9"/>
        </w:rPr>
        <w:t> </w:t>
      </w:r>
      <w:r>
        <w:rPr>
          <w:color w:val="0B0B0E"/>
          <w:w w:val="90"/>
        </w:rPr>
        <w:t>7:</w:t>
      </w:r>
      <w:r>
        <w:rPr>
          <w:color w:val="0B0B0E"/>
          <w:spacing w:val="9"/>
        </w:rPr>
        <w:t> </w:t>
      </w:r>
      <w:r>
        <w:rPr>
          <w:color w:val="0B0B0E"/>
          <w:w w:val="90"/>
        </w:rPr>
        <w:t>Data</w:t>
      </w:r>
      <w:r>
        <w:rPr>
          <w:color w:val="0B0B0E"/>
          <w:spacing w:val="10"/>
        </w:rPr>
        <w:t> </w:t>
      </w:r>
      <w:r>
        <w:rPr>
          <w:color w:val="0B0B0E"/>
          <w:w w:val="90"/>
        </w:rPr>
        <w:t>processing</w:t>
      </w:r>
      <w:r>
        <w:rPr>
          <w:color w:val="0B0B0E"/>
          <w:spacing w:val="9"/>
        </w:rPr>
        <w:t> </w:t>
      </w:r>
      <w:r>
        <w:rPr>
          <w:color w:val="0B0B0E"/>
          <w:spacing w:val="-2"/>
          <w:w w:val="90"/>
        </w:rPr>
        <w:t>terms</w:t>
      </w:r>
    </w:p>
    <w:p>
      <w:pPr>
        <w:spacing w:line="20" w:lineRule="exact"/>
        <w:ind w:left="-7" w:right="0" w:firstLine="0"/>
        <w:rPr>
          <w:rFonts w:ascii="Century Gothic"/>
          <w:sz w:val="2"/>
        </w:rPr>
      </w:pPr>
      <w:r>
        <w:rPr>
          <w:rFonts w:ascii="Century Gothic"/>
          <w:sz w:val="2"/>
        </w:rPr>
        <mc:AlternateContent>
          <mc:Choice Requires="wps">
            <w:drawing>
              <wp:inline distT="0" distB="0" distL="0" distR="0">
                <wp:extent cx="6119495" cy="9525"/>
                <wp:effectExtent l="9525" t="0" r="0" b="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119495" cy="9525"/>
                          <a:chExt cx="6119495" cy="95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4762"/>
                            <a:ext cx="6119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  <a:path w="6119495" h="0">
                                <a:moveTo>
                                  <a:pt x="61194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F02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85pt;height:.75pt;mso-position-horizontal-relative:char;mso-position-vertical-relative:line" id="docshapegroup105" coordorigin="0,0" coordsize="9637,15">
                <v:shape style="position:absolute;left:0;top:7;width:9637;height:2" id="docshape106" coordorigin="0,8" coordsize="9637,0" path="m9637,8l0,8m9637,8l0,8e" filled="false" stroked="true" strokeweight=".75pt" strokecolor="#ff0256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entury Gothic"/>
          <w:sz w:val="2"/>
        </w:rPr>
      </w:r>
    </w:p>
    <w:p>
      <w:pPr>
        <w:pStyle w:val="BodyText"/>
        <w:spacing w:before="8" w:after="1"/>
        <w:ind w:left="0"/>
        <w:rPr>
          <w:rFonts w:ascii="Century Gothic"/>
          <w:b/>
          <w:sz w:val="12"/>
        </w:rPr>
      </w:pPr>
    </w:p>
    <w:tbl>
      <w:tblPr>
        <w:tblW w:w="0" w:type="auto"/>
        <w:jc w:val="left"/>
        <w:tblInd w:w="11" w:type="dxa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638"/>
      </w:tblGrid>
      <w:tr>
        <w:trPr>
          <w:trHeight w:val="960" w:hRule="atLeast"/>
        </w:trPr>
        <w:tc>
          <w:tcPr>
            <w:tcW w:w="30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6"/>
                <w:sz w:val="18"/>
              </w:rPr>
              <w:t>Subject</w:t>
            </w:r>
            <w:r>
              <w:rPr>
                <w:rFonts w:ascii="Tahoma"/>
                <w:b/>
                <w:spacing w:val="-3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matter</w:t>
            </w:r>
            <w:r>
              <w:rPr>
                <w:rFonts w:ascii="Tahoma"/>
                <w:b/>
                <w:spacing w:val="-2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and</w:t>
            </w:r>
            <w:r>
              <w:rPr>
                <w:rFonts w:ascii="Tahoma"/>
                <w:b/>
                <w:spacing w:val="-3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purpose</w:t>
            </w:r>
          </w:p>
        </w:tc>
        <w:tc>
          <w:tcPr>
            <w:tcW w:w="6638" w:type="dxa"/>
          </w:tcPr>
          <w:p>
            <w:pPr>
              <w:pStyle w:val="TableParagraph"/>
              <w:spacing w:line="194" w:lineRule="auto" w:before="92"/>
              <w:ind w:right="192"/>
              <w:rPr>
                <w:sz w:val="18"/>
              </w:rPr>
            </w:pPr>
            <w:r>
              <w:rPr>
                <w:sz w:val="18"/>
              </w:rPr>
              <w:t>Landlord and Guest personal data processed by the Operator </w:t>
            </w:r>
            <w:r>
              <w:rPr>
                <w:sz w:val="18"/>
              </w:rPr>
              <w:t>in</w:t>
            </w:r>
            <w:r>
              <w:rPr>
                <w:sz w:val="18"/>
              </w:rPr>
              <w:t> introducing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Landlords,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completing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Intake,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onboarding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liaison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z w:val="18"/>
              </w:rPr>
              <w:t> relationship management for Introduced Properties.</w:t>
            </w:r>
          </w:p>
        </w:tc>
      </w:tr>
      <w:tr>
        <w:trPr>
          <w:trHeight w:val="440" w:hRule="atLeast"/>
        </w:trPr>
        <w:tc>
          <w:tcPr>
            <w:tcW w:w="30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Duration</w:t>
            </w:r>
          </w:p>
        </w:tc>
        <w:tc>
          <w:tcPr>
            <w:tcW w:w="663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Term and any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transition period; return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 deletion under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clause </w:t>
            </w:r>
            <w:r>
              <w:rPr>
                <w:spacing w:val="-2"/>
                <w:sz w:val="18"/>
              </w:rPr>
              <w:t>15.9.</w:t>
            </w:r>
          </w:p>
        </w:tc>
      </w:tr>
      <w:tr>
        <w:trPr>
          <w:trHeight w:val="1220" w:hRule="atLeast"/>
        </w:trPr>
        <w:tc>
          <w:tcPr>
            <w:tcW w:w="3000" w:type="dxa"/>
            <w:shd w:val="clear" w:color="auto" w:fill="F6F6F7"/>
          </w:tcPr>
          <w:p>
            <w:pPr>
              <w:pStyle w:val="TableParagraph"/>
              <w:spacing w:before="97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6"/>
                <w:sz w:val="18"/>
              </w:rPr>
              <w:t>Data</w:t>
            </w:r>
            <w:r>
              <w:rPr>
                <w:rFonts w:ascii="Tahoma"/>
                <w:b/>
                <w:spacing w:val="-8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and</w:t>
            </w:r>
            <w:r>
              <w:rPr>
                <w:rFonts w:ascii="Tahoma"/>
                <w:b/>
                <w:spacing w:val="-8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data</w:t>
            </w:r>
            <w:r>
              <w:rPr>
                <w:rFonts w:ascii="Tahoma"/>
                <w:b/>
                <w:spacing w:val="-8"/>
                <w:sz w:val="18"/>
              </w:rPr>
              <w:t> </w:t>
            </w:r>
            <w:r>
              <w:rPr>
                <w:rFonts w:ascii="Tahoma"/>
                <w:b/>
                <w:spacing w:val="-6"/>
                <w:sz w:val="18"/>
              </w:rPr>
              <w:t>subjects</w:t>
            </w:r>
          </w:p>
        </w:tc>
        <w:tc>
          <w:tcPr>
            <w:tcW w:w="6638" w:type="dxa"/>
          </w:tcPr>
          <w:p>
            <w:pPr>
              <w:pStyle w:val="TableParagraph"/>
              <w:spacing w:line="194" w:lineRule="auto" w:before="92"/>
              <w:ind w:right="192"/>
              <w:rPr>
                <w:sz w:val="18"/>
              </w:rPr>
            </w:pPr>
            <w:r>
              <w:rPr>
                <w:sz w:val="18"/>
              </w:rPr>
              <w:t>Names, contact details, property addresses, booking and c</w:t>
            </w:r>
            <w:r>
              <w:rPr>
                <w:sz w:val="18"/>
              </w:rPr>
              <w:t>ommunication</w:t>
            </w:r>
            <w:r>
              <w:rPr>
                <w:sz w:val="18"/>
              </w:rPr>
              <w:t> records, of Landlords, Guests and their contacts. No payment card, </w:t>
            </w:r>
            <w:r>
              <w:rPr>
                <w:sz w:val="18"/>
              </w:rPr>
              <w:t>bank,</w:t>
            </w:r>
            <w:r>
              <w:rPr>
                <w:sz w:val="18"/>
              </w:rPr>
              <w:t> tax or identity-check data: those are entered by the Landlord on </w:t>
            </w:r>
            <w:r>
              <w:rPr>
                <w:sz w:val="18"/>
              </w:rPr>
              <w:t>the</w:t>
            </w:r>
            <w:r>
              <w:rPr>
                <w:sz w:val="18"/>
              </w:rPr>
              <w:t> landlord portal and are not disclosed to the Operator.</w:t>
            </w:r>
          </w:p>
        </w:tc>
      </w:tr>
    </w:tbl>
    <w:p>
      <w:pPr>
        <w:pStyle w:val="BodyText"/>
        <w:spacing w:before="64"/>
        <w:ind w:left="0"/>
        <w:rPr>
          <w:rFonts w:ascii="Century Gothic"/>
          <w:b/>
          <w:sz w:val="26"/>
        </w:rPr>
      </w:pPr>
    </w:p>
    <w:p>
      <w:pPr>
        <w:pStyle w:val="BodyText"/>
        <w:spacing w:line="187" w:lineRule="auto" w:before="0"/>
        <w:ind w:left="2" w:right="289"/>
      </w:pPr>
      <w:r>
        <w:rPr/>
        <w:t>The Operator shall: process personal data only on PropertyFlow's documented instructions </w:t>
      </w:r>
      <w:r>
        <w:rPr/>
        <w:t>(this</w:t>
      </w:r>
      <w:r>
        <w:rPr/>
        <w:t> Agreement and the Platform workflows); ensure its personnel are bound by confidentiality; kee</w:t>
      </w:r>
      <w:r>
        <w:rPr/>
        <w:t>p</w:t>
      </w:r>
      <w:r>
        <w:rPr/>
        <w:t> appropriate security measures; engage no sub-processor without PropertyFlow's prior writte</w:t>
      </w:r>
      <w:r>
        <w:rPr/>
        <w:t>n</w:t>
      </w:r>
      <w:r>
        <w:rPr>
          <w:spacing w:val="40"/>
        </w:rPr>
        <w:t> </w:t>
      </w:r>
      <w:r>
        <w:rPr/>
        <w:t>consent and a written contract on equivalent terms; assist PropertyFlow with data subject </w:t>
      </w:r>
      <w:r>
        <w:rPr/>
        <w:t>requests,</w:t>
      </w:r>
      <w:r>
        <w:rPr/>
        <w:t> security incidents and impact assessments; notify PropertyFlow without undue delay, and within </w:t>
      </w:r>
      <w:r>
        <w:rPr/>
        <w:t>24</w:t>
      </w:r>
      <w:r>
        <w:rPr/>
        <w:t> hours, of any personal data breach; not transfer personal data outside the United Kingdom </w:t>
      </w:r>
      <w:r>
        <w:rPr/>
        <w:t>without</w:t>
      </w:r>
      <w:r>
        <w:rPr/>
        <w:t> consent and appropriate safeguards; delete or return all personal data at the end of the engageme</w:t>
      </w:r>
      <w:r>
        <w:rPr/>
        <w:t>nt;</w:t>
      </w:r>
      <w:r>
        <w:rPr/>
        <w:t> and make available the information needed to demonstrate compliance and allow audits </w:t>
      </w:r>
      <w:r>
        <w:rPr/>
        <w:t>on</w:t>
      </w:r>
      <w:r>
        <w:rPr/>
        <w:t> reasonable notice.</w:t>
      </w:r>
    </w:p>
    <w:sectPr>
      <w:pgSz w:w="11910" w:h="16840"/>
      <w:pgMar w:header="560" w:footer="602" w:top="840" w:bottom="80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Microsoft JhengHei UI">
    <w:altName w:val="Microsoft JhengHei UI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1328">
              <wp:simplePos x="0" y="0"/>
              <wp:positionH relativeFrom="page">
                <wp:posOffset>1341119</wp:posOffset>
              </wp:positionH>
              <wp:positionV relativeFrom="page">
                <wp:posOffset>10170331</wp:posOffset>
              </wp:positionV>
              <wp:extent cx="4880610" cy="1790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88061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2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96969"/>
                              <w:sz w:val="15"/>
                            </w:rPr>
                            <w:t>PropertyFlow</w:t>
                          </w:r>
                          <w:r>
                            <w:rPr>
                              <w:color w:val="696969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Management Partners Ltd, 17335928 | Operator</w:t>
                          </w:r>
                          <w:r>
                            <w:rPr>
                              <w:color w:val="696969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Agreement v1.2 | Confidential | Page</w:t>
                          </w:r>
                          <w:r>
                            <w:rPr>
                              <w:color w:val="696969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99998pt;margin-top:800.813538pt;width:384.3pt;height:14.1pt;mso-position-horizontal-relative:page;mso-position-vertical-relative:page;z-index:-16305152" type="#_x0000_t202" id="docshape3" filled="false" stroked="false">
              <v:textbox inset="0,0,0,0">
                <w:txbxContent>
                  <w:p>
                    <w:pPr>
                      <w:spacing w:line="282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96969"/>
                        <w:sz w:val="15"/>
                      </w:rPr>
                      <w:t>PropertyFlow</w:t>
                    </w:r>
                    <w:r>
                      <w:rPr>
                        <w:color w:val="696969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Management Partners Ltd, 17335928 | Operator</w:t>
                    </w:r>
                    <w:r>
                      <w:rPr>
                        <w:color w:val="696969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Agreement v1.2 | Confidential | Page</w:t>
                    </w:r>
                    <w:r>
                      <w:rPr>
                        <w:color w:val="696969"/>
                        <w:spacing w:val="4"/>
                        <w:sz w:val="15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3888">
              <wp:simplePos x="0" y="0"/>
              <wp:positionH relativeFrom="page">
                <wp:posOffset>1340485</wp:posOffset>
              </wp:positionH>
              <wp:positionV relativeFrom="page">
                <wp:posOffset>10170331</wp:posOffset>
              </wp:positionV>
              <wp:extent cx="4881880" cy="17907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88188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2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96969"/>
                              <w:sz w:val="15"/>
                            </w:rPr>
                            <w:t>PropertyFlow</w:t>
                          </w:r>
                          <w:r>
                            <w:rPr>
                              <w:color w:val="696969"/>
                              <w:spacing w:val="-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Management Partners Ltd, 17335928 | Operator Agreement v1.2 | Confidential | Page</w:t>
                          </w:r>
                          <w:r>
                            <w:rPr>
                              <w:color w:val="696969"/>
                              <w:spacing w:val="4"/>
                              <w:sz w:val="15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8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5.550003pt;margin-top:800.813538pt;width:384.4pt;height:14.1pt;mso-position-horizontal-relative:page;mso-position-vertical-relative:page;z-index:-16302592" type="#_x0000_t202" id="docshape38" filled="false" stroked="false">
              <v:textbox inset="0,0,0,0">
                <w:txbxContent>
                  <w:p>
                    <w:pPr>
                      <w:spacing w:line="282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96969"/>
                        <w:sz w:val="15"/>
                      </w:rPr>
                      <w:t>PropertyFlow</w:t>
                    </w:r>
                    <w:r>
                      <w:rPr>
                        <w:color w:val="696969"/>
                        <w:spacing w:val="-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Management Partners Ltd, 17335928 | Operator Agreement v1.2 | Confidential | Page</w:t>
                    </w:r>
                    <w:r>
                      <w:rPr>
                        <w:color w:val="696969"/>
                        <w:spacing w:val="4"/>
                        <w:sz w:val="15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8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5936">
              <wp:simplePos x="0" y="0"/>
              <wp:positionH relativeFrom="page">
                <wp:posOffset>1313814</wp:posOffset>
              </wp:positionH>
              <wp:positionV relativeFrom="page">
                <wp:posOffset>10170331</wp:posOffset>
              </wp:positionV>
              <wp:extent cx="4935220" cy="17907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493522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2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96969"/>
                              <w:sz w:val="15"/>
                            </w:rPr>
                            <w:t>PropertyFlow</w:t>
                          </w:r>
                          <w:r>
                            <w:rPr>
                              <w:color w:val="696969"/>
                              <w:spacing w:val="-4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Management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Partners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Ltd,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17335928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Agreement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v1.2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Confidential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96969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of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449997pt;margin-top:800.813538pt;width:388.6pt;height:14.1pt;mso-position-horizontal-relative:page;mso-position-vertical-relative:page;z-index:-16300544" type="#_x0000_t202" id="docshape45" filled="false" stroked="false">
              <v:textbox inset="0,0,0,0">
                <w:txbxContent>
                  <w:p>
                    <w:pPr>
                      <w:spacing w:line="282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96969"/>
                        <w:sz w:val="15"/>
                      </w:rPr>
                      <w:t>PropertyFlow</w:t>
                    </w:r>
                    <w:r>
                      <w:rPr>
                        <w:color w:val="696969"/>
                        <w:spacing w:val="-4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Management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Partners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Ltd,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17335928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|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Operator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Agreement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v1.2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|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Confidential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|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Page</w:t>
                    </w:r>
                    <w:r>
                      <w:rPr>
                        <w:color w:val="696969"/>
                        <w:spacing w:val="2"/>
                        <w:sz w:val="15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2"/>
                        <w:sz w:val="20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of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18496">
              <wp:simplePos x="0" y="0"/>
              <wp:positionH relativeFrom="page">
                <wp:posOffset>1316355</wp:posOffset>
              </wp:positionH>
              <wp:positionV relativeFrom="page">
                <wp:posOffset>10170331</wp:posOffset>
              </wp:positionV>
              <wp:extent cx="4930140" cy="17907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493014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2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96969"/>
                              <w:sz w:val="15"/>
                            </w:rPr>
                            <w:t>PropertyFlow</w:t>
                          </w:r>
                          <w:r>
                            <w:rPr>
                              <w:color w:val="696969"/>
                              <w:spacing w:val="-5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Management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Partners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Ltd,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17335928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Agreement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v1.2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Confidential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|</w:t>
                          </w:r>
                          <w:r>
                            <w:rPr>
                              <w:color w:val="696969"/>
                              <w:spacing w:val="-3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96969"/>
                              <w:spacing w:val="2"/>
                              <w:sz w:val="15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of</w:t>
                          </w:r>
                          <w:r>
                            <w:rPr>
                              <w:color w:val="696969"/>
                              <w:spacing w:val="-2"/>
                              <w:sz w:val="15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3.650002pt;margin-top:800.813538pt;width:388.2pt;height:14.1pt;mso-position-horizontal-relative:page;mso-position-vertical-relative:page;z-index:-16297984" type="#_x0000_t202" id="docshape83" filled="false" stroked="false">
              <v:textbox inset="0,0,0,0">
                <w:txbxContent>
                  <w:p>
                    <w:pPr>
                      <w:spacing w:line="282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96969"/>
                        <w:sz w:val="15"/>
                      </w:rPr>
                      <w:t>PropertyFlow</w:t>
                    </w:r>
                    <w:r>
                      <w:rPr>
                        <w:color w:val="696969"/>
                        <w:spacing w:val="-5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Management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Partners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Ltd,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17335928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|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Operator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Agreement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v1.2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|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Confidential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|</w:t>
                    </w:r>
                    <w:r>
                      <w:rPr>
                        <w:color w:val="696969"/>
                        <w:spacing w:val="-3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Page</w:t>
                    </w:r>
                    <w:r>
                      <w:rPr>
                        <w:color w:val="696969"/>
                        <w:spacing w:val="2"/>
                        <w:sz w:val="15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3"/>
                        <w:sz w:val="20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of</w:t>
                    </w:r>
                    <w:r>
                      <w:rPr>
                        <w:color w:val="696969"/>
                        <w:spacing w:val="-2"/>
                        <w:sz w:val="15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020544">
              <wp:simplePos x="0" y="0"/>
              <wp:positionH relativeFrom="page">
                <wp:posOffset>1301114</wp:posOffset>
              </wp:positionH>
              <wp:positionV relativeFrom="page">
                <wp:posOffset>10170331</wp:posOffset>
              </wp:positionV>
              <wp:extent cx="4960620" cy="1790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496062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2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96969"/>
                              <w:sz w:val="15"/>
                            </w:rPr>
                            <w:t>PropertyFlow Management</w:t>
                          </w:r>
                          <w:r>
                            <w:rPr>
                              <w:color w:val="696969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Partners Ltd,</w:t>
                          </w:r>
                          <w:r>
                            <w:rPr>
                              <w:color w:val="696969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17335928 |</w:t>
                          </w:r>
                          <w:r>
                            <w:rPr>
                              <w:color w:val="696969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Operator Agreement</w:t>
                          </w:r>
                          <w:r>
                            <w:rPr>
                              <w:color w:val="696969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v1.2 |</w:t>
                          </w:r>
                          <w:r>
                            <w:rPr>
                              <w:color w:val="696969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Confidential |</w:t>
                          </w:r>
                          <w:r>
                            <w:rPr>
                              <w:color w:val="696969"/>
                              <w:spacing w:val="1"/>
                              <w:sz w:val="15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696969"/>
                              <w:spacing w:val="5"/>
                              <w:sz w:val="15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5"/>
                            </w:rPr>
                            <w:t>of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2.449997pt;margin-top:800.813538pt;width:390.6pt;height:14.1pt;mso-position-horizontal-relative:page;mso-position-vertical-relative:page;z-index:-16295936" type="#_x0000_t202" id="docshape88" filled="false" stroked="false">
              <v:textbox inset="0,0,0,0">
                <w:txbxContent>
                  <w:p>
                    <w:pPr>
                      <w:spacing w:line="282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96969"/>
                        <w:sz w:val="15"/>
                      </w:rPr>
                      <w:t>PropertyFlow Management</w:t>
                    </w:r>
                    <w:r>
                      <w:rPr>
                        <w:color w:val="696969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Partners Ltd,</w:t>
                    </w:r>
                    <w:r>
                      <w:rPr>
                        <w:color w:val="696969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17335928 |</w:t>
                    </w:r>
                    <w:r>
                      <w:rPr>
                        <w:color w:val="696969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Operator Agreement</w:t>
                    </w:r>
                    <w:r>
                      <w:rPr>
                        <w:color w:val="696969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v1.2 |</w:t>
                    </w:r>
                    <w:r>
                      <w:rPr>
                        <w:color w:val="696969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Confidential |</w:t>
                    </w:r>
                    <w:r>
                      <w:rPr>
                        <w:color w:val="696969"/>
                        <w:spacing w:val="1"/>
                        <w:sz w:val="15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Page</w:t>
                    </w:r>
                    <w:r>
                      <w:rPr>
                        <w:color w:val="696969"/>
                        <w:spacing w:val="5"/>
                        <w:sz w:val="15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20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1"/>
                        <w:sz w:val="20"/>
                      </w:rPr>
                      <w:t> </w:t>
                    </w:r>
                    <w:r>
                      <w:rPr>
                        <w:color w:val="696969"/>
                        <w:sz w:val="15"/>
                      </w:rPr>
                      <w:t>of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20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w:drawing>
        <wp:anchor distT="0" distB="0" distL="0" distR="0" allowOverlap="1" layoutInCell="1" locked="0" behindDoc="1" simplePos="0" relativeHeight="487009792">
          <wp:simplePos x="0" y="0"/>
          <wp:positionH relativeFrom="page">
            <wp:posOffset>720090</wp:posOffset>
          </wp:positionH>
          <wp:positionV relativeFrom="page">
            <wp:posOffset>355612</wp:posOffset>
          </wp:positionV>
          <wp:extent cx="133350" cy="1517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0304">
              <wp:simplePos x="0" y="0"/>
              <wp:positionH relativeFrom="page">
                <wp:posOffset>913764</wp:posOffset>
              </wp:positionH>
              <wp:positionV relativeFrom="page">
                <wp:posOffset>355612</wp:posOffset>
              </wp:positionV>
              <wp:extent cx="916940" cy="2019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694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color w:val="0B0B0E"/>
                              <w:spacing w:val="-2"/>
                              <w:sz w:val="22"/>
                            </w:rPr>
                            <w:t>PropertyFlow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949997pt;margin-top:28.001015pt;width:72.2pt;height:15.9pt;mso-position-horizontal-relative:page;mso-position-vertical-relative:page;z-index:-1630617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entury Gothic"/>
                        <w:b/>
                        <w:sz w:val="22"/>
                      </w:rPr>
                    </w:pPr>
                    <w:r>
                      <w:rPr>
                        <w:rFonts w:ascii="Century Gothic"/>
                        <w:b/>
                        <w:color w:val="0B0B0E"/>
                        <w:spacing w:val="-2"/>
                        <w:sz w:val="22"/>
                      </w:rPr>
                      <w:t>PropertyFlow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0816">
              <wp:simplePos x="0" y="0"/>
              <wp:positionH relativeFrom="page">
                <wp:posOffset>4854575</wp:posOffset>
              </wp:positionH>
              <wp:positionV relativeFrom="page">
                <wp:posOffset>396887</wp:posOffset>
              </wp:positionV>
              <wp:extent cx="1998345" cy="14859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9834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6969"/>
                              <w:sz w:val="16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Agreement,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Standard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Form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pacing w:val="-4"/>
                              <w:sz w:val="16"/>
                            </w:rPr>
                            <w:t>v1.2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25pt;margin-top:31.251015pt;width:157.35pt;height:11.7pt;mso-position-horizontal-relative:page;mso-position-vertical-relative:page;z-index:-16305664" type="#_x0000_t202" id="docshape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6969"/>
                        <w:sz w:val="16"/>
                      </w:rPr>
                      <w:t>Operator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Agreement,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Standard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Form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pacing w:val="-4"/>
                        <w:sz w:val="16"/>
                      </w:rPr>
                      <w:t>v1.2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w:drawing>
        <wp:anchor distT="0" distB="0" distL="0" distR="0" allowOverlap="1" layoutInCell="1" locked="0" behindDoc="1" simplePos="0" relativeHeight="487011840">
          <wp:simplePos x="0" y="0"/>
          <wp:positionH relativeFrom="page">
            <wp:posOffset>720090</wp:posOffset>
          </wp:positionH>
          <wp:positionV relativeFrom="page">
            <wp:posOffset>355612</wp:posOffset>
          </wp:positionV>
          <wp:extent cx="133350" cy="151765"/>
          <wp:effectExtent l="0" t="0" r="0" b="0"/>
          <wp:wrapNone/>
          <wp:docPr id="38" name="Image 3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2352">
              <wp:simplePos x="0" y="0"/>
              <wp:positionH relativeFrom="page">
                <wp:posOffset>720090</wp:posOffset>
              </wp:positionH>
              <wp:positionV relativeFrom="page">
                <wp:posOffset>624852</wp:posOffset>
              </wp:positionV>
              <wp:extent cx="6119495" cy="127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FF025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00001pt;margin-top:49.201015pt;width:481.85pt;height:.1pt;mso-position-horizontal-relative:page;mso-position-vertical-relative:page;z-index:-16304128" id="docshape35" coordorigin="1134,984" coordsize="9637,0" path="m10771,984l1134,984m10771,984l1134,984e" filled="false" stroked="true" strokeweight=".75pt" strokecolor="#ff0256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2864">
              <wp:simplePos x="0" y="0"/>
              <wp:positionH relativeFrom="page">
                <wp:posOffset>913764</wp:posOffset>
              </wp:positionH>
              <wp:positionV relativeFrom="page">
                <wp:posOffset>355612</wp:posOffset>
              </wp:positionV>
              <wp:extent cx="916940" cy="20193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91694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color w:val="0B0B0E"/>
                              <w:spacing w:val="-2"/>
                              <w:sz w:val="22"/>
                            </w:rPr>
                            <w:t>PropertyFlow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49997pt;margin-top:28.001015pt;width:72.2pt;height:15.9pt;mso-position-horizontal-relative:page;mso-position-vertical-relative:page;z-index:-16303616" type="#_x0000_t202" id="docshape3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entury Gothic"/>
                        <w:b/>
                        <w:sz w:val="22"/>
                      </w:rPr>
                    </w:pPr>
                    <w:r>
                      <w:rPr>
                        <w:rFonts w:ascii="Century Gothic"/>
                        <w:b/>
                        <w:color w:val="0B0B0E"/>
                        <w:spacing w:val="-2"/>
                        <w:sz w:val="22"/>
                      </w:rPr>
                      <w:t>PropertyFlow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4854575</wp:posOffset>
              </wp:positionH>
              <wp:positionV relativeFrom="page">
                <wp:posOffset>396887</wp:posOffset>
              </wp:positionV>
              <wp:extent cx="1998345" cy="14859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99834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6969"/>
                              <w:sz w:val="16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Agreement,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Standard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Form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pacing w:val="-4"/>
                              <w:sz w:val="16"/>
                            </w:rPr>
                            <w:t>v1.2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25pt;margin-top:31.251015pt;width:157.35pt;height:11.7pt;mso-position-horizontal-relative:page;mso-position-vertical-relative:page;z-index:-16303104" type="#_x0000_t202" id="docshape3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6969"/>
                        <w:sz w:val="16"/>
                      </w:rPr>
                      <w:t>Operator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Agreement,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Standard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Form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pacing w:val="-4"/>
                        <w:sz w:val="16"/>
                      </w:rPr>
                      <w:t>v1.2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w:drawing>
        <wp:anchor distT="0" distB="0" distL="0" distR="0" allowOverlap="1" layoutInCell="1" locked="0" behindDoc="1" simplePos="0" relativeHeight="487014400">
          <wp:simplePos x="0" y="0"/>
          <wp:positionH relativeFrom="page">
            <wp:posOffset>720090</wp:posOffset>
          </wp:positionH>
          <wp:positionV relativeFrom="page">
            <wp:posOffset>355612</wp:posOffset>
          </wp:positionV>
          <wp:extent cx="133350" cy="151765"/>
          <wp:effectExtent l="0" t="0" r="0" b="0"/>
          <wp:wrapNone/>
          <wp:docPr id="47" name="Image 4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7" name="Image 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4912">
              <wp:simplePos x="0" y="0"/>
              <wp:positionH relativeFrom="page">
                <wp:posOffset>913764</wp:posOffset>
              </wp:positionH>
              <wp:positionV relativeFrom="page">
                <wp:posOffset>355612</wp:posOffset>
              </wp:positionV>
              <wp:extent cx="916940" cy="20193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91694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color w:val="0B0B0E"/>
                              <w:spacing w:val="-2"/>
                              <w:sz w:val="22"/>
                            </w:rPr>
                            <w:t>PropertyFlow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49997pt;margin-top:28.001015pt;width:72.2pt;height:15.9pt;mso-position-horizontal-relative:page;mso-position-vertical-relative:page;z-index:-16301568" type="#_x0000_t202" id="docshape4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entury Gothic"/>
                        <w:b/>
                        <w:sz w:val="22"/>
                      </w:rPr>
                    </w:pPr>
                    <w:r>
                      <w:rPr>
                        <w:rFonts w:ascii="Century Gothic"/>
                        <w:b/>
                        <w:color w:val="0B0B0E"/>
                        <w:spacing w:val="-2"/>
                        <w:sz w:val="22"/>
                      </w:rPr>
                      <w:t>PropertyFlow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5424">
              <wp:simplePos x="0" y="0"/>
              <wp:positionH relativeFrom="page">
                <wp:posOffset>4854575</wp:posOffset>
              </wp:positionH>
              <wp:positionV relativeFrom="page">
                <wp:posOffset>396887</wp:posOffset>
              </wp:positionV>
              <wp:extent cx="1998345" cy="14859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99834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6969"/>
                              <w:sz w:val="16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Agreement,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Standard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Form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pacing w:val="-4"/>
                              <w:sz w:val="16"/>
                            </w:rPr>
                            <w:t>v1.2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25pt;margin-top:31.251015pt;width:157.35pt;height:11.7pt;mso-position-horizontal-relative:page;mso-position-vertical-relative:page;z-index:-16301056" type="#_x0000_t202" id="docshape44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6969"/>
                        <w:sz w:val="16"/>
                      </w:rPr>
                      <w:t>Operator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Agreement,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Standard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Form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pacing w:val="-4"/>
                        <w:sz w:val="16"/>
                      </w:rPr>
                      <w:t>v1.2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w:drawing>
        <wp:anchor distT="0" distB="0" distL="0" distR="0" allowOverlap="1" layoutInCell="1" locked="0" behindDoc="1" simplePos="0" relativeHeight="487016448">
          <wp:simplePos x="0" y="0"/>
          <wp:positionH relativeFrom="page">
            <wp:posOffset>720090</wp:posOffset>
          </wp:positionH>
          <wp:positionV relativeFrom="page">
            <wp:posOffset>355612</wp:posOffset>
          </wp:positionV>
          <wp:extent cx="133350" cy="151765"/>
          <wp:effectExtent l="0" t="0" r="0" b="0"/>
          <wp:wrapNone/>
          <wp:docPr id="86" name="Image 8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6" name="Image 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6960">
              <wp:simplePos x="0" y="0"/>
              <wp:positionH relativeFrom="page">
                <wp:posOffset>720090</wp:posOffset>
              </wp:positionH>
              <wp:positionV relativeFrom="page">
                <wp:posOffset>624852</wp:posOffset>
              </wp:positionV>
              <wp:extent cx="6119495" cy="1270"/>
              <wp:effectExtent l="0" t="0" r="0" b="0"/>
              <wp:wrapNone/>
              <wp:docPr id="87" name="Graphic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Graphic 87"/>
                    <wps:cNvSpPr/>
                    <wps:spPr>
                      <a:xfrm>
                        <a:off x="0" y="0"/>
                        <a:ext cx="611949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  <a:path w="6119495" h="0">
                            <a:moveTo>
                              <a:pt x="611949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FF025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700001pt;margin-top:49.201015pt;width:481.85pt;height:.1pt;mso-position-horizontal-relative:page;mso-position-vertical-relative:page;z-index:-16299520" id="docshape80" coordorigin="1134,984" coordsize="9637,0" path="m10771,984l1134,984m10771,984l1134,984e" filled="false" stroked="true" strokeweight=".75pt" strokecolor="#ff0256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7472">
              <wp:simplePos x="0" y="0"/>
              <wp:positionH relativeFrom="page">
                <wp:posOffset>913764</wp:posOffset>
              </wp:positionH>
              <wp:positionV relativeFrom="page">
                <wp:posOffset>355612</wp:posOffset>
              </wp:positionV>
              <wp:extent cx="916940" cy="20193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91694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color w:val="0B0B0E"/>
                              <w:spacing w:val="-2"/>
                              <w:sz w:val="22"/>
                            </w:rPr>
                            <w:t>PropertyFlow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49997pt;margin-top:28.001015pt;width:72.2pt;height:15.9pt;mso-position-horizontal-relative:page;mso-position-vertical-relative:page;z-index:-16299008" type="#_x0000_t202" id="docshape8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entury Gothic"/>
                        <w:b/>
                        <w:sz w:val="22"/>
                      </w:rPr>
                    </w:pPr>
                    <w:r>
                      <w:rPr>
                        <w:rFonts w:ascii="Century Gothic"/>
                        <w:b/>
                        <w:color w:val="0B0B0E"/>
                        <w:spacing w:val="-2"/>
                        <w:sz w:val="22"/>
                      </w:rPr>
                      <w:t>PropertyFlow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7984">
              <wp:simplePos x="0" y="0"/>
              <wp:positionH relativeFrom="page">
                <wp:posOffset>4854575</wp:posOffset>
              </wp:positionH>
              <wp:positionV relativeFrom="page">
                <wp:posOffset>396887</wp:posOffset>
              </wp:positionV>
              <wp:extent cx="1998345" cy="14859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199834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6969"/>
                              <w:sz w:val="16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Agreement,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Standard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Form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pacing w:val="-4"/>
                              <w:sz w:val="16"/>
                            </w:rPr>
                            <w:t>v1.2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25pt;margin-top:31.251015pt;width:157.35pt;height:11.7pt;mso-position-horizontal-relative:page;mso-position-vertical-relative:page;z-index:-16298496" type="#_x0000_t202" id="docshape82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6969"/>
                        <w:sz w:val="16"/>
                      </w:rPr>
                      <w:t>Operator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Agreement,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Standard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Form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pacing w:val="-4"/>
                        <w:sz w:val="16"/>
                      </w:rPr>
                      <w:t>v1.2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w:drawing>
        <wp:anchor distT="0" distB="0" distL="0" distR="0" allowOverlap="1" layoutInCell="1" locked="0" behindDoc="1" simplePos="0" relativeHeight="487019008">
          <wp:simplePos x="0" y="0"/>
          <wp:positionH relativeFrom="page">
            <wp:posOffset>720090</wp:posOffset>
          </wp:positionH>
          <wp:positionV relativeFrom="page">
            <wp:posOffset>355612</wp:posOffset>
          </wp:positionV>
          <wp:extent cx="133350" cy="151765"/>
          <wp:effectExtent l="0" t="0" r="0" b="0"/>
          <wp:wrapNone/>
          <wp:docPr id="93" name="Image 9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3" name="Image 9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350" cy="1517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019520">
              <wp:simplePos x="0" y="0"/>
              <wp:positionH relativeFrom="page">
                <wp:posOffset>913764</wp:posOffset>
              </wp:positionH>
              <wp:positionV relativeFrom="page">
                <wp:posOffset>355612</wp:posOffset>
              </wp:positionV>
              <wp:extent cx="916940" cy="20193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916940" cy="201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entury Gothic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color w:val="0B0B0E"/>
                              <w:spacing w:val="-2"/>
                              <w:sz w:val="22"/>
                            </w:rPr>
                            <w:t>PropertyFlow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949997pt;margin-top:28.001015pt;width:72.2pt;height:15.9pt;mso-position-horizontal-relative:page;mso-position-vertical-relative:page;z-index:-16296960" type="#_x0000_t202" id="docshape8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entury Gothic"/>
                        <w:b/>
                        <w:sz w:val="22"/>
                      </w:rPr>
                    </w:pPr>
                    <w:r>
                      <w:rPr>
                        <w:rFonts w:ascii="Century Gothic"/>
                        <w:b/>
                        <w:color w:val="0B0B0E"/>
                        <w:spacing w:val="-2"/>
                        <w:sz w:val="22"/>
                      </w:rPr>
                      <w:t>PropertyFlow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020032">
              <wp:simplePos x="0" y="0"/>
              <wp:positionH relativeFrom="page">
                <wp:posOffset>4854575</wp:posOffset>
              </wp:positionH>
              <wp:positionV relativeFrom="page">
                <wp:posOffset>396887</wp:posOffset>
              </wp:positionV>
              <wp:extent cx="1998345" cy="14859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199834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4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6969"/>
                              <w:sz w:val="16"/>
                            </w:rPr>
                            <w:t>Operator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Agreement,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Standard</w:t>
                          </w:r>
                          <w:r>
                            <w:rPr>
                              <w:color w:val="696969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z w:val="16"/>
                            </w:rPr>
                            <w:t>Form</w:t>
                          </w:r>
                          <w:r>
                            <w:rPr>
                              <w:color w:val="696969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96969"/>
                              <w:spacing w:val="-4"/>
                              <w:sz w:val="16"/>
                            </w:rPr>
                            <w:t>v1.2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25pt;margin-top:31.251015pt;width:157.35pt;height:11.7pt;mso-position-horizontal-relative:page;mso-position-vertical-relative:page;z-index:-16296448" type="#_x0000_t202" id="docshape87" filled="false" stroked="false">
              <v:textbox inset="0,0,0,0">
                <w:txbxContent>
                  <w:p>
                    <w:pPr>
                      <w:spacing w:line="234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6969"/>
                        <w:sz w:val="16"/>
                      </w:rPr>
                      <w:t>Operator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Agreement,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Standard</w:t>
                    </w:r>
                    <w:r>
                      <w:rPr>
                        <w:color w:val="696969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96969"/>
                        <w:sz w:val="16"/>
                      </w:rPr>
                      <w:t>Form</w:t>
                    </w:r>
                    <w:r>
                      <w:rPr>
                        <w:color w:val="696969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96969"/>
                        <w:spacing w:val="-4"/>
                        <w:sz w:val="16"/>
                      </w:rPr>
                      <w:t>v1.2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23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43" w:hanging="300"/>
      </w:pPr>
      <w:rPr>
        <w:rFonts w:hint="default" w:ascii="Microsoft JhengHei UI" w:hAnsi="Microsoft JhengHei UI" w:eastAsia="Microsoft JhengHei UI" w:cs="Microsoft JhengHei UI"/>
        <w:b w:val="0"/>
        <w:bCs w:val="0"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2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5"/>
      <w:numFmt w:val="decimal"/>
      <w:lvlText w:val="%1."/>
      <w:lvlJc w:val="left"/>
      <w:pPr>
        <w:ind w:left="374" w:hanging="372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color w:val="0B0B0E"/>
        <w:spacing w:val="0"/>
        <w:w w:val="88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3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3" w:hanging="300"/>
      </w:pPr>
      <w:rPr>
        <w:rFonts w:hint="default" w:ascii="Microsoft JhengHei UI" w:hAnsi="Microsoft JhengHei UI" w:eastAsia="Microsoft JhengHei UI" w:cs="Microsoft JhengHei UI"/>
        <w:b w:val="0"/>
        <w:bCs w:val="0"/>
        <w:i w:val="0"/>
        <w:iCs w:val="0"/>
        <w:spacing w:val="0"/>
        <w:w w:val="128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8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1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0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15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4"/>
      <w:numFmt w:val="decimal"/>
      <w:lvlText w:val="%1"/>
      <w:lvlJc w:val="left"/>
      <w:pPr>
        <w:ind w:left="72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3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4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276" w:hanging="273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color w:val="0B0B0E"/>
        <w:spacing w:val="0"/>
        <w:w w:val="82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3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8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723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3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9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2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8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8" w:hanging="226"/>
        <w:jc w:val="left"/>
      </w:pPr>
      <w:rPr>
        <w:rFonts w:hint="default" w:ascii="Century Gothic" w:hAnsi="Century Gothic" w:eastAsia="Century Gothic" w:cs="Century Gothic"/>
        <w:b/>
        <w:bCs/>
        <w:i w:val="0"/>
        <w:iCs w:val="0"/>
        <w:color w:val="0B0B0E"/>
        <w:spacing w:val="0"/>
        <w:w w:val="8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3" w:hanging="720"/>
        <w:jc w:val="left"/>
      </w:pPr>
      <w:rPr>
        <w:rFonts w:hint="default" w:ascii="Tahoma" w:hAnsi="Tahoma" w:eastAsia="Tahoma" w:cs="Tahoma"/>
        <w:b/>
        <w:bCs/>
        <w:i w:val="0"/>
        <w:iCs w:val="0"/>
        <w:spacing w:val="-1"/>
        <w:w w:val="7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4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67" w:hanging="7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 UI" w:hAnsi="Microsoft JhengHei UI" w:eastAsia="Microsoft JhengHei UI" w:cs="Microsoft JhengHei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7"/>
      <w:ind w:left="723"/>
    </w:pPr>
    <w:rPr>
      <w:rFonts w:ascii="Microsoft JhengHei UI" w:hAnsi="Microsoft JhengHei UI" w:eastAsia="Microsoft JhengHei UI" w:cs="Microsoft JhengHei U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after="71"/>
      <w:ind w:left="2"/>
      <w:outlineLvl w:val="1"/>
    </w:pPr>
    <w:rPr>
      <w:rFonts w:ascii="Century Gothic" w:hAnsi="Century Gothic" w:eastAsia="Century Gothic" w:cs="Century Gothic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"/>
      <w:ind w:left="2"/>
      <w:outlineLvl w:val="2"/>
    </w:pPr>
    <w:rPr>
      <w:rFonts w:ascii="Century Gothic" w:hAnsi="Century Gothic" w:eastAsia="Century Gothic" w:cs="Century Gothic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28" w:lineRule="exact"/>
      <w:ind w:left="723"/>
      <w:outlineLvl w:val="3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5"/>
      <w:ind w:left="2"/>
    </w:pPr>
    <w:rPr>
      <w:rFonts w:ascii="Century Gothic" w:hAnsi="Century Gothic" w:eastAsia="Century Gothic" w:cs="Century Gothic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4"/>
      <w:ind w:left="723" w:hanging="720"/>
    </w:pPr>
    <w:rPr>
      <w:rFonts w:ascii="Microsoft JhengHei UI" w:hAnsi="Microsoft JhengHei UI" w:eastAsia="Microsoft JhengHei UI" w:cs="Microsoft JhengHei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ind w:left="111"/>
    </w:pPr>
    <w:rPr>
      <w:rFonts w:ascii="Microsoft JhengHei UI" w:hAnsi="Microsoft JhengHei UI" w:eastAsia="Microsoft JhengHei UI" w:cs="Microsoft JhengHei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mailto:simran@propertyflow.uk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3.png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PropertyFlow Management Partners Ltd</dc:creator>
  <dc:title>PropertyFlow Operator Agreement v1.2</dc:title>
  <dcterms:created xsi:type="dcterms:W3CDTF">2026-09-21T10:42:51Z</dcterms:created>
  <dcterms:modified xsi:type="dcterms:W3CDTF">2026-09-21T10:42:51Z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2026-09-06T00:00:00Z</vt:filetime>
  </property>
  <property fmtid="{D5CDD505-2E9C-101B-9397-08002B2CF9AE}" pid="4" name="Creator">
    <vt:lpwstr>Writer</vt:lpwstr>
  </property>
  <property fmtid="{D5CDD505-2E9C-101B-9397-08002B2CF9AE}" pid="5" name="LastSaved">
    <vt:filetime>2026-09-21T00:00:00Z</vt:filetime>
  </property>
  <property fmtid="{D5CDD505-2E9C-101B-9397-08002B2CF9AE}" pid="6" name="Producer">
    <vt:lpwstr>3-Heights(TM) PDF Security Shell 4.8.25.2 (http://www.pdf-tools.com)</vt:lpwstr>
  </property>
</Properties>
</file>