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 9500 Research Progress</w:t>
      </w:r>
    </w:p>
    <w:p>
      <w:pPr>
        <w:spacing w:after="220"/>
        <w:jc w:val="left"/>
      </w:pPr>
      <w:r>
        <w:rPr>
          <w:color w:val="636F7A"/>
          <w:sz w:val="18"/>
        </w:rPr>
        <w:t>Vibhor Malik  |  20 October 2026</w:t>
      </w:r>
    </w:p>
    <w:p>
      <w:pPr>
        <w:pStyle w:val="Heading2"/>
      </w:pPr>
      <w:r>
        <w:t>Overview</w:t>
      </w:r>
    </w:p>
    <w:p>
      <w:r>
        <w:t>I have completed the current offline evaluation of natural-language controls for a short-video recommender and updated the paper and slides for review. The controls changed which categories appeared in the feed, but the historical next-item ranking measure was lower under stronger control. I have also read the cited papers and checked the background claims used in the draft.</w:t>
      </w:r>
    </w:p>
    <w:p>
      <w:pPr>
        <w:pStyle w:val="Heading2"/>
      </w:pPr>
      <w:r>
        <w:t>Results</w:t>
      </w:r>
    </w:p>
    <w:p>
      <w:r>
        <w:t>In Experiment 1, the target category's share rose from 11.6% to 79.2% when boosted, while exposure to a muted category fell from 6.1% to zero. Boosting also reduced NDCG@10 from 0.03012 to 0.01637, so the added control did not improve the historical ranking measure.</w:t>
      </w:r>
    </w:p>
    <w:p>
      <w:r>
        <w:t>The separate October 14 evaluation used 100 fresh synthetic requests and model-generated reference instructions. Llama matched 76 complete instructions, compared with 11 for a rule parser. Twenty-three Llama outputs failed validation, and one other accepted output differed from its reference. Mean category-control success was 20.145% with Llama versus 3.815% with one-item feedback. Conditional requests had no successful controls, and next-item NDCG@10 was lower with Llama (0.02580 versus 0.03184).</w:t>
      </w:r>
    </w:p>
    <w:p>
      <w:r>
        <w:t>These are results from an offline synthetic test. The references were generated by a model, and the study did not measure real users' preferences or satisfaction.</w:t>
      </w:r>
    </w:p>
    <w:p>
      <w:pPr>
        <w:pStyle w:val="Heading2"/>
      </w:pPr>
      <w:r>
        <w:t>Student response check</w:t>
      </w:r>
    </w:p>
    <w:p>
      <w:r>
        <w:t>I also submitted my own responses to the 100 original worksheet questions. After I confirmed how the study's existing annotation rules apply when a request does not state a strength, my responses matched 99 of the 100 initial model-written labels. This is a useful consistency check, but it is not agreement between two human annotators or a final human-validated evaluation.</w:t>
      </w:r>
    </w:p>
    <w:p>
      <w:pPr>
        <w:pStyle w:val="Heading2"/>
      </w:pPr>
      <w:r>
        <w:t>Next steps</w:t>
      </w:r>
    </w:p>
    <w:p>
      <w:r>
        <w:t>For the separate human-labeled version of the study, I still need to complete the annotation record, settle how earlier development-result summaries affect the independence of the comparison, and review the one difference without consulting model outputs. I will bring these points to the October 23 readiness review. I would welcome feedback on the paper and on whether the completed model-reference evaluation meets the expected COMP 9500 scope.</w:t>
      </w:r>
    </w:p>
    <w:sectPr w:rsidR="00FC693F" w:rsidRPr="0006063C" w:rsidSect="00034616">
      <w:footerReference w:type="default" r:id="rId9"/>
      <w:pgSz w:w="12240" w:h="15840"/>
      <w:pgMar w:top="1080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7F8A93"/>
        <w:sz w:val="16"/>
      </w:rPr>
      <w:t>COMP 9500  |  20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2730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B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3B56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 9500 Research Progress</dc:title>
  <dc:subject>Supervisor progress update, 20 October 2026</dc:subject>
  <dc:creator>Vibhor Malik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