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COMP9500 evidence and completion checklist</w:t>
      </w:r>
    </w:p>
    <w:p>
      <w:pPr>
        <w:pStyle w:val="Subtitle"/>
      </w:pPr>
      <w:r>
        <w:t>Vibhor Malik   COMP 9500   14 October 2026</w:t>
      </w:r>
    </w:p>
    <w:p>
      <w:r>
        <w:t>This checklist records the revised AI-reference study and distinguishes verified execution from historical and broader research requirements. Final publication and supervisor acceptance remain external decisions.</w:t>
      </w:r>
    </w:p>
    <w:tbl>
      <w:tblPr>
        <w:tblStyle w:val="TableGrid"/>
        <w:tblW w:type="auto" w:w="0"/>
        <w:tblLook w:firstColumn="1" w:firstRow="1" w:lastColumn="0" w:lastRow="0" w:noHBand="0" w:noVBand="1" w:val="04A0"/>
      </w:tblPr>
      <w:tblGrid>
        <w:gridCol w:w="4968"/>
        <w:gridCol w:w="4968"/>
      </w:tblGrid>
      <w:tr>
        <w:tc>
          <w:tcPr>
            <w:tcW w:type="dxa" w:w="4968"/>
            <w:shd w:fill="E7ECF1"/>
          </w:tcPr>
          <w:p>
            <w:pPr>
              <w:spacing w:after="80"/>
            </w:pPr>
            <w:r>
              <w:rPr>
                <w:b/>
                <w:sz w:val="18"/>
              </w:rPr>
              <w:t>Work item</w:t>
            </w:r>
          </w:p>
        </w:tc>
        <w:tc>
          <w:tcPr>
            <w:tcW w:type="dxa" w:w="4968"/>
            <w:shd w:fill="E7ECF1"/>
          </w:tcPr>
          <w:p>
            <w:pPr>
              <w:spacing w:after="80"/>
            </w:pPr>
            <w:r>
              <w:rPr>
                <w:b/>
                <w:sz w:val="18"/>
              </w:rPr>
              <w:t>Evidence and status</w:t>
            </w:r>
          </w:p>
        </w:tc>
      </w:tr>
      <w:tr>
        <w:tc>
          <w:tcPr>
            <w:tcW w:type="dxa" w:w="4968"/>
          </w:tcPr>
          <w:p>
            <w:pPr>
              <w:spacing w:after="80"/>
            </w:pPr>
            <w:r>
              <w:rPr>
                <w:sz w:val="18"/>
              </w:rPr>
              <w:t>E1 preservation</w:t>
            </w:r>
          </w:p>
        </w:tc>
        <w:tc>
          <w:tcPr>
            <w:tcW w:type="dxa" w:w="4968"/>
          </w:tcPr>
          <w:p>
            <w:pPr>
              <w:spacing w:after="80"/>
            </w:pPr>
            <w:r>
              <w:rPr>
                <w:sz w:val="18"/>
              </w:rPr>
              <w:t>288 original hashes match; fixed archive retained</w:t>
            </w:r>
          </w:p>
        </w:tc>
      </w:tr>
      <w:tr>
        <w:tc>
          <w:tcPr>
            <w:tcW w:type="dxa" w:w="4968"/>
          </w:tcPr>
          <w:p>
            <w:pPr>
              <w:spacing w:after="80"/>
            </w:pPr>
            <w:r>
              <w:rPr>
                <w:sz w:val="18"/>
              </w:rPr>
              <w:t>Practice preservation</w:t>
            </w:r>
          </w:p>
        </w:tc>
        <w:tc>
          <w:tcPr>
            <w:tcW w:type="dxa" w:w="4968"/>
          </w:tcPr>
          <w:p>
            <w:pPr>
              <w:spacing w:after="80"/>
            </w:pPr>
            <w:r>
              <w:rPr>
                <w:sz w:val="18"/>
              </w:rPr>
              <w:t>73/100 primary score; original c6ebda0 run intact; not rerun</w:t>
            </w:r>
          </w:p>
        </w:tc>
      </w:tr>
      <w:tr>
        <w:tc>
          <w:tcPr>
            <w:tcW w:type="dxa" w:w="4968"/>
          </w:tcPr>
          <w:p>
            <w:pPr>
              <w:spacing w:after="80"/>
            </w:pPr>
            <w:r>
              <w:rPr>
                <w:sz w:val="18"/>
              </w:rPr>
              <w:t>Prospective design</w:t>
            </w:r>
          </w:p>
        </w:tc>
        <w:tc>
          <w:tcPr>
            <w:tcW w:type="dxa" w:w="4968"/>
          </w:tcPr>
          <w:p>
            <w:pPr>
              <w:spacing w:after="80"/>
            </w:pPr>
            <w:r>
              <w:rPr>
                <w:sz w:val="18"/>
              </w:rPr>
              <w:t>Independent protocol review and pre-authoring source lock saved</w:t>
            </w:r>
          </w:p>
        </w:tc>
      </w:tr>
      <w:tr>
        <w:tc>
          <w:tcPr>
            <w:tcW w:type="dxa" w:w="4968"/>
          </w:tcPr>
          <w:p>
            <w:pPr>
              <w:spacing w:after="80"/>
            </w:pPr>
            <w:r>
              <w:rPr>
                <w:sz w:val="18"/>
              </w:rPr>
              <w:t>Fresh bank</w:t>
            </w:r>
          </w:p>
        </w:tc>
        <w:tc>
          <w:tcPr>
            <w:tcW w:type="dxa" w:w="4968"/>
          </w:tcPr>
          <w:p>
            <w:pPr>
              <w:spacing w:after="80"/>
            </w:pPr>
            <w:r>
              <w:rPr>
                <w:sz w:val="18"/>
              </w:rPr>
              <w:t>100 selected cases, exclusion checks and every rejected candidate retained</w:t>
            </w:r>
          </w:p>
        </w:tc>
      </w:tr>
      <w:tr>
        <w:tc>
          <w:tcPr>
            <w:tcW w:type="dxa" w:w="4968"/>
          </w:tcPr>
          <w:p>
            <w:pPr>
              <w:spacing w:after="80"/>
            </w:pPr>
            <w:r>
              <w:rPr>
                <w:sz w:val="18"/>
              </w:rPr>
              <w:t>Independent AI contexts</w:t>
            </w:r>
          </w:p>
        </w:tc>
        <w:tc>
          <w:tcPr>
            <w:tcW w:type="dxa" w:w="4968"/>
          </w:tcPr>
          <w:p>
            <w:pPr>
              <w:spacing w:after="80"/>
            </w:pPr>
            <w:r>
              <w:rPr>
                <w:sz w:val="18"/>
              </w:rPr>
              <w:t>Two original label sets locked; 0 adjudications; complete provenance</w:t>
            </w:r>
          </w:p>
        </w:tc>
      </w:tr>
      <w:tr>
        <w:tc>
          <w:tcPr>
            <w:tcW w:type="dxa" w:w="4968"/>
          </w:tcPr>
          <w:p>
            <w:pPr>
              <w:spacing w:after="80"/>
            </w:pPr>
            <w:r>
              <w:rPr>
                <w:sz w:val="18"/>
              </w:rPr>
              <w:t>Reference separation</w:t>
            </w:r>
          </w:p>
        </w:tc>
        <w:tc>
          <w:tcPr>
            <w:tcW w:type="dxa" w:w="4968"/>
          </w:tcPr>
          <w:p>
            <w:pPr>
              <w:spacing w:after="80"/>
            </w:pPr>
            <w:r>
              <w:rPr>
                <w:sz w:val="18"/>
              </w:rPr>
              <w:t>Question-only trusted worker, denied protected reads and local-only API</w:t>
            </w:r>
          </w:p>
        </w:tc>
      </w:tr>
      <w:tr>
        <w:tc>
          <w:tcPr>
            <w:tcW w:type="dxa" w:w="4968"/>
          </w:tcPr>
          <w:p>
            <w:pPr>
              <w:spacing w:after="80"/>
            </w:pPr>
            <w:r>
              <w:rPr>
                <w:sz w:val="18"/>
              </w:rPr>
              <w:t>Actual inference</w:t>
            </w:r>
          </w:p>
        </w:tc>
        <w:tc>
          <w:tcPr>
            <w:tcW w:type="dxa" w:w="4968"/>
          </w:tcPr>
          <w:p>
            <w:pPr>
              <w:spacing w:after="80"/>
            </w:pPr>
            <w:r>
              <w:rPr>
                <w:sz w:val="18"/>
              </w:rPr>
              <w:t>200 terminal records and durable journals; no retries or tuning</w:t>
            </w:r>
          </w:p>
        </w:tc>
      </w:tr>
      <w:tr>
        <w:tc>
          <w:tcPr>
            <w:tcW w:type="dxa" w:w="4968"/>
          </w:tcPr>
          <w:p>
            <w:pPr>
              <w:spacing w:after="80"/>
            </w:pPr>
            <w:r>
              <w:rPr>
                <w:sz w:val="18"/>
              </w:rPr>
              <w:t>Ranking and metrics</w:t>
            </w:r>
          </w:p>
        </w:tc>
        <w:tc>
          <w:tcPr>
            <w:tcW w:type="dxa" w:w="4968"/>
          </w:tcPr>
          <w:p>
            <w:pPr>
              <w:spacing w:after="80"/>
            </w:pPr>
            <w:r>
              <w:rPr>
                <w:sz w:val="18"/>
              </w:rPr>
              <w:t>41,520 rows and 2,595 vectors; full denominators</w:t>
            </w:r>
          </w:p>
        </w:tc>
      </w:tr>
      <w:tr>
        <w:tc>
          <w:tcPr>
            <w:tcW w:type="dxa" w:w="4968"/>
          </w:tcPr>
          <w:p>
            <w:pPr>
              <w:spacing w:after="80"/>
            </w:pPr>
            <w:r>
              <w:rPr>
                <w:sz w:val="18"/>
              </w:rPr>
              <w:t>Independent review</w:t>
            </w:r>
          </w:p>
        </w:tc>
        <w:tc>
          <w:tcPr>
            <w:tcW w:type="dxa" w:w="4968"/>
          </w:tcPr>
          <w:p>
            <w:pPr>
              <w:spacing w:after="80"/>
            </w:pPr>
            <w:r>
              <w:rPr>
                <w:sz w:val="18"/>
              </w:rPr>
              <w:t>Separate AI reviewer; calculation audit receipt retained</w:t>
            </w:r>
          </w:p>
        </w:tc>
      </w:tr>
      <w:tr>
        <w:tc>
          <w:tcPr>
            <w:tcW w:type="dxa" w:w="4968"/>
          </w:tcPr>
          <w:p>
            <w:pPr>
              <w:spacing w:after="80"/>
            </w:pPr>
            <w:r>
              <w:rPr>
                <w:sz w:val="18"/>
              </w:rPr>
              <w:t>Final pages and slides</w:t>
            </w:r>
          </w:p>
        </w:tc>
        <w:tc>
          <w:tcPr>
            <w:tcW w:type="dxa" w:w="4968"/>
          </w:tcPr>
          <w:p>
            <w:pPr>
              <w:spacing w:after="80"/>
            </w:pPr>
            <w:r>
              <w:rPr>
                <w:sz w:val="18"/>
              </w:rPr>
              <w:t>Rendered inspection receipt accompanies final hashes</w:t>
            </w:r>
          </w:p>
        </w:tc>
      </w:tr>
      <w:tr>
        <w:tc>
          <w:tcPr>
            <w:tcW w:type="dxa" w:w="4968"/>
          </w:tcPr>
          <w:p>
            <w:pPr>
              <w:spacing w:after="80"/>
            </w:pPr>
            <w:r>
              <w:rPr>
                <w:sz w:val="18"/>
              </w:rPr>
              <w:t>College Git branch</w:t>
            </w:r>
          </w:p>
        </w:tc>
        <w:tc>
          <w:tcPr>
            <w:tcW w:type="dxa" w:w="4968"/>
          </w:tcPr>
          <w:p>
            <w:pPr>
              <w:spacing w:after="80"/>
            </w:pPr>
            <w:r>
              <w:rPr>
                <w:sz w:val="18"/>
              </w:rPr>
              <w:t>Student account and remote checked; actual push receipt supplied</w:t>
            </w:r>
          </w:p>
        </w:tc>
      </w:tr>
      <w:tr>
        <w:tc>
          <w:tcPr>
            <w:tcW w:type="dxa" w:w="4968"/>
          </w:tcPr>
          <w:p>
            <w:pPr>
              <w:spacing w:after="80"/>
            </w:pPr>
            <w:r>
              <w:rPr>
                <w:sz w:val="18"/>
              </w:rPr>
              <w:t>Professor email</w:t>
            </w:r>
          </w:p>
        </w:tc>
        <w:tc>
          <w:tcPr>
            <w:tcW w:type="dxa" w:w="4968"/>
          </w:tcPr>
          <w:p>
            <w:pPr>
              <w:spacing w:after="80"/>
            </w:pPr>
            <w:r>
              <w:rPr>
                <w:sz w:val="18"/>
              </w:rPr>
              <w:t>Draft only, unsent</w:t>
            </w:r>
          </w:p>
        </w:tc>
      </w:tr>
    </w:tbl>
    <w:p/>
    <w:p>
      <w:r>
        <w:t>On the fresh AI-authored synthetic bank, validated whole-command agreement is 76/100 for Llama and 11/100 for rules. Llama operational or validation failures total 23; every failure remains in the denominator. All 23 recorded failures are unchanged-validator rejections of a condition that was not explicitly grounded in the request.</w:t>
      </w:r>
    </w:p>
    <w:p>
      <w:r>
        <w:t>User-averaged induced control success is 20.145% for Llama, 3.854% for rules and 3.815% for item feedback. NDCG@10 is 0.02580 for Llama versus 0.03184 for item feedback. Control and next-item ranking quality must be interpreted together.</w:t>
      </w:r>
    </w:p>
    <w:p>
      <w:r>
        <w:t>Tanishq and Khushi are AI agents in fresh separate contexts, not human participants. Their initial whole-command agreement is 100/100, Cohen kappa 1.000000. Both original label sets were hash-locked before comparison; 0 disagreements required the prespecified fresh AI adjudicator. All originals and decisions are preserved. Shared GPT-family errors remain possible; agreement does not establish human ground truth.</w:t>
      </w:r>
    </w:p>
    <w:p>
      <w:r>
        <w:br w:type="page"/>
      </w:r>
    </w:p>
    <w:p>
      <w:pPr>
        <w:pStyle w:val="Heading1"/>
      </w:pPr>
      <w:r>
        <w:t>Method and reproduction</w:t>
      </w:r>
    </w:p>
    <w:p>
      <w:r>
        <w:t>Local AI_WORK execution uses llama3.1:8b Q4_K_M, Ollama 0.34.0, digest 46e0c10c039e019119339687c3c1757cc81b9da49709a3b3924863ba87ca666e. Scientific Python is 3.14.0, NumPy 2.3.5, SciPy 1.16.3 and Torch 2.9.1+cpu. AI roles inherit gpt-6.1-sol with xhigh reasoning; exact serving weights and sampling seed are not exposed.</w:t>
      </w:r>
    </w:p>
    <w:p>
      <w:r>
        <w:t>The completed run retains 200 terminal parser records and 200 pre-call attempt journals, 41,520 ranking rows, 3,460 assigned user/class requests and 2,595 full score vectors. It covers 865 users and three frozen recommender seeds. A separate AI reviewer and independent computational recount check the evidence and calculations; the audit receipt states the exact scope and any limitations.</w:t>
      </w:r>
    </w:p>
    <w:p>
      <w:r>
        <w:t>Under this revision only, H1_AI is supported and H2_AI is supported by the prespecified directional tests with joint BH correction across 11 contrasts. H3_AI reports predictive quality descriptively. These decisions do not complete the archived human-reference design.</w:t>
      </w:r>
    </w:p>
    <w:p>
      <w:r>
        <w:t>Reproduction should use preserved raw predictions and score vectors first. The worker opening marker prevents rerunning this version. Fresh inference is a new execution, not replacement evidence. Exact prompts, schema, options, seeds, metrics, exclusions, source and input hashes are in the frozen methods evidence.</w:t>
      </w:r>
    </w:p>
    <w:p>
      <w:pPr>
        <w:pStyle w:val="Heading1"/>
      </w:pPr>
      <w:r>
        <w:t>Limits and historical requirements</w:t>
      </w:r>
    </w:p>
    <w:p>
      <w:r>
        <w:t>This is a prospectively frozen evaluation of fresh synthetic language against AI references. It does not establish independent human validation, naturalistic user benefit, contamination-free pretraining, general performance across LLMs, or guaranteed recommendation accuracy. The weak backbone, opaque categories, finite bank, historical relevance proxy and correlated annotator family constrain interpretation.</w:t>
      </w:r>
    </w:p>
    <w:p>
      <w:r>
        <w:t>The user reports that Borna approved the revised AI approach orally. This is recorded as the user report, with no written or independently verified supervisor receipt or invented quotation. The earlier human-annotation protocol is archived as history; human annotation is not a missing prerequisite of this revision.</w:t>
      </w:r>
    </w:p>
    <w:p>
      <w:r>
        <w:t>The 135-hour plan is a plan, not an activity record. The previously self-reported 13 Week 1 hours remain historical; no new student hours, personal reading, meeting occurrence or message sending is inferred from agent execution. Full E1 Windows replay, Colab execution, historical score-hash discrepancies, rich human-edited profiles and human experience studies remain unverified or outside this revision. Confirm the final deadline and access with the supervisor.</w:t>
      </w:r>
    </w:p>
    <w:p>
      <w:r>
        <w:t>The presentation PDF uses composition of original vector pages with revised ReportLab text pages. Local beamer.cls is absent, so a full Beamer source rebuild is not verified. No software was installed. Editable source and the composition script are retained. Word PDFs for page inspection use installed Word COM because LibreOffice is unavailable.</w:t>
      </w:r>
    </w:p>
    <w:p>
      <w:r>
        <w:t>The exact Windows delivery path is C:\Users\vs981\Documents\COMP9500\2026-10-14\delivered. Versioned filenames preserve previous delivery. COMP9500-AIREF-E2-Delivery-Manifest-2026-10-14.json and COMP9500-AIREF-E2-SHA256SUMS-2026-10-14.txt enumerate the reviewed payloads; the terminal receipt identifies the actual Git commit and remaining working-tree status.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COMP 9500   AI reference evaluation revision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ascii="Calibri" w:hAnsi="Calibri"/>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