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COMP9500 verified progress update</w:t>
      </w:r>
    </w:p>
    <w:p>
      <w:pPr>
        <w:pStyle w:val="Subtitle"/>
      </w:pPr>
      <w:r>
        <w:t>Vibhor Malik   COMP 9500   14 October 2026</w:t>
      </w:r>
    </w:p>
    <w:p>
      <w:r>
        <w:t>On the fresh AI-authored synthetic bank, validated whole-command agreement is 76/100 for Llama and 11/100 for rules. Llama operational or validation failures total 23; every failure remains in the denominator. All 23 recorded failures are unchanged-validator rejections of a condition that was not explicitly grounded in the request.</w:t>
      </w:r>
    </w:p>
    <w:p>
      <w:r>
        <w:t>User-averaged induced control success is 20.145% for Llama, 3.854% for rules and 3.815% for item feedback. NDCG@10 is 0.02580 for Llama versus 0.03184 for item feedback. Control and next-item ranking quality must be interpreted together.</w:t>
      </w:r>
    </w:p>
    <w:p>
      <w:pPr>
        <w:pStyle w:val="Heading1"/>
      </w:pPr>
      <w:r>
        <w:t>Completed evaluation</w:t>
      </w:r>
    </w:p>
    <w:p>
      <w:r>
        <w:t>The completed run retains 200 terminal parser records and 200 pre-call attempt journals, 41,520 ranking rows, 3,460 assigned user/class requests and 2,595 full score vectors. It covers 865 users and three frozen recommender seeds. A separate AI reviewer and independent computational recount check the evidence and calculations; the audit receipt states the exact scope and any limitations.</w:t>
      </w:r>
    </w:p>
    <w:p>
      <w:r>
        <w:t>Under this revision only, H1_AI is supported and H2_AI is supported by the prespecified directional tests with joint BH correction across 11 contrasts. H3_AI reports predictive quality descriptively. These decisions do not complete the archived human-reference design.</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E7ECF1"/>
          </w:tcPr>
          <w:p>
            <w:pPr>
              <w:spacing w:after="80"/>
            </w:pPr>
            <w:r>
              <w:rPr>
                <w:b/>
                <w:sz w:val="18"/>
              </w:rPr>
              <w:t>Condition</w:t>
            </w:r>
          </w:p>
        </w:tc>
        <w:tc>
          <w:tcPr>
            <w:tcW w:type="dxa" w:w="2484"/>
            <w:shd w:fill="E7ECF1"/>
          </w:tcPr>
          <w:p>
            <w:pPr>
              <w:spacing w:after="80"/>
            </w:pPr>
            <w:r>
              <w:rPr>
                <w:b/>
                <w:sz w:val="18"/>
              </w:rPr>
              <w:t>Success percent</w:t>
            </w:r>
          </w:p>
        </w:tc>
        <w:tc>
          <w:tcPr>
            <w:tcW w:type="dxa" w:w="2484"/>
            <w:shd w:fill="E7ECF1"/>
          </w:tcPr>
          <w:p>
            <w:pPr>
              <w:spacing w:after="80"/>
            </w:pPr>
            <w:r>
              <w:rPr>
                <w:b/>
                <w:sz w:val="18"/>
              </w:rPr>
              <w:t>HR at 1 percent</w:t>
            </w:r>
          </w:p>
        </w:tc>
        <w:tc>
          <w:tcPr>
            <w:tcW w:type="dxa" w:w="2484"/>
            <w:shd w:fill="E7ECF1"/>
          </w:tcPr>
          <w:p>
            <w:pPr>
              <w:spacing w:after="80"/>
            </w:pPr>
            <w:r>
              <w:rPr>
                <w:b/>
                <w:sz w:val="18"/>
              </w:rPr>
              <w:t>NDCG at 10</w:t>
            </w:r>
          </w:p>
        </w:tc>
      </w:tr>
      <w:tr>
        <w:tc>
          <w:tcPr>
            <w:tcW w:type="dxa" w:w="2484"/>
          </w:tcPr>
          <w:p>
            <w:pPr>
              <w:spacing w:after="80"/>
            </w:pPr>
            <w:r>
              <w:rPr>
                <w:sz w:val="18"/>
              </w:rPr>
              <w:t>Item feedback</w:t>
            </w:r>
          </w:p>
        </w:tc>
        <w:tc>
          <w:tcPr>
            <w:tcW w:type="dxa" w:w="2484"/>
          </w:tcPr>
          <w:p>
            <w:pPr>
              <w:spacing w:after="80"/>
            </w:pPr>
            <w:r>
              <w:rPr>
                <w:sz w:val="18"/>
              </w:rPr>
              <w:t>3.815</w:t>
            </w:r>
          </w:p>
        </w:tc>
        <w:tc>
          <w:tcPr>
            <w:tcW w:type="dxa" w:w="2484"/>
          </w:tcPr>
          <w:p>
            <w:pPr>
              <w:spacing w:after="80"/>
            </w:pPr>
            <w:r>
              <w:rPr>
                <w:sz w:val="18"/>
              </w:rPr>
              <w:t>0.241</w:t>
            </w:r>
          </w:p>
        </w:tc>
        <w:tc>
          <w:tcPr>
            <w:tcW w:type="dxa" w:w="2484"/>
          </w:tcPr>
          <w:p>
            <w:pPr>
              <w:spacing w:after="80"/>
            </w:pPr>
            <w:r>
              <w:rPr>
                <w:sz w:val="18"/>
              </w:rPr>
              <w:t>0.03184</w:t>
            </w:r>
          </w:p>
        </w:tc>
      </w:tr>
      <w:tr>
        <w:tc>
          <w:tcPr>
            <w:tcW w:type="dxa" w:w="2484"/>
          </w:tcPr>
          <w:p>
            <w:pPr>
              <w:spacing w:after="80"/>
            </w:pPr>
            <w:r>
              <w:rPr>
                <w:sz w:val="18"/>
              </w:rPr>
              <w:t>Rules</w:t>
            </w:r>
          </w:p>
        </w:tc>
        <w:tc>
          <w:tcPr>
            <w:tcW w:type="dxa" w:w="2484"/>
          </w:tcPr>
          <w:p>
            <w:pPr>
              <w:spacing w:after="80"/>
            </w:pPr>
            <w:r>
              <w:rPr>
                <w:sz w:val="18"/>
              </w:rPr>
              <w:t>3.854</w:t>
            </w:r>
          </w:p>
        </w:tc>
        <w:tc>
          <w:tcPr>
            <w:tcW w:type="dxa" w:w="2484"/>
          </w:tcPr>
          <w:p>
            <w:pPr>
              <w:spacing w:after="80"/>
            </w:pPr>
            <w:r>
              <w:rPr>
                <w:sz w:val="18"/>
              </w:rPr>
              <w:t>0.231</w:t>
            </w:r>
          </w:p>
        </w:tc>
        <w:tc>
          <w:tcPr>
            <w:tcW w:type="dxa" w:w="2484"/>
          </w:tcPr>
          <w:p>
            <w:pPr>
              <w:spacing w:after="80"/>
            </w:pPr>
            <w:r>
              <w:rPr>
                <w:sz w:val="18"/>
              </w:rPr>
              <w:t>0.03097</w:t>
            </w:r>
          </w:p>
        </w:tc>
      </w:tr>
      <w:tr>
        <w:tc>
          <w:tcPr>
            <w:tcW w:type="dxa" w:w="2484"/>
          </w:tcPr>
          <w:p>
            <w:pPr>
              <w:spacing w:after="80"/>
            </w:pPr>
            <w:r>
              <w:rPr>
                <w:sz w:val="18"/>
              </w:rPr>
              <w:t>Llama</w:t>
            </w:r>
          </w:p>
        </w:tc>
        <w:tc>
          <w:tcPr>
            <w:tcW w:type="dxa" w:w="2484"/>
          </w:tcPr>
          <w:p>
            <w:pPr>
              <w:spacing w:after="80"/>
            </w:pPr>
            <w:r>
              <w:rPr>
                <w:sz w:val="18"/>
              </w:rPr>
              <w:t>20.145</w:t>
            </w:r>
          </w:p>
        </w:tc>
        <w:tc>
          <w:tcPr>
            <w:tcW w:type="dxa" w:w="2484"/>
          </w:tcPr>
          <w:p>
            <w:pPr>
              <w:spacing w:after="80"/>
            </w:pPr>
            <w:r>
              <w:rPr>
                <w:sz w:val="18"/>
              </w:rPr>
              <w:t>0.337</w:t>
            </w:r>
          </w:p>
        </w:tc>
        <w:tc>
          <w:tcPr>
            <w:tcW w:type="dxa" w:w="2484"/>
          </w:tcPr>
          <w:p>
            <w:pPr>
              <w:spacing w:after="80"/>
            </w:pPr>
            <w:r>
              <w:rPr>
                <w:sz w:val="18"/>
              </w:rPr>
              <w:t>0.02580</w:t>
            </w:r>
          </w:p>
        </w:tc>
      </w:tr>
      <w:tr>
        <w:tc>
          <w:tcPr>
            <w:tcW w:type="dxa" w:w="2484"/>
          </w:tcPr>
          <w:p>
            <w:pPr>
              <w:spacing w:after="80"/>
            </w:pPr>
            <w:r>
              <w:rPr>
                <w:sz w:val="18"/>
              </w:rPr>
              <w:t>Recency</w:t>
            </w:r>
          </w:p>
        </w:tc>
        <w:tc>
          <w:tcPr>
            <w:tcW w:type="dxa" w:w="2484"/>
          </w:tcPr>
          <w:p>
            <w:pPr>
              <w:spacing w:after="80"/>
            </w:pPr>
            <w:r>
              <w:rPr>
                <w:sz w:val="18"/>
              </w:rPr>
              <w:t>5.202</w:t>
            </w:r>
          </w:p>
        </w:tc>
        <w:tc>
          <w:tcPr>
            <w:tcW w:type="dxa" w:w="2484"/>
          </w:tcPr>
          <w:p>
            <w:pPr>
              <w:spacing w:after="80"/>
            </w:pPr>
            <w:r>
              <w:rPr>
                <w:sz w:val="18"/>
              </w:rPr>
              <w:t>7.977</w:t>
            </w:r>
          </w:p>
        </w:tc>
        <w:tc>
          <w:tcPr>
            <w:tcW w:type="dxa" w:w="2484"/>
          </w:tcPr>
          <w:p>
            <w:pPr>
              <w:spacing w:after="80"/>
            </w:pPr>
            <w:r>
              <w:rPr>
                <w:sz w:val="18"/>
              </w:rPr>
              <w:t>0.11866</w:t>
            </w:r>
          </w:p>
        </w:tc>
      </w:tr>
    </w:tbl>
    <w:p/>
    <w:p>
      <w:pPr>
        <w:pStyle w:val="Heading1"/>
      </w:pPr>
      <w:r>
        <w:t>Reference provenance</w:t>
      </w:r>
    </w:p>
    <w:p>
      <w:r>
        <w:t>Tanishq and Khushi are AI agents in fresh separate contexts, not human participants. Their initial whole-command agreement is 100/100, Cohen kappa 1.000000. Both original label sets were hash-locked before comparison; 0 disagreements required the prespecified fresh AI adjudicator. All originals and decisions are preserved. Shared GPT-family errors remain possible; agreement does not establish human ground truth.</w:t>
      </w:r>
    </w:p>
    <w:p>
      <w:r>
        <w:t>This is a prospectively frozen evaluation of fresh synthetic language against AI references. It does not establish independent human validation, naturalistic user benefit, contamination-free pretraining, general performance across LLMs, or guaranteed recommendation accuracy. The weak backbone, opaque categories, finite bank, historical relevance proxy and correlated annotator family constrain interpretation.</w:t>
      </w:r>
    </w:p>
    <w:p>
      <w:r>
        <w:br w:type="page"/>
      </w:r>
    </w:p>
    <w:p>
      <w:pPr>
        <w:pStyle w:val="Heading1"/>
      </w:pPr>
      <w:r>
        <w:t>Preservation and delivery</w:t>
      </w:r>
    </w:p>
    <w:p>
      <w:r>
        <w:t>All 288 frozen Experiment 1 hashes match. The completed exposed-practice run at c6ebda06008c92e4141aa2d91991ac2c0328a1de remains intact and was not rerun. Its primary validated Llama score remains 73/100, with induced control success 23.81% versus item feedback 3.92%, and NDCG@10 0.02461 versus 0.03128. No prompts, validators, thresholds or bands were tuned from either run.</w:t>
      </w:r>
    </w:p>
    <w:p>
      <w:r>
        <w:t>The user reports that Borna approved the revised AI approach orally. This is recorded as the user report, with no written or independently verified supervisor receipt or invented quotation. The earlier human-annotation protocol is archived as history; human annotation is not a missing prerequisite of this revision.</w:t>
      </w:r>
    </w:p>
    <w:p>
      <w:r>
        <w:t>The main report counts references within the proposal limit of 6 to 8 pages. Supplementary protocol, detailed results and execution evidence are separate. The original 10-page version remains recoverable. Final page and slide inspection is recorded in the delivery review receipt.</w:t>
      </w:r>
    </w:p>
    <w:p>
      <w:r>
        <w:t>The presentation PDF uses composition of original vector pages with revised ReportLab text pages. Local beamer.cls is absent, so a full Beamer source rebuild is not verified. No software was installed. Editable source and the composition script are retained. Word PDFs for page inspection use installed Word COM because LibreOffice is unavailable.</w:t>
      </w:r>
    </w:p>
    <w:p>
      <w:pPr>
        <w:pStyle w:val="Heading1"/>
      </w:pPr>
      <w:r>
        <w:t>Plan reconciliation and remaining scope</w:t>
      </w:r>
    </w:p>
    <w:p>
      <w:r>
        <w:t>The 135-hour plan is a plan, not an activity record. The previously self-reported 13 Week 1 hours remain historical; no new student hours, personal reading, meeting occurrence or message sending is inferred from agent execution. Full E1 Windows replay, Colab execution, historical score-hash discrepancies, rich human-edited profiles and human experience studies remain unverified or outside this revision. Confirm the final deadline and access with the supervisor.</w:t>
      </w:r>
    </w:p>
    <w:p>
      <w:r>
        <w:t>The professor reply is a local draft and remains unsent. The reviewed Git branch and actual pushed commit are identified by the terminal push receipt. No claim that all proposed research or planned hours are finished is made.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COMP 9500   AI reference evaluation revision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