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COMP 9500 Evidence and Completion Checklist</w:t>
      </w:r>
    </w:p>
    <w:p>
      <w:pPr>
        <w:pStyle w:val="Subtitle"/>
      </w:pPr>
      <w:r>
        <w:t>October 13 record retained with verified October 14 addendum | Vancouver time</w:t>
      </w:r>
    </w:p>
    <w:p>
      <w:r>
        <w:t>Week 1 has 13 self-reported active hours, including 2 hours of independent work after a skipped meeting. Week 2 has a 12-hour planned budget; outstanding work remains pending and actual hours are unreported. This checklist brings together the evidence, task status and decisions needed to continue.</w:t>
      </w:r>
    </w:p>
    <w:p>
      <w:pPr>
        <w:pStyle w:val="Heading1"/>
      </w:pPr>
      <w:r>
        <w:rPr>
          <w:color w:val="000000"/>
        </w:rPr>
        <w:t>Scope and contribution review</w:t>
      </w:r>
    </w:p>
    <w:p>
      <w:r>
        <w:t>The implemented study is an offline evaluation of synthetic category controls, using a frozen recommender, a language parser and deterministic enforcement. The E1 comparison does not isolate every channel’s independent contribution: display-only explanations preserve the corresponding ranking, and equivalent text and profile operations share a policy. A category-wide control also differs structurally from a single-item feedback proxy. Source: full archive, docs/proposal-amendment.md, Implemented study.</w:t>
      </w:r>
    </w:p>
    <w:p>
      <w:r>
        <w:t>The archive’s proposal-amendment document records these departures from the unsigned draft: requests use earlier history rather than final-test category shifts; feedback is a synthetic proxy rather than an observed thumbs signal; the SASRec variant is independently implemented; the offline profile condition is one explicit preference rather than a rich human-edited profile; and no recruited user study supports naturalness or usability claims. A later approval must not be represented as prospective approval of already observed results.</w:t>
      </w:r>
    </w:p>
    <w:p>
      <w:r>
        <w:t>The original E1 non-inferiority wording has two readings. The absolute-margin numerical pass is uninformative at the low baseline, while the relative interpretation is unsupported in the recorded analysis. Retain both and ask the supervisor how to report the ambiguity; do not retune E1. [2, 8]</w:t>
      </w:r>
    </w:p>
    <w:p>
      <w:pPr>
        <w:pStyle w:val="Heading1"/>
      </w:pPr>
      <w:r>
        <w:rPr>
          <w:color w:val="000000"/>
        </w:rPr>
        <w:t>Week 1 reconciliation for October 5 to 11</w:t>
      </w:r>
    </w:p>
    <w:p>
      <w:pPr>
        <w:pStyle w:val="ListBullet"/>
      </w:pPr>
      <w:r>
        <w:t>E1 conclusions and departures, planned 3 hours: support brief prepared; student reports 3 hours. Retain personal notes and questions.</w:t>
      </w:r>
    </w:p>
    <w:p>
      <w:pPr>
        <w:pStyle w:val="ListBullet"/>
      </w:pPr>
      <w:r>
        <w:t>Provenance and E2 commitment, planned 3 hours: the earlier audit matched archive identity, all 288 E1 hashes and parser/development commitments. Student reports 3 hours.</w:t>
      </w:r>
    </w:p>
    <w:p>
      <w:pPr>
        <w:pStyle w:val="ListBullet"/>
      </w:pPr>
      <w:r>
        <w:t>AI use and exposure, planned 2 hours: student reports 2 hours. The consolidated Methods and provenance note retains the contribution and exposure record.</w:t>
      </w:r>
    </w:p>
    <w:p>
      <w:pPr>
        <w:pStyle w:val="ListBullet"/>
      </w:pPr>
      <w:r>
        <w:t>Repository and feedback, planned 3 hours: student reports 3 hours. Published documentation and handoff scope were checked; supervisor access and agreed feedback dates remain unverified.</w:t>
      </w:r>
    </w:p>
    <w:p>
      <w:pPr>
        <w:pStyle w:val="ListBullet"/>
      </w:pPr>
      <w:r>
        <w:t>Supervision, planned 2 hours: meeting skipped; student reports using the 2 hours for independent project work.</w:t>
      </w:r>
    </w:p>
    <w:p>
      <w:r>
        <w:t>Assessment checklist: actual updates and minutes; personal code and method explanation; the course-email 6–10-page range versus the proposal’s 6–8-page IEEE or ACM requirement, with a 150–250 word abstract; documented repository and evidence access; a BCIT presentation with a 20–25 minute talk and 10–15 minute question period. Format and deadline still require confirmation. [1, 8]</w:t>
      </w:r>
    </w:p>
    <w:p>
      <w:r>
        <w:br w:type="page"/>
      </w:r>
    </w:p>
    <w:p>
      <w:pPr>
        <w:pStyle w:val="Heading1"/>
      </w:pPr>
      <w:r>
        <w:rPr>
          <w:color w:val="000000"/>
        </w:rPr>
        <w:t>Verified provenance and artifact identity</w:t>
      </w:r>
    </w:p>
    <w:p>
      <w:r>
        <w:t>The October 11 evidence review recorded 1,614 entries and 40,471,275 bytes in the recovered full archive. Its SHA-256 matched the handoff record:</w:t>
      </w:r>
    </w:p>
    <w:p>
      <w:r>
        <w:t>fe9ef07dbb55902626fe5e5aab20261a57b6fb6e86832267e2249b052d587cc1</w:t>
      </w:r>
    </w:p>
    <w:p>
      <w:r>
        <w:t>That review recorded final Git update ZIP SHA-256 e6341029a9b3a8d1f76d9607e13aa7d6b2d5c5334eb261bbdaeb1cdd1d2fbf49. The bundled report and plan matched the Library copies with suffix (2) by bytes and SHA-256. Earlier unsuffixed copies have older wording. The October 13 document refresh does not replace the October 4 baseline.</w:t>
      </w:r>
    </w:p>
    <w:p>
      <w:r>
        <w:t>Final report: 31,104 bytes; SHA-256 df26769fb95570c5811554f6d178f773b656dad7d59b9b73e2a2914de18bc997.</w:t>
      </w:r>
    </w:p>
    <w:p>
      <w:r>
        <w:t>Final plan: 33,256 bytes; SHA-256 b61457b9c31ab2706b1ebedb47a3c367ea3aed368fd6dc57372fa2dfb499a967.</w:t>
      </w:r>
    </w:p>
    <w:p>
      <w:r>
        <w:t>The archived results/experiment2/parser-freeze-v2.json and parser-only-v2/parser-commitment.json record 2026-09-29T05:32:37.866606+00:00 and parser-frozen-before-reserved-evaluation status. The October 11 audit matched parser and development-bank identity. The October 13 isolated checks again matched all 288 E1 hashes and preserved the commitment timestamp. [11, 12]</w:t>
      </w:r>
    </w:p>
    <w:p>
      <w:pPr>
        <w:pStyle w:val="Heading1"/>
      </w:pPr>
      <w:r>
        <w:t>Runtime and engineering checks through October 13</w:t>
      </w:r>
    </w:p>
    <w:p>
      <w:r>
        <w:t>Cloud runner: the October 11 probe found Ollama unavailable, PyTorch/pytest metadata missing and four probed versions differing. The October 13 expanded check found a responsive runner and six successful imports. Of 42 historical packages, 15 versions match, 18 differ and 9 are missing. Ollama is absent there; both localhost APIs refused connections. [11, 12]</w:t>
      </w:r>
    </w:p>
    <w:p>
      <w:r>
        <w:t>Local verification: Python 3.14 has eight core/test packages present, with five version differences. The earlier synthetic run passed 48 tests with one archive-dependent test deselected, after a task-local temporary directory resolved a permission issue. Seven new manifest-verifier tests passed separately; no combined rerun is claimed. All 288 frozen E1 hashes now match locally, with zero missing or mismatched files. The verifier pins the manifest SHA-256 before parsing: 80ff8138e6ad7abd3e8482bc59fcaa044dfe7f7ca507edabdd569d217635e595. Ollama client 0.34.0 is installed; its local API was unreachable during the check. [13]</w:t>
      </w:r>
    </w:p>
    <w:p>
      <w:pPr>
        <w:pStyle w:val="Heading1"/>
      </w:pPr>
      <w:r>
        <w:rPr>
          <w:color w:val="000000"/>
        </w:rPr>
        <w:t>Claim to evidence map</w:t>
      </w:r>
    </w:p>
    <w:p>
      <w:pPr>
        <w:pStyle w:val="ListBullet"/>
      </w:pPr>
      <w:r>
        <w:t>865 users; 2,593 items; category proportion 11.6% to 79.2%; mute exposure 6.1% to zero: final progress report, pages 1 to 2. Historical recorded outcomes.</w:t>
      </w:r>
    </w:p>
    <w:p>
      <w:pPr>
        <w:pStyle w:val="ListBullet"/>
      </w:pPr>
      <w:r>
        <w:t>79/100 broader synthetic parsing and 45.7% boost NDCG@10 loss: final progress report, page 2.</w:t>
      </w:r>
    </w:p>
    <w:p>
      <w:pPr>
        <w:pStyle w:val="ListBullet"/>
      </w:pPr>
      <w:r>
        <w:t>25,950 matching top-10 lists: earlier audit. The October 13 historical-log recount confirms 2,009 ranking-hash and 5,190 score-hash differences. Cause unresolved; missing original score vectors prevent quantifying numerical error. [2, 12]</w:t>
      </w:r>
    </w:p>
    <w:p>
      <w:pPr>
        <w:pStyle w:val="ListBullet"/>
      </w:pPr>
      <w:r>
        <w:t>48/48 development matches for both parsers: final progress report, page 3. This measures development fit.</w:t>
      </w:r>
    </w:p>
    <w:p>
      <w:pPr>
        <w:pStyle w:val="ListBullet"/>
      </w:pPr>
      <w:r>
        <w:t>E2 H1/H2 not assessed and H3 not run: final progress report, page 3.</w:t>
      </w:r>
    </w:p>
    <w:p>
      <w:pPr>
        <w:pStyle w:val="ListBullet"/>
      </w:pPr>
      <w:r>
        <w:t>Week 1 and Week 2 allocations: final plan, pages 1 to 2. Week 1 is self-reported as 3/3/2/3/2 hours, with the last 2 independent; Week 2 actual hours are not supplied.</w:t>
      </w:r>
    </w:p>
    <w:p>
      <w:r>
        <w:br w:type="page"/>
      </w:r>
    </w:p>
    <w:p>
      <w:pPr>
        <w:pStyle w:val="Heading1"/>
      </w:pPr>
      <w:r>
        <w:rPr>
          <w:color w:val="000000"/>
        </w:rPr>
        <w:t>Primary source reading notes</w:t>
      </w:r>
    </w:p>
    <w:p>
      <w:r>
        <w:t>These starting notes were checked against primary records on October 12 UTC and are retained for review. The passages consulted are identified. The student reading record below is ready to complete as the reading occurs.</w:t>
      </w:r>
    </w:p>
    <w:p>
      <w:pPr>
        <w:pStyle w:val="Heading2"/>
      </w:pPr>
      <w:r>
        <w:rPr>
          <w:color w:val="000000"/>
        </w:rPr>
        <w:t>SASRec architecture</w:t>
      </w:r>
    </w:p>
    <w:p>
      <w:r>
        <w:t>Kang and McAuley (2018), abstract: SASRec uses self-attention over a user’s action history to predict the next item. Project implication: cite this as the architectural foundation, while describing this project’s independently implemented variant and weak recorded backbone honestly. Question for personal reading: which implementation and evaluation differences prevent an exact-reproduction claim?</w:t>
      </w:r>
    </w:p>
    <w:p>
      <w:hyperlink r:id="rId9">
        <w:r>
          <w:rPr>
            <w:color w:val="145A83"/>
          </w:rPr>
          <w:t>Primary source</w:t>
        </w:r>
      </w:hyperlink>
    </w:p>
    <w:p>
      <w:pPr>
        <w:pStyle w:val="Heading2"/>
      </w:pPr>
      <w:r>
        <w:rPr>
          <w:color w:val="000000"/>
        </w:rPr>
        <w:t>KuaiRec feedback and coverage</w:t>
      </w:r>
    </w:p>
    <w:p>
      <w:r>
        <w:t>Official dataset documentation, data descriptions: watch_ratio is play duration divided by video duration. The interaction table has no direct like signal; a threshold such as greater than 2 is a derived binary proxy. The small matrix is 99.6% dense. Project implication: distinguish the original dataset from the filtered 865-user cohort and avoid equating the proxy with explicit likes.</w:t>
      </w:r>
    </w:p>
    <w:p>
      <w:hyperlink r:id="rId10">
        <w:r>
          <w:rPr>
            <w:color w:val="145A83"/>
          </w:rPr>
          <w:t>Primary source</w:t>
        </w:r>
      </w:hyperlink>
    </w:p>
    <w:p>
      <w:pPr>
        <w:pStyle w:val="Heading2"/>
      </w:pPr>
      <w:r>
        <w:rPr>
          <w:color w:val="000000"/>
        </w:rPr>
        <w:t>Instruction aligned recommendations</w:t>
      </w:r>
    </w:p>
    <w:p>
      <w:r>
        <w:t>Lu et al. (2024), abstract: the authors combine supervised recommendation-instruction tasks with reinforcement-learning alignment and report experiments on two real-world datasets. Project implication: this is relevant prior controllable-recommendation work, not evidence that the present frozen parser or deterministic controls inherit its benefits. Question: how do its training and comparison conditions differ from this project?</w:t>
      </w:r>
    </w:p>
    <w:p>
      <w:hyperlink r:id="rId11">
        <w:r>
          <w:rPr>
            <w:color w:val="145A83"/>
          </w:rPr>
          <w:t>Primary source</w:t>
        </w:r>
      </w:hyperlink>
    </w:p>
    <w:p>
      <w:pPr>
        <w:pStyle w:val="Heading2"/>
      </w:pPr>
      <w:r>
        <w:rPr>
          <w:color w:val="000000"/>
        </w:rPr>
        <w:t>Editable language profiles</w:t>
      </w:r>
    </w:p>
    <w:p>
      <w:r>
        <w:t>Ramos et al. (2024), abstract: the study builds natural-language preference profiles from reviews, uses them for recommendation and examines changes after profile edits. Project implication: editable profiles are established related work; the present single explicit preference does not justify an unrestricted novelty claim. Question: what evidence would be needed to compare richer profile editing fairly?</w:t>
      </w:r>
    </w:p>
    <w:p>
      <w:hyperlink r:id="rId12">
        <w:r>
          <w:rPr>
            <w:color w:val="145A83"/>
          </w:rPr>
          <w:t>Primary source</w:t>
        </w:r>
      </w:hyperlink>
    </w:p>
    <w:p>
      <w:pPr>
        <w:pStyle w:val="Heading1"/>
      </w:pPr>
      <w:r>
        <w:rPr>
          <w:color w:val="000000"/>
        </w:rPr>
        <w:t>Student reading record to complete</w:t>
      </w:r>
    </w:p>
    <w:p>
      <w:r>
        <w:t>For each source, record the date, sections read, active time, your own explanation, one limitation and a claim you would revise.</w:t>
      </w:r>
    </w:p>
    <w:p>
      <w:r>
        <w:br w:type="page"/>
      </w:r>
    </w:p>
    <w:p>
      <w:pPr>
        <w:pStyle w:val="Heading1"/>
      </w:pPr>
      <w:r>
        <w:rPr>
          <w:color w:val="000000"/>
        </w:rPr>
        <w:t>Week 2 reconciliation for October 12 to 18</w:t>
      </w:r>
    </w:p>
    <w:p>
      <w:pPr/>
      <w:r>
        <w:t>The original plan allocates 12 active student hours. Outstanding Week 2 work remains pending, and actual hours are unreported. The allocations below remain planned; any change to the six-hour annotation allocation needs an explicit revision. [1]</w:t>
      </w:r>
    </w:p>
    <w:p>
      <w:pPr>
        <w:pStyle w:val="Heading2"/>
      </w:pPr>
      <w:r>
        <w:rPr>
          <w:color w:val="000000"/>
        </w:rPr>
        <w:t>Primary sources planned 3 hours</w:t>
      </w:r>
    </w:p>
    <w:p>
      <w:pPr/>
      <w:r>
        <w:t>Status: pending. Four primary-source notes and links are ready on the preceding page. Read the relevant passages, retain your own explanation and limitations, and log the active time spent.</w:t>
      </w:r>
    </w:p>
    <w:p>
      <w:pPr>
        <w:pStyle w:val="Heading2"/>
      </w:pPr>
      <w:r>
        <w:rPr>
          <w:color w:val="000000"/>
        </w:rPr>
        <w:t>Eligible student annotation planned 6 hours</w:t>
      </w:r>
    </w:p>
    <w:p>
      <w:pPr/>
      <w:r>
        <w:t>Status: formal route blocked. Agree with Borna a prospective method, replacement bank and valid annotation route, using the requirements in the Methods and provenance note. Record any revised allocation explicitly.</w:t>
      </w:r>
    </w:p>
    <w:p>
      <w:pPr>
        <w:pStyle w:val="Heading2"/>
      </w:pPr>
      <w:r>
        <w:rPr>
          <w:color w:val="000000"/>
        </w:rPr>
        <w:t>Submission syntax planned 1 hour</w:t>
      </w:r>
    </w:p>
    <w:p>
      <w:pPr/>
      <w:r>
        <w:t>Status: pending. No completed eligible worksheet was provided. Once one exists, check its submission syntax against the approved procedure.</w:t>
      </w:r>
    </w:p>
    <w:p>
      <w:pPr>
        <w:pStyle w:val="Heading2"/>
      </w:pPr>
      <w:r>
        <w:rPr>
          <w:color w:val="000000"/>
        </w:rPr>
        <w:t>Supervision planned 2 hours</w:t>
      </w:r>
    </w:p>
    <w:p>
      <w:pPr/>
      <w:r>
        <w:t>Status: update draft and discussion questions prepared. Sending and the proposed October 14 meeting remain prospective. Confirm the invitation and record decisions after the actual meeting.</w:t>
      </w:r>
    </w:p>
    <w:p>
      <w:pPr>
        <w:pStyle w:val="Heading1"/>
      </w:pPr>
      <w:r>
        <w:rPr>
          <w:color w:val="000000"/>
        </w:rPr>
        <w:t>Ready support and remaining execution</w:t>
      </w:r>
    </w:p>
    <w:p>
      <w:pPr/>
      <w:r>
        <w:t>Ready: source notes, scope review, claim map, provenance and runtime evidence, this plan reconciliation, the unsent email draft, 100 worked examples and the 22-page guide. The examples retain their October 11 creation date; the guide’s presentation was revised October 13.</w:t>
      </w:r>
    </w:p>
    <w:p>
      <w:pPr/>
      <w:r>
        <w:t>Completed October 13: cloud provenance checks, historical-log recount, local 288-file verification and separate 48-test and seven-test synthetic runs. Commit 7ab27c2 adds the manifest-authenticating verifier, safe partial-repository test instructions, Windows evidence and a launcher setup-reference correction. PowerShell syntax and diff checks passed. The branch was pushed with a clean worktree; main was unchanged. Runtime recovery, archive-dependent checks/replay and mismatch resolution remain pending. [12, 13]</w:t>
      </w:r>
    </w:p>
    <w:p>
      <w:pPr>
        <w:pStyle w:val="Heading1"/>
      </w:pPr>
      <w:r>
        <w:t>Decisions for the next check in</w:t>
      </w:r>
    </w:p>
    <w:p>
      <w:pPr/>
      <w:r>
        <w:t>Confirm the formal evaluation method and bank; repository and full-evidence access; scope and approval route; the E1 non-inferiority wording; paper format and final deadline; and November 27 draft feedback timing. The October 14 check-in remains subject to the actual invitation.</w:t>
      </w:r>
    </w:p>
    <w:p>
      <w:pPr/>
      <w:r/>
      <w:r>
        <w:br w:type="page"/>
      </w:r>
    </w:p>
    <w:p>
      <w:pPr>
        <w:pStyle w:val="Heading1"/>
      </w:pPr>
      <w:r>
        <w:t>Methods and provenance</w:t>
      </w:r>
    </w:p>
    <w:p>
      <w:pPr>
        <w:pStyle w:val="Heading2"/>
      </w:pPr>
      <w:r>
        <w:t>Contributions and activity record</w:t>
      </w:r>
    </w:p>
    <w:p>
      <w:pPr/>
      <w:r>
        <w:t>Week 1 retains 13 self-reported student hours; Week 2 actuals remain unreported. Prepared support does not establish personal reading or independent annotation.</w:t>
      </w:r>
    </w:p>
    <w:p>
      <w:pPr>
        <w:pStyle w:val="Heading2"/>
      </w:pPr>
      <w:r>
        <w:t>Practice bank and exposure history</w:t>
      </w:r>
    </w:p>
    <w:p>
      <w:pPr/>
      <w:r>
        <w:t>The 100 worked answers are AI-generated practice, not student responses, independent human gold or an unseen test. The October 13 checks below predate the completed October 14 practice diagnostic. They use the current v2 worksheet and rubric, without hidden gold, first-author answers or parser implementation. Earlier development-summary exposure and the assisted, uncertain first-row attempt remain in the record; no independent student label was established.</w:t>
      </w:r>
    </w:p>
    <w:p>
      <w:pPr/>
      <w:r>
        <w:t>Vibhor reported oral approval for current-bank practice and a future replacement bank. Direct confirmation was received on October 12 at 01:15:25 UTC; drafting had begun from the voice instruction and paused before that confirmation. The original E1 evidence, blank worksheet, E2 commitments and hidden first labels remain preserved. Exposure to the guide makes this bank ineligible to be described as unseen.</w:t>
      </w:r>
    </w:p>
    <w:p>
      <w:pPr>
        <w:pStyle w:val="Heading2"/>
      </w:pPr>
      <w:r>
        <w:t>Checks and model execution</w:t>
      </w:r>
    </w:p>
    <w:p>
      <w:pPr/>
      <w:r>
        <w:t>Practice checks cover 100 unique IDs, order and request preservation, JSON/schema consistency and rubric review by a separate AI reviewer. They do not estimate human agreement, parser accuracy, recommendation quality or H1/H2/H3. The cloud probes avoided reserved wording, gold and predictions; no project tests, replay, checkpoints, installations or model execution occurred there. Local runs passed 48 existing synthetic tests and, separately, seven new verifier tests; the earlier run deselected one archive-dependent test. As of October 13, neither context had run reserved evaluation or a model/ranking experiment. The October 14 addendum supersedes the earlier unverified Llama runtime status. [11, 12, 13]</w:t>
      </w:r>
    </w:p>
    <w:p>
      <w:pPr>
        <w:pStyle w:val="Heading2"/>
      </w:pPr>
      <w:r>
        <w:t>Formal evaluation decision</w:t>
      </w:r>
    </w:p>
    <w:p>
      <w:pPr/>
      <w:r>
        <w:t>Borna’s prospective approval of the formal method amendment, replacement-bank provenance and valid annotation route is still required. Preserve the original September 29 commitment. The original gate called for eligibility, genuine independent labels, pre-adjudication agreement, blinded adjudication, full freeze and verified runtime. Agree any revised requirements before execution; keep formal E2 pending until the applicable gates pass. October 23 remains the readiness decision date. [5, 9]</w:t>
      </w:r>
    </w:p>
    <w:p>
      <w:pPr>
        <w:pStyle w:val="Heading1"/>
      </w:pPr>
      <w:r>
        <w:rPr>
          <w:color w:val="000000"/>
        </w:rPr>
        <w:t>Evidence links</w:t>
      </w:r>
    </w:p>
    <w:p>
      <w:pPr>
        <w:spacing w:after="40"/>
      </w:pPr>
      <w:hyperlink r:id="rId13">
        <w:r>
          <w:rPr>
            <w:color w:val="145A83"/>
          </w:rPr>
          <w:t>[3] Published October 5 UTC documentation commit</w:t>
        </w:r>
      </w:hyperlink>
    </w:p>
    <w:p>
      <w:pPr>
        <w:spacing w:after="40"/>
      </w:pPr>
      <w:hyperlink r:id="rId14">
        <w:r>
          <w:rPr>
            <w:color w:val="145A83"/>
          </w:rPr>
          <w:t>[4] Repository and archive handoff</w:t>
        </w:r>
      </w:hyperlink>
    </w:p>
    <w:p>
      <w:pPr>
        <w:spacing w:after="40"/>
      </w:pPr>
      <w:hyperlink r:id="rId15">
        <w:r>
          <w:rPr>
            <w:color w:val="145A83"/>
          </w:rPr>
          <w:t>[5] Annotation procedure</w:t>
        </w:r>
      </w:hyperlink>
    </w:p>
    <w:p>
      <w:pPr>
        <w:spacing w:after="40"/>
      </w:pPr>
      <w:hyperlink r:id="rId16">
        <w:r>
          <w:rPr>
            <w:color w:val="145A83"/>
          </w:rPr>
          <w:t>[6] Academic use and student responsibilities</w:t>
        </w:r>
      </w:hyperlink>
    </w:p>
    <w:p>
      <w:pPr>
        <w:spacing w:after="40"/>
      </w:pPr>
      <w:hyperlink r:id="rId17">
        <w:r>
          <w:rPr>
            <w:color w:val="145A83"/>
          </w:rPr>
          <w:t>[7] Week 1 update and evidence requirements</w:t>
        </w:r>
      </w:hyperlink>
    </w:p>
    <w:p>
      <w:pPr>
        <w:spacing w:after="40"/>
      </w:pPr>
      <w:hyperlink r:id="rId18">
        <w:r>
          <w:rPr>
            <w:color w:val="145A83"/>
          </w:rPr>
          <w:t>[8] Supervisor decisions and risks</w:t>
        </w:r>
      </w:hyperlink>
    </w:p>
    <w:p>
      <w:pPr>
        <w:spacing w:after="40"/>
      </w:pPr>
      <w:hyperlink r:id="rId19">
        <w:r>
          <w:rPr>
            <w:color w:val="145A83"/>
          </w:rPr>
          <w:t>[9] Current completion plan</w:t>
        </w:r>
      </w:hyperlink>
    </w:p>
    <w:p>
      <w:pPr>
        <w:spacing w:after="40"/>
      </w:pPr>
      <w:hyperlink r:id="rId20">
        <w:r>
          <w:rPr>
            <w:color w:val="145A83"/>
          </w:rPr>
          <w:t>[10] Primary source bibliography</w:t>
        </w:r>
      </w:hyperlink>
    </w:p>
    <w:p>
      <w:pPr>
        <w:spacing w:after="40"/>
      </w:pPr>
      <w:hyperlink r:id="rId21">
        <w:r>
          <w:rPr>
            <w:rStyle w:val="Hyperlink"/>
          </w:rPr>
          <w:t>[13] October 13 local verification and engineering commit 7ab27c2</w:t>
        </w:r>
      </w:hyperlink>
    </w:p>
    <w:p>
      <w:pPr>
        <w:spacing w:after="40"/>
      </w:pPr>
      <w:r>
        <w:t>[1, 2] Final October 4 plan and report. [11] COMP9500-readiness-evidence-2026-10-12.zip, observed October 11 Vancouver. [12] COMP9500-engineering-evidence-2026-10-13.zip, with cloud commands, hashes, dependencies and historical-log recount. Archive paths identify private evidence; use an agreed handoff for supervisor access.</w:t>
      </w:r>
    </w:p>
    <w:p>
      <w:pPr>
        <w:pStyle w:val="Heading1"/>
        <w:pageBreakBefore/>
      </w:pPr>
      <w:r>
        <w:t>Execution and remaining completion checks</w:t>
      </w:r>
    </w:p>
    <w:p>
      <w:r>
        <w:t>This addendum supersedes the earlier runtime status. Practice parsing/ranking is complete; formal E2 remains pending. The reviewed main paper has six text pages plus one reference page; the 10-page report is preserved separately. The slides use documented PDF composition because Beamer dependencies are missing.</w:t>
      </w:r>
    </w:p>
    <w:p>
      <w:pPr>
        <w:pStyle w:val="Heading2"/>
      </w:pPr>
      <w:r>
        <w:t>Executed evidence</w:t>
      </w:r>
    </w:p>
    <w:p>
      <w:r>
        <w:t>Llama validated parser agreement with the supplied AI reference is 73/100; rule agreement is 18/100. Parser/validation errors: Llama 24, rule 0, retained in the denominator. These are exposed-practice agreement scores, not human-label accuracy or unseen-test performance.</w:t>
      </w:r>
    </w:p>
    <w:p>
      <w:r>
        <w:t>The 24 Llama validation failures comprise 23 conditional-grounding rejections and one invalid floor command. They remain in the denominator. The methods record retains the supplementary raw-response diagnostic.</w:t>
      </w:r>
    </w:p>
    <w:p>
      <w:r>
        <w:t>The run saved 41,508 ranking rows for 3,459 assigned user/class requests and 865 users, across three frozen recommender seeds and four conditions. It saved 2,595 complete score vectors. Requests with no eligible practice case remain in the exclusion record.</w:t>
      </w:r>
    </w:p>
    <w:p>
      <w:r>
        <w:t>User-averaged induced-success proportions: A 0.0392, rule 0.0840, llm 0.2381, recency 0.0726. User means average seeds within class and eligible classes within user. The existing evaluator retains descriptive intervals; no formal H1/H2 decision is claimed.</w:t>
      </w:r>
    </w:p>
    <w:p>
      <w:r>
        <w:t>Practice NDCG@10 is 0.02461 for Llama versus 0.03128 for item feedback. HR@1 is 0.183% versus 0.193%, with recency at 7.977%. These are descriptive quality proxies, not a formal H3 conclusion or a claim of improved recommendation accuracy.</w:t>
      </w:r>
    </w:p>
    <w:p>
      <w:r>
        <w:t>All 288 frozen Experiment 1 files match the pinned manifest before and after execution; zero missing or mismatched. The September 29 parser commitment and original E2 protocol remain unchanged. No recommender was retrained or prompt tuned.</w:t>
      </w:r>
    </w:p>
    <w:p>
      <w:r>
        <w:t>A separate computational recount reproduced all 41,508 rows of control and relevance metrics and pooled means from saved score vectors, top-10 lists and exposed references, with no discrepancies. The methods record specifies the audit scope and limitations.</w:t>
      </w:r>
    </w:p>
    <w:p>
      <w:pPr>
        <w:pStyle w:val="Heading2"/>
      </w:pPr>
      <w:r>
        <w:t>Runtime and methods</w:t>
      </w:r>
    </w:p>
    <w:p>
      <w:r>
        <w:t>Verified on AI_WORK: Ollama 0.34.0 and the original llama3.1:8b model digest. Full runtime and reference-label provenance are in the methods record.</w:t>
      </w:r>
    </w:p>
    <w:p>
      <w:r>
        <w:t>The full fixed prompt, schema, options, source snapshots, input hashes, predictions, raw responses, scores, failures and execution receipts are retained in the October 14 methods evidence bundle. Labels are the supplied AI-generated worked examples, copied unchanged. The run committed its actual settings before inference; it made no repeat inference or outcome-based changes.</w:t>
      </w:r>
    </w:p>
    <w:p>
      <w:pPr>
        <w:pStyle w:val="Heading2"/>
      </w:pPr>
      <w:r>
        <w:t>Due work and next decision</w:t>
      </w:r>
    </w:p>
    <w:p>
      <w:r>
        <w:t>Week 1 retains 13 self-reported active hours. Week 2 actual hours, personal reading and human annotation remain unreported. Agent time and unattended runtime are not entered as student hours. Sending of the October 13 update and occurrence of the October 14 meeting are not verified.</w:t>
      </w:r>
    </w:p>
    <w:p>
      <w:r>
        <w:t>Formal E2 requires Borna's prospective approval of a replacement unseen bank and valid annotation route, genuine independent labels, pre-adjudication agreement, blinded adjudication and full freeze. The current 100 worked questions cannot supply that unseen bank.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abs/1808.09781" TargetMode="External"/><Relationship Id="rId10" Type="http://schemas.openxmlformats.org/officeDocument/2006/relationships/hyperlink" Target="https://kuairec.com/" TargetMode="External"/><Relationship Id="rId11" Type="http://schemas.openxmlformats.org/officeDocument/2006/relationships/hyperlink" Target="https://aclanthology.org/2024.acl-long.443/" TargetMode="External"/><Relationship Id="rId12" Type="http://schemas.openxmlformats.org/officeDocument/2006/relationships/hyperlink" Target="https://aclanthology.org/2024.acl-long.753/" TargetMode="External"/><Relationship Id="rId13" Type="http://schemas.openxmlformats.org/officeDocument/2006/relationships/hyperlink" Target="https://github.com/vibhormalik95-hue/FP/commit/e3070020271baaf64a3e5b1fd0fe6d91f280261b" TargetMode="External"/><Relationship Id="rId14" Type="http://schemas.openxmlformats.org/officeDocument/2006/relationships/hyperlink" Target="https://github.com/vibhormalik95-hue/FP/blob/e3070020271baaf64a3e5b1fd0fe6d91f280261b/docs/repository-handoff.md" TargetMode="External"/><Relationship Id="rId15" Type="http://schemas.openxmlformats.org/officeDocument/2006/relationships/hyperlink" Target="https://github.com/vibhormalik95-hue/FP/blob/e3070020271baaf64a3e5b1fd0fe6d91f280261b/docs/annotation-handoff.md" TargetMode="External"/><Relationship Id="rId16" Type="http://schemas.openxmlformats.org/officeDocument/2006/relationships/hyperlink" Target="https://github.com/vibhormalik95-hue/FP/blob/e3070020271baaf64a3e5b1fd0fe6d91f280261b/docs/academic-use.md" TargetMode="External"/><Relationship Id="rId17" Type="http://schemas.openxmlformats.org/officeDocument/2006/relationships/hyperlink" Target="https://github.com/vibhormalik95-hue/FP/blob/e3070020271baaf64a3e5b1fd0fe6d91f280261b/docs/supervision/2026-10-06-update-and-agenda.md" TargetMode="External"/><Relationship Id="rId18" Type="http://schemas.openxmlformats.org/officeDocument/2006/relationships/hyperlink" Target="https://github.com/vibhormalik95-hue/FP/blob/e3070020271baaf64a3e5b1fd0fe6d91f280261b/docs/supervision/decisions-and-risks.md" TargetMode="External"/><Relationship Id="rId19" Type="http://schemas.openxmlformats.org/officeDocument/2006/relationships/hyperlink" Target="https://github.com/vibhormalik95-hue/FP/blob/e3070020271baaf64a3e5b1fd0fe6d91f280261b/docs/135-hour-plan.md" TargetMode="External"/><Relationship Id="rId20" Type="http://schemas.openxmlformats.org/officeDocument/2006/relationships/hyperlink" Target="https://github.com/vibhormalik95-hue/FP/blob/e3070020271baaf64a3e5b1fd0fe6d91f280261b/paper/references.bib" TargetMode="External"/><Relationship Id="rId21" Type="http://schemas.openxmlformats.org/officeDocument/2006/relationships/hyperlink" Target="https://github.com/vibhormalik95-hue/FP/commit/7ab27c28500851d1496c3bc790a40c3dc1ee2c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 9500 Evidence and Completion Checklist</dc:title>
  <dc:subject/>
  <dc:creator>Vibhor Malik</dc:creator>
  <cp:keywords/>
  <dc:description>generated by python-docx</dc:description>
  <cp:lastModifiedBy/>
  <cp:revision>1</cp:revision>
  <dcterms:created xsi:type="dcterms:W3CDTF">2013-12-23T23:15:00Z</dcterms:created>
  <dcterms:modified xsi:type="dcterms:W3CDTF">2026-10-14T17:51:01Z</dcterms:modified>
  <cp:category/>
</cp:coreProperties>
</file>