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Research Progress</w:t>
      </w:r>
    </w:p>
    <w:p>
      <w:pPr>
        <w:spacing w:after="240"/>
      </w:pPr>
      <w:r>
        <w:t>Vibhor Malik  |  COMP 9500  |  19 October 2026</w:t>
      </w:r>
    </w:p>
    <w:p>
      <w:pPr>
        <w:pStyle w:val="Heading1"/>
      </w:pPr>
      <w:r>
        <w:t>Completed evaluation</w:t>
      </w:r>
    </w:p>
    <w:p>
      <w:r>
        <w:t>The 14 October evaluation tested 100 fresh synthetic requests against model-generated reference commands. Llama matched 76 commands, with 23 validation rejections and one accepted mismatch; the rule parser matched 11. Two separately contextualized model annotation passes agreed on all 100 initial commands. Their agreement is not human validation.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Result</w:t>
            </w:r>
          </w:p>
        </w:tc>
        <w:tc>
          <w:tcPr>
            <w:tcW w:type="dxa" w:w="5112"/>
          </w:tcPr>
          <w:p>
            <w:r>
              <w:t>Saved finding</w:t>
            </w:r>
          </w:p>
        </w:tc>
      </w:tr>
      <w:tr>
        <w:tc>
          <w:tcPr>
            <w:tcW w:type="dxa" w:w="5112"/>
          </w:tcPr>
          <w:p>
            <w:r>
              <w:t>Experiment 1</w:t>
            </w:r>
          </w:p>
        </w:tc>
        <w:tc>
          <w:tcPr>
            <w:tcW w:type="dxa" w:w="5112"/>
          </w:tcPr>
          <w:p>
            <w:r>
              <w:t>Target exposure: 11.6% to 79.2%; muted exposure: 6.1% to zero. Boost NDCG@10: 0.03012 to 0.01637.</w:t>
            </w:r>
          </w:p>
        </w:tc>
      </w:tr>
      <w:tr>
        <w:tc>
          <w:tcPr>
            <w:tcW w:type="dxa" w:w="5112"/>
          </w:tcPr>
          <w:p>
            <w:r>
              <w:t>Exposed practice</w:t>
            </w:r>
          </w:p>
        </w:tc>
        <w:tc>
          <w:tcPr>
            <w:tcW w:type="dxa" w:w="5112"/>
          </w:tcPr>
          <w:p>
            <w:r>
              <w:t>73/100 validated Llama commands on a previously exposed bank; separate from the fresh evaluation.</w:t>
            </w:r>
          </w:p>
        </w:tc>
      </w:tr>
      <w:tr>
        <w:tc>
          <w:tcPr>
            <w:tcW w:type="dxa" w:w="5112"/>
          </w:tcPr>
          <w:p>
            <w:r>
              <w:t>Fresh control</w:t>
            </w:r>
          </w:p>
        </w:tc>
        <w:tc>
          <w:tcPr>
            <w:tcW w:type="dxa" w:w="5112"/>
          </w:tcPr>
          <w:p>
            <w:r>
              <w:t>Mean user success: 20.145% Llama, 3.854% rules, 3.815% item feedback. Conditional requests: zero successes.</w:t>
            </w:r>
          </w:p>
        </w:tc>
      </w:tr>
      <w:tr>
        <w:tc>
          <w:tcPr>
            <w:tcW w:type="dxa" w:w="5112"/>
          </w:tcPr>
          <w:p>
            <w:r>
              <w:t>Ranking quality</w:t>
            </w:r>
          </w:p>
        </w:tc>
        <w:tc>
          <w:tcPr>
            <w:tcW w:type="dxa" w:w="5112"/>
          </w:tcPr>
          <w:p>
            <w:r>
              <w:t>NDCG@10: 0.02580 Llama versus 0.03184 item feedback on a historical next-item proxy.</w:t>
            </w:r>
          </w:p>
        </w:tc>
      </w:tr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865 ranking users, three seeds, 41,520 ranking rows and 2,595 score vectors; 1,666,140 audit checks found no discrepancies.</w:t>
            </w:r>
          </w:p>
        </w:tc>
      </w:tr>
    </w:tbl>
    <w:p>
      <w:pPr>
        <w:pStyle w:val="Heading1"/>
      </w:pPr>
      <w:r>
        <w:t>Interpretation and limits</w:t>
      </w:r>
    </w:p>
    <w:p>
      <w:r>
        <w:t>Control success required a complete ten-item ranking, the requested category counts, and position-weighted exposure movement in the requested direction. The result supports stronger pooled category control in this fixed synthetic setting, while the conditional failure and lower next-item NDCG@10 constrain the claim. The same 100 request texts were reused across users. No human preference or satisfaction was measured.</w:t>
      </w:r>
    </w:p>
    <w:p>
      <w:r>
        <w:t>The public repository contains compact evidence and the full raw study archive remains separate. The saved Experiment 1 integrity receipt matched 288/288 files. Full Windows and Colab replay and an older score-hash difference remain unresolved.</w:t>
      </w:r>
    </w:p>
    <w:sectPr w:rsidR="00FC693F" w:rsidRPr="0006063C" w:rsidSect="00034616">
      <w:footerReference w:type="default" r:id="rId9"/>
      <w:pgSz w:w="12240" w:h="15840"/>
      <w:pgMar w:top="936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COMP 9500  |  19 October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3C71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3C71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