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Business Requirements Document (BRD)</w:t>
      </w:r>
    </w:p>
    <w:p>
      <w:pPr>
        <w:spacing w:after="400"/>
      </w:pPr>
      <w:r>
        <w:rPr>
          <w:color w:val="2E6F7E"/>
          <w:sz w:val="26"/>
          <w:szCs w:val="26"/>
        </w:rPr>
        <w:t xml:space="preserve">AI-Powered Tally / GST Accounting Platform for Indian Businesses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A5F" w:color="auto" w:val="clear"/>
            <w:tcMar>
              <w:top w:type="dxa" w:w="80"/>
              <w:left w:type="dxa" w:w="100"/>
              <w:bottom w:type="dxa" w:w="80"/>
              <w:right w:type="dxa" w:w="100"/>
            </w:tcMar>
          </w:tcPr>
          <w:p>
            <w:r>
              <w:rPr>
                <w:b/>
                <w:bCs/>
                <w:color w:val="FFFFFF"/>
                <w:sz w:val="20"/>
                <w:szCs w:val="20"/>
              </w:rPr>
              <w:t xml:space="preserve">Field</w:t>
            </w:r>
          </w:p>
        </w:tc>
        <w:tc>
          <w:tcPr>
            <w:tcW w:type="dxa" w:w="6350"/>
            <w:shd w:fill="1F3A5F" w:color="auto" w:val="clear"/>
            <w:tcMar>
              <w:top w:type="dxa" w:w="80"/>
              <w:left w:type="dxa" w:w="100"/>
              <w:bottom w:type="dxa" w:w="80"/>
              <w:right w:type="dxa" w:w="100"/>
            </w:tcMar>
          </w:tcPr>
          <w:p>
            <w:r>
              <w:rPr>
                <w:b/>
                <w:bCs/>
                <w:color w:val="FFFFFF"/>
                <w:sz w:val="20"/>
                <w:szCs w:val="20"/>
              </w:rPr>
              <w:t xml:space="preserve">Detail</w:t>
            </w:r>
          </w:p>
        </w:tc>
      </w:tr>
      <w:tr>
        <w:tc>
          <w:tcPr>
            <w:tcW w:type="dxa" w:w="3000"/>
            <w:shd w:fill="FFFFFF" w:color="auto" w:val="clear"/>
            <w:tcMar>
              <w:top w:type="dxa" w:w="70"/>
              <w:left w:type="dxa" w:w="100"/>
              <w:bottom w:type="dxa" w:w="70"/>
              <w:right w:type="dxa" w:w="100"/>
            </w:tcMar>
          </w:tcPr>
          <w:p>
            <w:r>
              <w:rPr>
                <w:sz w:val="20"/>
                <w:szCs w:val="20"/>
              </w:rPr>
              <w:t xml:space="preserve">Document Owner</w:t>
            </w:r>
          </w:p>
        </w:tc>
        <w:tc>
          <w:tcPr>
            <w:tcW w:type="dxa" w:w="6350"/>
            <w:shd w:fill="FFFFFF" w:color="auto" w:val="clear"/>
            <w:tcMar>
              <w:top w:type="dxa" w:w="70"/>
              <w:left w:type="dxa" w:w="100"/>
              <w:bottom w:type="dxa" w:w="70"/>
              <w:right w:type="dxa" w:w="100"/>
            </w:tcMar>
          </w:tcPr>
          <w:p>
            <w:r>
              <w:rPr>
                <w:sz w:val="20"/>
                <w:szCs w:val="20"/>
              </w:rPr>
              <w:t xml:space="preserve">Product &amp; Business Team</w:t>
            </w:r>
          </w:p>
        </w:tc>
      </w:tr>
      <w:tr>
        <w:tc>
          <w:tcPr>
            <w:tcW w:type="dxa" w:w="3000"/>
            <w:shd w:fill="EAF1F4" w:color="auto" w:val="clear"/>
            <w:tcMar>
              <w:top w:type="dxa" w:w="70"/>
              <w:left w:type="dxa" w:w="100"/>
              <w:bottom w:type="dxa" w:w="70"/>
              <w:right w:type="dxa" w:w="100"/>
            </w:tcMar>
          </w:tcPr>
          <w:p>
            <w:r>
              <w:rPr>
                <w:sz w:val="20"/>
                <w:szCs w:val="20"/>
              </w:rPr>
              <w:t xml:space="preserve">Version</w:t>
            </w:r>
          </w:p>
        </w:tc>
        <w:tc>
          <w:tcPr>
            <w:tcW w:type="dxa" w:w="6350"/>
            <w:shd w:fill="EAF1F4" w:color="auto" w:val="clear"/>
            <w:tcMar>
              <w:top w:type="dxa" w:w="70"/>
              <w:left w:type="dxa" w:w="100"/>
              <w:bottom w:type="dxa" w:w="70"/>
              <w:right w:type="dxa" w:w="100"/>
            </w:tcMar>
          </w:tcPr>
          <w:p>
            <w:r>
              <w:rPr>
                <w:sz w:val="20"/>
                <w:szCs w:val="20"/>
              </w:rPr>
              <w:t xml:space="preserve">1.0 (Draft)</w:t>
            </w:r>
          </w:p>
        </w:tc>
      </w:tr>
      <w:tr>
        <w:tc>
          <w:tcPr>
            <w:tcW w:type="dxa" w:w="3000"/>
            <w:shd w:fill="FFFFFF" w:color="auto" w:val="clear"/>
            <w:tcMar>
              <w:top w:type="dxa" w:w="70"/>
              <w:left w:type="dxa" w:w="100"/>
              <w:bottom w:type="dxa" w:w="70"/>
              <w:right w:type="dxa" w:w="100"/>
            </w:tcMar>
          </w:tcPr>
          <w:p>
            <w:r>
              <w:rPr>
                <w:sz w:val="20"/>
                <w:szCs w:val="20"/>
              </w:rPr>
              <w:t xml:space="preserve">Date</w:t>
            </w:r>
          </w:p>
        </w:tc>
        <w:tc>
          <w:tcPr>
            <w:tcW w:type="dxa" w:w="6350"/>
            <w:shd w:fill="FFFFFF" w:color="auto" w:val="clear"/>
            <w:tcMar>
              <w:top w:type="dxa" w:w="70"/>
              <w:left w:type="dxa" w:w="100"/>
              <w:bottom w:type="dxa" w:w="70"/>
              <w:right w:type="dxa" w:w="100"/>
            </w:tcMar>
          </w:tcPr>
          <w:p>
            <w:r>
              <w:rPr>
                <w:sz w:val="20"/>
                <w:szCs w:val="20"/>
              </w:rPr>
              <w:t xml:space="preserve">8 September 2026</w:t>
            </w:r>
          </w:p>
        </w:tc>
      </w:tr>
      <w:tr>
        <w:tc>
          <w:tcPr>
            <w:tcW w:type="dxa" w:w="3000"/>
            <w:shd w:fill="EAF1F4" w:color="auto" w:val="clear"/>
            <w:tcMar>
              <w:top w:type="dxa" w:w="70"/>
              <w:left w:type="dxa" w:w="100"/>
              <w:bottom w:type="dxa" w:w="70"/>
              <w:right w:type="dxa" w:w="100"/>
            </w:tcMar>
          </w:tcPr>
          <w:p>
            <w:r>
              <w:rPr>
                <w:sz w:val="20"/>
                <w:szCs w:val="20"/>
              </w:rPr>
              <w:t xml:space="preserve">Status</w:t>
            </w:r>
          </w:p>
        </w:tc>
        <w:tc>
          <w:tcPr>
            <w:tcW w:type="dxa" w:w="6350"/>
            <w:shd w:fill="EAF1F4" w:color="auto" w:val="clear"/>
            <w:tcMar>
              <w:top w:type="dxa" w:w="70"/>
              <w:left w:type="dxa" w:w="100"/>
              <w:bottom w:type="dxa" w:w="70"/>
              <w:right w:type="dxa" w:w="100"/>
            </w:tcMar>
          </w:tcPr>
          <w:p>
            <w:r>
              <w:rPr>
                <w:sz w:val="20"/>
                <w:szCs w:val="20"/>
              </w:rPr>
              <w:t xml:space="preserve">Draft — for stakeholder review</w:t>
            </w:r>
          </w:p>
        </w:tc>
      </w:tr>
      <w:tr>
        <w:tc>
          <w:tcPr>
            <w:tcW w:type="dxa" w:w="3000"/>
            <w:shd w:fill="FFFFFF" w:color="auto" w:val="clear"/>
            <w:tcMar>
              <w:top w:type="dxa" w:w="70"/>
              <w:left w:type="dxa" w:w="100"/>
              <w:bottom w:type="dxa" w:w="70"/>
              <w:right w:type="dxa" w:w="100"/>
            </w:tcMar>
          </w:tcPr>
          <w:p>
            <w:r>
              <w:rPr>
                <w:sz w:val="20"/>
                <w:szCs w:val="20"/>
              </w:rPr>
              <w:t xml:space="preserve">Related Documents</w:t>
            </w:r>
          </w:p>
        </w:tc>
        <w:tc>
          <w:tcPr>
            <w:tcW w:type="dxa" w:w="6350"/>
            <w:shd w:fill="FFFFFF" w:color="auto" w:val="clear"/>
            <w:tcMar>
              <w:top w:type="dxa" w:w="70"/>
              <w:left w:type="dxa" w:w="100"/>
              <w:bottom w:type="dxa" w:w="70"/>
              <w:right w:type="dxa" w:w="100"/>
            </w:tcMar>
          </w:tcPr>
          <w:p>
            <w:r>
              <w:rPr>
                <w:sz w:val="20"/>
                <w:szCs w:val="20"/>
              </w:rPr>
              <w:t xml:space="preserve">Product Requirements Document (PRD); User Stories Backlog</w:t>
            </w:r>
          </w:p>
        </w:tc>
      </w:tr>
    </w:tbl>
    <w:p>
      <w:r>
        <w:br w:type="page"/>
      </w:r>
    </w:p>
    <w:p>
      <w:pPr>
        <w:pStyle w:val="Heading1"/>
        <w:spacing w:after="160" w:before="360"/>
      </w:pPr>
      <w:r>
        <w:t xml:space="preserve">1. Executive Summary</w:t>
      </w:r>
    </w:p>
    <w:p>
      <w:pPr>
        <w:spacing w:after="160"/>
      </w:pPr>
      <w:r>
        <w:t xml:space="preserve">Indian small and mid-sized businesses currently rely on tools such as Tally, manual bookkeeping, or outsourced accountants to manage billing, inventory, and GST compliance. Most business owners do not understand accounting principles or GST rules, yet they are legally responsible for accurate books and timely filings. This creates errors, missed input tax credit, compliance penalties, and heavy dependence on accountants for basic tasks.</w:t>
      </w:r>
    </w:p>
    <w:p>
      <w:pPr>
        <w:spacing w:after="160"/>
      </w:pPr>
      <w:r>
        <w:t xml:space="preserve">This document defines the business requirements for an AI-first accounting, billing, inventory, and GST platform. The core proposition is that a user can provide business information in whatever form is natural to them — typed text, voice, a photo of an invoice, a PDF, or an Excel file — and the system converts it into legally correct accounting records, GST calculations, inventory movement, and statutory reports, with the user retaining final approval over anything filed with the government.</w:t>
      </w:r>
    </w:p>
    <w:p>
      <w:pPr>
        <w:pStyle w:val="Heading1"/>
        <w:spacing w:after="160" w:before="360"/>
      </w:pPr>
      <w:r>
        <w:t xml:space="preserve">2. Business Objectives</w:t>
      </w:r>
    </w:p>
    <w:p>
      <w:pPr>
        <w:pStyle w:val="ListParagraph"/>
        <w:numPr>
          <w:ilvl w:val="0"/>
          <w:numId w:val="1"/>
        </w:numPr>
        <w:spacing w:after="80"/>
      </w:pPr>
      <w:r>
        <w:t xml:space="preserve">Remove the requirement for a business owner to understand accounting or GST rules in order to keep compliant books.</w:t>
      </w:r>
    </w:p>
    <w:p>
      <w:pPr>
        <w:pStyle w:val="ListParagraph"/>
        <w:numPr>
          <w:ilvl w:val="0"/>
          <w:numId w:val="1"/>
        </w:numPr>
        <w:spacing w:after="80"/>
      </w:pPr>
      <w:r>
        <w:t xml:space="preserve">Reduce the time and cost spent on manual data entry, reconciliation, and return preparation.</w:t>
      </w:r>
    </w:p>
    <w:p>
      <w:pPr>
        <w:pStyle w:val="ListParagraph"/>
        <w:numPr>
          <w:ilvl w:val="0"/>
          <w:numId w:val="1"/>
        </w:numPr>
        <w:spacing w:after="80"/>
      </w:pPr>
      <w:r>
        <w:t xml:space="preserve">Reduce GST-related penalties and notices caused by mismatches, missed ITC, or filing errors.</w:t>
      </w:r>
    </w:p>
    <w:p>
      <w:pPr>
        <w:pStyle w:val="ListParagraph"/>
        <w:numPr>
          <w:ilvl w:val="0"/>
          <w:numId w:val="1"/>
        </w:numPr>
        <w:spacing w:after="80"/>
      </w:pPr>
      <w:r>
        <w:t xml:space="preserve">Provide real-time visibility into cash position, receivables, payables, and stock without waiting on an accountant.</w:t>
      </w:r>
    </w:p>
    <w:p>
      <w:pPr>
        <w:pStyle w:val="ListParagraph"/>
        <w:numPr>
          <w:ilvl w:val="0"/>
          <w:numId w:val="1"/>
        </w:numPr>
        <w:spacing w:after="80"/>
      </w:pPr>
      <w:r>
        <w:t xml:space="preserve">Build a platform that can competitively replace or reduce dependence on Tally and similar legacy tools.</w:t>
      </w:r>
    </w:p>
    <w:p>
      <w:pPr>
        <w:pStyle w:val="ListParagraph"/>
        <w:numPr>
          <w:ilvl w:val="0"/>
          <w:numId w:val="1"/>
        </w:numPr>
        <w:spacing w:after="80"/>
      </w:pPr>
      <w:r>
        <w:t xml:space="preserve">Establish deterministic, auditable tax and accounting logic so the platform can be trusted with statutory filings.</w:t>
      </w:r>
    </w:p>
    <w:p>
      <w:pPr>
        <w:pStyle w:val="Heading1"/>
        <w:spacing w:after="160" w:before="360"/>
      </w:pPr>
      <w:r>
        <w:t xml:space="preserve">3. Business Problem / Opportunity</w:t>
      </w:r>
    </w:p>
    <w:p>
      <w:pPr>
        <w:spacing w:after="160"/>
      </w:pPr>
      <w:r>
        <w:t xml:space="preserve">Existing accounting software (e.g. Tally) requires the user to already understand accounting concepts — vouchers, ledgers, debit/credit — and to manually enter most data. GST compliance is bolted on rather than built around AI-assisted data capture. As a result:</w:t>
      </w:r>
    </w:p>
    <w:p>
      <w:pPr>
        <w:pStyle w:val="ListParagraph"/>
        <w:numPr>
          <w:ilvl w:val="0"/>
          <w:numId w:val="1"/>
        </w:numPr>
        <w:spacing w:after="80"/>
      </w:pPr>
      <w:r>
        <w:t xml:space="preserve">Business owners spend significant time or money on data entry and bookkeeping.</w:t>
      </w:r>
    </w:p>
    <w:p>
      <w:pPr>
        <w:pStyle w:val="ListParagraph"/>
        <w:numPr>
          <w:ilvl w:val="0"/>
          <w:numId w:val="1"/>
        </w:numPr>
        <w:spacing w:after="80"/>
      </w:pPr>
      <w:r>
        <w:t xml:space="preserve">HSN/SAC misclassification and rate errors are common and often unnoticed until an audit.</w:t>
      </w:r>
    </w:p>
    <w:p>
      <w:pPr>
        <w:pStyle w:val="ListParagraph"/>
        <w:numPr>
          <w:ilvl w:val="0"/>
          <w:numId w:val="1"/>
        </w:numPr>
        <w:spacing w:after="80"/>
      </w:pPr>
      <w:r>
        <w:t xml:space="preserve">GST reconciliation against GSTR-2B is manual, slow, and error-prone.</w:t>
      </w:r>
    </w:p>
    <w:p>
      <w:pPr>
        <w:pStyle w:val="ListParagraph"/>
        <w:numPr>
          <w:ilvl w:val="0"/>
          <w:numId w:val="1"/>
        </w:numPr>
        <w:spacing w:after="80"/>
      </w:pPr>
      <w:r>
        <w:t xml:space="preserve">There is no single system connecting free-form business communication (a WhatsApp-style note, a photo of a bill) to compliant financial records.</w:t>
      </w:r>
    </w:p>
    <w:p>
      <w:pPr>
        <w:spacing w:after="160"/>
      </w:pPr>
      <w:r>
        <w:t xml:space="preserve">The opportunity is a platform where natural input formats are the primary interface, and the accounting/GST correctness is guaranteed by deterministic engines behind the AI layer — combining ease of use with compliance rigor.</w:t>
      </w:r>
    </w:p>
    <w:p>
      <w:pPr>
        <w:pStyle w:val="Heading1"/>
        <w:spacing w:after="160" w:before="360"/>
      </w:pPr>
      <w:r>
        <w:t xml:space="preserve">4. Scope</w:t>
      </w:r>
    </w:p>
    <w:p>
      <w:pPr>
        <w:pStyle w:val="Heading2"/>
        <w:spacing w:after="120" w:before="260"/>
      </w:pPr>
      <w:r>
        <w:t xml:space="preserve">4.1 In Scope</w:t>
      </w:r>
    </w:p>
    <w:p>
      <w:pPr>
        <w:pStyle w:val="ListParagraph"/>
        <w:numPr>
          <w:ilvl w:val="0"/>
          <w:numId w:val="1"/>
        </w:numPr>
        <w:spacing w:after="80"/>
      </w:pPr>
      <w:r>
        <w:t xml:space="preserve">Multi-format transaction capture: text, voice, photo, PDF, Excel, bank statements.</w:t>
      </w:r>
    </w:p>
    <w:p>
      <w:pPr>
        <w:pStyle w:val="ListParagraph"/>
        <w:numPr>
          <w:ilvl w:val="0"/>
          <w:numId w:val="1"/>
        </w:numPr>
        <w:spacing w:after="80"/>
      </w:pPr>
      <w:r>
        <w:t xml:space="preserve">AI-assisted document understanding, HSN/SAC classification, and transaction structuring.</w:t>
      </w:r>
    </w:p>
    <w:p>
      <w:pPr>
        <w:pStyle w:val="ListParagraph"/>
        <w:numPr>
          <w:ilvl w:val="0"/>
          <w:numId w:val="1"/>
        </w:numPr>
        <w:spacing w:after="80"/>
      </w:pPr>
      <w:r>
        <w:t xml:space="preserve">Deterministic GST tax engine and double-entry accounting engine.</w:t>
      </w:r>
    </w:p>
    <w:p>
      <w:pPr>
        <w:pStyle w:val="ListParagraph"/>
        <w:numPr>
          <w:ilvl w:val="0"/>
          <w:numId w:val="1"/>
        </w:numPr>
        <w:spacing w:after="80"/>
      </w:pPr>
      <w:r>
        <w:t xml:space="preserve">Inventory, AR/AP, banking reconciliation, GST reconciliation against GSTR-2B.</w:t>
      </w:r>
    </w:p>
    <w:p>
      <w:pPr>
        <w:pStyle w:val="ListParagraph"/>
        <w:numPr>
          <w:ilvl w:val="0"/>
          <w:numId w:val="1"/>
        </w:numPr>
        <w:spacing w:after="80"/>
      </w:pPr>
      <w:r>
        <w:t xml:space="preserve">E-invoicing, e-way bill, and GSTR-1/2B/3B return preparation with mandatory user approval before filing.</w:t>
      </w:r>
    </w:p>
    <w:p>
      <w:pPr>
        <w:pStyle w:val="ListParagraph"/>
        <w:numPr>
          <w:ilvl w:val="0"/>
          <w:numId w:val="1"/>
        </w:numPr>
        <w:spacing w:after="80"/>
      </w:pPr>
      <w:r>
        <w:t xml:space="preserve">Audit trail, role-based permissions, financial year controls, document management.</w:t>
      </w:r>
    </w:p>
    <w:p>
      <w:pPr>
        <w:pStyle w:val="ListParagraph"/>
        <w:numPr>
          <w:ilvl w:val="0"/>
          <w:numId w:val="1"/>
        </w:numPr>
        <w:spacing w:after="80"/>
      </w:pPr>
      <w:r>
        <w:t xml:space="preserve">Standard accounting, business, working-capital, and GST reporting.</w:t>
      </w:r>
    </w:p>
    <w:p>
      <w:pPr>
        <w:pStyle w:val="ListParagraph"/>
        <w:numPr>
          <w:ilvl w:val="0"/>
          <w:numId w:val="1"/>
        </w:numPr>
        <w:spacing w:after="80"/>
      </w:pPr>
      <w:r>
        <w:t xml:space="preserve">AI business copilot for natural-language queries over the business's own data, and rule-based anomaly detection.</w:t>
      </w:r>
    </w:p>
    <w:p>
      <w:pPr>
        <w:pStyle w:val="Heading2"/>
        <w:spacing w:after="120" w:before="260"/>
      </w:pPr>
      <w:r>
        <w:t xml:space="preserve">4.2 Out of Scope (this phase)</w:t>
      </w:r>
    </w:p>
    <w:p>
      <w:pPr>
        <w:pStyle w:val="ListParagraph"/>
        <w:numPr>
          <w:ilvl w:val="0"/>
          <w:numId w:val="1"/>
        </w:numPr>
        <w:spacing w:after="80"/>
      </w:pPr>
      <w:r>
        <w:t xml:space="preserve">Full payroll processing (planned for a later phase).</w:t>
      </w:r>
    </w:p>
    <w:p>
      <w:pPr>
        <w:pStyle w:val="ListParagraph"/>
        <w:numPr>
          <w:ilvl w:val="0"/>
          <w:numId w:val="1"/>
        </w:numPr>
        <w:spacing w:after="80"/>
      </w:pPr>
      <w:r>
        <w:t xml:space="preserve">Building proprietary government connectivity infrastructure (a licensed GSP/API provider will be used instead).</w:t>
      </w:r>
    </w:p>
    <w:p>
      <w:pPr>
        <w:pStyle w:val="ListParagraph"/>
        <w:numPr>
          <w:ilvl w:val="0"/>
          <w:numId w:val="1"/>
        </w:numPr>
        <w:spacing w:after="80"/>
      </w:pPr>
      <w:r>
        <w:t xml:space="preserve">Autonomous filing of any statutory return without explicit user approval — this is permanently out of scope, not just deferred.</w:t>
      </w:r>
    </w:p>
    <w:p>
      <w:pPr>
        <w:pStyle w:val="ListParagraph"/>
        <w:numPr>
          <w:ilvl w:val="0"/>
          <w:numId w:val="1"/>
        </w:numPr>
        <w:spacing w:after="80"/>
      </w:pPr>
      <w:r>
        <w:t xml:space="preserve">Non-Indian tax jurisdictions.</w:t>
      </w:r>
    </w:p>
    <w:p>
      <w:pPr>
        <w:pStyle w:val="Heading1"/>
        <w:spacing w:after="160" w:before="360"/>
      </w:pPr>
      <w:r>
        <w:t xml:space="preserve">5. Stakeholders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A5F" w:color="auto" w:val="clear"/>
            <w:tcMar>
              <w:top w:type="dxa" w:w="80"/>
              <w:left w:type="dxa" w:w="100"/>
              <w:bottom w:type="dxa" w:w="80"/>
              <w:right w:type="dxa" w:w="100"/>
            </w:tcMar>
          </w:tcPr>
          <w:p>
            <w:r>
              <w:rPr>
                <w:b/>
                <w:bCs/>
                <w:color w:val="FFFFFF"/>
                <w:sz w:val="20"/>
                <w:szCs w:val="20"/>
              </w:rPr>
              <w:t xml:space="preserve">Stakeholder</w:t>
            </w:r>
          </w:p>
        </w:tc>
        <w:tc>
          <w:tcPr>
            <w:tcW w:type="dxa" w:w="6350"/>
            <w:shd w:fill="1F3A5F" w:color="auto" w:val="clear"/>
            <w:tcMar>
              <w:top w:type="dxa" w:w="80"/>
              <w:left w:type="dxa" w:w="100"/>
              <w:bottom w:type="dxa" w:w="80"/>
              <w:right w:type="dxa" w:w="100"/>
            </w:tcMar>
          </w:tcPr>
          <w:p>
            <w:r>
              <w:rPr>
                <w:b/>
                <w:bCs/>
                <w:color w:val="FFFFFF"/>
                <w:sz w:val="20"/>
                <w:szCs w:val="20"/>
              </w:rPr>
              <w:t xml:space="preserve">Interest / Role</w:t>
            </w:r>
          </w:p>
        </w:tc>
      </w:tr>
      <w:tr>
        <w:tc>
          <w:tcPr>
            <w:tcW w:type="dxa" w:w="3000"/>
            <w:shd w:fill="FFFFFF" w:color="auto" w:val="clear"/>
            <w:tcMar>
              <w:top w:type="dxa" w:w="70"/>
              <w:left w:type="dxa" w:w="100"/>
              <w:bottom w:type="dxa" w:w="70"/>
              <w:right w:type="dxa" w:w="100"/>
            </w:tcMar>
          </w:tcPr>
          <w:p>
            <w:r>
              <w:rPr>
                <w:sz w:val="20"/>
                <w:szCs w:val="20"/>
              </w:rPr>
              <w:t xml:space="preserve">Business Owner / Proprietor</w:t>
            </w:r>
          </w:p>
        </w:tc>
        <w:tc>
          <w:tcPr>
            <w:tcW w:type="dxa" w:w="6350"/>
            <w:shd w:fill="FFFFFF" w:color="auto" w:val="clear"/>
            <w:tcMar>
              <w:top w:type="dxa" w:w="70"/>
              <w:left w:type="dxa" w:w="100"/>
              <w:bottom w:type="dxa" w:w="70"/>
              <w:right w:type="dxa" w:w="100"/>
            </w:tcMar>
          </w:tcPr>
          <w:p>
            <w:r>
              <w:rPr>
                <w:sz w:val="20"/>
                <w:szCs w:val="20"/>
              </w:rPr>
              <w:t xml:space="preserve">Primary user; needs simplicity, accuracy, and confidence that GST filings are correct and on time.</w:t>
            </w:r>
          </w:p>
        </w:tc>
      </w:tr>
      <w:tr>
        <w:tc>
          <w:tcPr>
            <w:tcW w:type="dxa" w:w="3000"/>
            <w:shd w:fill="EAF1F4" w:color="auto" w:val="clear"/>
            <w:tcMar>
              <w:top w:type="dxa" w:w="70"/>
              <w:left w:type="dxa" w:w="100"/>
              <w:bottom w:type="dxa" w:w="70"/>
              <w:right w:type="dxa" w:w="100"/>
            </w:tcMar>
          </w:tcPr>
          <w:p>
            <w:r>
              <w:rPr>
                <w:sz w:val="20"/>
                <w:szCs w:val="20"/>
              </w:rPr>
              <w:t xml:space="preserve">Accountant / Bookkeeper (in-house or outsourced)</w:t>
            </w:r>
          </w:p>
        </w:tc>
        <w:tc>
          <w:tcPr>
            <w:tcW w:type="dxa" w:w="6350"/>
            <w:shd w:fill="EAF1F4" w:color="auto" w:val="clear"/>
            <w:tcMar>
              <w:top w:type="dxa" w:w="70"/>
              <w:left w:type="dxa" w:w="100"/>
              <w:bottom w:type="dxa" w:w="70"/>
              <w:right w:type="dxa" w:w="100"/>
            </w:tcMar>
          </w:tcPr>
          <w:p>
            <w:r>
              <w:rPr>
                <w:sz w:val="20"/>
                <w:szCs w:val="20"/>
              </w:rPr>
              <w:t xml:space="preserve">Reviews and approves AI-generated entries and returns; needs full ledger-level visibility and audit trail.</w:t>
            </w:r>
          </w:p>
        </w:tc>
      </w:tr>
      <w:tr>
        <w:tc>
          <w:tcPr>
            <w:tcW w:type="dxa" w:w="3000"/>
            <w:shd w:fill="FFFFFF" w:color="auto" w:val="clear"/>
            <w:tcMar>
              <w:top w:type="dxa" w:w="70"/>
              <w:left w:type="dxa" w:w="100"/>
              <w:bottom w:type="dxa" w:w="70"/>
              <w:right w:type="dxa" w:w="100"/>
            </w:tcMar>
          </w:tcPr>
          <w:p>
            <w:r>
              <w:rPr>
                <w:sz w:val="20"/>
                <w:szCs w:val="20"/>
              </w:rPr>
              <w:t xml:space="preserve">Sales Staff</w:t>
            </w:r>
          </w:p>
        </w:tc>
        <w:tc>
          <w:tcPr>
            <w:tcW w:type="dxa" w:w="6350"/>
            <w:shd w:fill="FFFFFF" w:color="auto" w:val="clear"/>
            <w:tcMar>
              <w:top w:type="dxa" w:w="70"/>
              <w:left w:type="dxa" w:w="100"/>
              <w:bottom w:type="dxa" w:w="70"/>
              <w:right w:type="dxa" w:w="100"/>
            </w:tcMar>
          </w:tcPr>
          <w:p>
            <w:r>
              <w:rPr>
                <w:sz w:val="20"/>
                <w:szCs w:val="20"/>
              </w:rPr>
              <w:t xml:space="preserve">Creates customer invoices; needs a fast, low-friction way to record sales without accounting knowledge.</w:t>
            </w:r>
          </w:p>
        </w:tc>
      </w:tr>
      <w:tr>
        <w:tc>
          <w:tcPr>
            <w:tcW w:type="dxa" w:w="3000"/>
            <w:shd w:fill="EAF1F4" w:color="auto" w:val="clear"/>
            <w:tcMar>
              <w:top w:type="dxa" w:w="70"/>
              <w:left w:type="dxa" w:w="100"/>
              <w:bottom w:type="dxa" w:w="70"/>
              <w:right w:type="dxa" w:w="100"/>
            </w:tcMar>
          </w:tcPr>
          <w:p>
            <w:r>
              <w:rPr>
                <w:sz w:val="20"/>
                <w:szCs w:val="20"/>
              </w:rPr>
              <w:t xml:space="preserve">Inventory / Warehouse Staff</w:t>
            </w:r>
          </w:p>
        </w:tc>
        <w:tc>
          <w:tcPr>
            <w:tcW w:type="dxa" w:w="6350"/>
            <w:shd w:fill="EAF1F4" w:color="auto" w:val="clear"/>
            <w:tcMar>
              <w:top w:type="dxa" w:w="70"/>
              <w:left w:type="dxa" w:w="100"/>
              <w:bottom w:type="dxa" w:w="70"/>
              <w:right w:type="dxa" w:w="100"/>
            </w:tcMar>
          </w:tcPr>
          <w:p>
            <w:r>
              <w:rPr>
                <w:sz w:val="20"/>
                <w:szCs w:val="20"/>
              </w:rPr>
              <w:t xml:space="preserve">Tracks stock movement; needs accurate, real-time stock visibility.</w:t>
            </w:r>
          </w:p>
        </w:tc>
      </w:tr>
      <w:tr>
        <w:tc>
          <w:tcPr>
            <w:tcW w:type="dxa" w:w="3000"/>
            <w:shd w:fill="FFFFFF" w:color="auto" w:val="clear"/>
            <w:tcMar>
              <w:top w:type="dxa" w:w="70"/>
              <w:left w:type="dxa" w:w="100"/>
              <w:bottom w:type="dxa" w:w="70"/>
              <w:right w:type="dxa" w:w="100"/>
            </w:tcMar>
          </w:tcPr>
          <w:p>
            <w:r>
              <w:rPr>
                <w:sz w:val="20"/>
                <w:szCs w:val="20"/>
              </w:rPr>
              <w:t xml:space="preserve">External Auditor / CA</w:t>
            </w:r>
          </w:p>
        </w:tc>
        <w:tc>
          <w:tcPr>
            <w:tcW w:type="dxa" w:w="6350"/>
            <w:shd w:fill="FFFFFF" w:color="auto" w:val="clear"/>
            <w:tcMar>
              <w:top w:type="dxa" w:w="70"/>
              <w:left w:type="dxa" w:w="100"/>
              <w:bottom w:type="dxa" w:w="70"/>
              <w:right w:type="dxa" w:w="100"/>
            </w:tcMar>
          </w:tcPr>
          <w:p>
            <w:r>
              <w:rPr>
                <w:sz w:val="20"/>
                <w:szCs w:val="20"/>
              </w:rPr>
              <w:t xml:space="preserve">Periodically reviews books; needs read-only access and a reliable audit trail.</w:t>
            </w:r>
          </w:p>
        </w:tc>
      </w:tr>
      <w:tr>
        <w:tc>
          <w:tcPr>
            <w:tcW w:type="dxa" w:w="3000"/>
            <w:shd w:fill="EAF1F4" w:color="auto" w:val="clear"/>
            <w:tcMar>
              <w:top w:type="dxa" w:w="70"/>
              <w:left w:type="dxa" w:w="100"/>
              <w:bottom w:type="dxa" w:w="70"/>
              <w:right w:type="dxa" w:w="100"/>
            </w:tcMar>
          </w:tcPr>
          <w:p>
            <w:r>
              <w:rPr>
                <w:sz w:val="20"/>
                <w:szCs w:val="20"/>
              </w:rPr>
              <w:t xml:space="preserve">Compliance / Tax Team (if applicable)</w:t>
            </w:r>
          </w:p>
        </w:tc>
        <w:tc>
          <w:tcPr>
            <w:tcW w:type="dxa" w:w="6350"/>
            <w:shd w:fill="EAF1F4" w:color="auto" w:val="clear"/>
            <w:tcMar>
              <w:top w:type="dxa" w:w="70"/>
              <w:left w:type="dxa" w:w="100"/>
              <w:bottom w:type="dxa" w:w="70"/>
              <w:right w:type="dxa" w:w="100"/>
            </w:tcMar>
          </w:tcPr>
          <w:p>
            <w:r>
              <w:rPr>
                <w:sz w:val="20"/>
                <w:szCs w:val="20"/>
              </w:rPr>
              <w:t xml:space="preserve">Reviews GST health checks and approves filings.</w:t>
            </w:r>
          </w:p>
        </w:tc>
      </w:tr>
      <w:tr>
        <w:tc>
          <w:tcPr>
            <w:tcW w:type="dxa" w:w="3000"/>
            <w:shd w:fill="FFFFFF" w:color="auto" w:val="clear"/>
            <w:tcMar>
              <w:top w:type="dxa" w:w="70"/>
              <w:left w:type="dxa" w:w="100"/>
              <w:bottom w:type="dxa" w:w="70"/>
              <w:right w:type="dxa" w:w="100"/>
            </w:tcMar>
          </w:tcPr>
          <w:p>
            <w:r>
              <w:rPr>
                <w:sz w:val="20"/>
                <w:szCs w:val="20"/>
              </w:rPr>
              <w:t xml:space="preserve">Product &amp; Engineering Team</w:t>
            </w:r>
          </w:p>
        </w:tc>
        <w:tc>
          <w:tcPr>
            <w:tcW w:type="dxa" w:w="6350"/>
            <w:shd w:fill="FFFFFF" w:color="auto" w:val="clear"/>
            <w:tcMar>
              <w:top w:type="dxa" w:w="70"/>
              <w:left w:type="dxa" w:w="100"/>
              <w:bottom w:type="dxa" w:w="70"/>
              <w:right w:type="dxa" w:w="100"/>
            </w:tcMar>
          </w:tcPr>
          <w:p>
            <w:r>
              <w:rPr>
                <w:sz w:val="20"/>
                <w:szCs w:val="20"/>
              </w:rPr>
              <w:t xml:space="preserve">Builds and maintains the platform; needs unambiguous, prioritised requirements.</w:t>
            </w:r>
          </w:p>
        </w:tc>
      </w:tr>
      <w:tr>
        <w:tc>
          <w:tcPr>
            <w:tcW w:type="dxa" w:w="3000"/>
            <w:shd w:fill="EAF1F4" w:color="auto" w:val="clear"/>
            <w:tcMar>
              <w:top w:type="dxa" w:w="70"/>
              <w:left w:type="dxa" w:w="100"/>
              <w:bottom w:type="dxa" w:w="70"/>
              <w:right w:type="dxa" w:w="100"/>
            </w:tcMar>
          </w:tcPr>
          <w:p>
            <w:r>
              <w:rPr>
                <w:sz w:val="20"/>
                <w:szCs w:val="20"/>
              </w:rPr>
              <w:t xml:space="preserve">GSP / API Partner</w:t>
            </w:r>
          </w:p>
        </w:tc>
        <w:tc>
          <w:tcPr>
            <w:tcW w:type="dxa" w:w="6350"/>
            <w:shd w:fill="EAF1F4" w:color="auto" w:val="clear"/>
            <w:tcMar>
              <w:top w:type="dxa" w:w="70"/>
              <w:left w:type="dxa" w:w="100"/>
              <w:bottom w:type="dxa" w:w="70"/>
              <w:right w:type="dxa" w:w="100"/>
            </w:tcMar>
          </w:tcPr>
          <w:p>
            <w:r>
              <w:rPr>
                <w:sz w:val="20"/>
                <w:szCs w:val="20"/>
              </w:rPr>
              <w:t xml:space="preserve">Provides government connectivity for e-invoice, e-way bill, and GST return filing.</w:t>
            </w:r>
          </w:p>
        </w:tc>
      </w:tr>
    </w:tbl>
    <w:p>
      <w:pPr>
        <w:pStyle w:val="Heading1"/>
        <w:spacing w:after="160" w:before="360"/>
      </w:pPr>
      <w:r>
        <w:t xml:space="preserve">6. Business Requirements</w:t>
      </w:r>
    </w:p>
    <w:p>
      <w:pPr>
        <w:spacing w:after="160"/>
      </w:pPr>
      <w:r>
        <w:t xml:space="preserve">Requirements are grouped by business capability. Priority uses MoSCoW (Must / Should / Could / Won't-this-phase).</w:t>
      </w:r>
    </w:p>
    <w:p>
      <w:pPr>
        <w:sectPr>
          <w:headerReference w:type="default" r:id="rId7"/>
          <w:footerReference w:type="default" r:id="rId8"/>
          <w:pgSz w:w="12240" w:h="15840" w:orient="portrait"/>
          <w:pgMar w:top="1080" w:right="1080" w:bottom="1080" w:left="1080" w:header="708" w:footer="708" w:gutter="0"/>
          <w:pgNumType/>
          <w:docGrid w:linePitch="360"/>
        </w:sectPr>
      </w:pPr>
    </w:p>
    <w:p>
      <w:pPr>
        <w:pStyle w:val="Heading2"/>
        <w:spacing w:after="120" w:before="260"/>
      </w:pPr>
      <w:r>
        <w:t xml:space="preserve">BR-1  Multi-Modal Data Capture</w:t>
      </w:r>
    </w:p>
    <w:p>
      <w:pPr>
        <w:spacing w:after="160"/>
      </w:pPr>
      <w:r>
        <w:t xml:space="preserve">The business needs a way for owners and staff — most of whom are not trained accountants — to record financial activity in whatever format is convenient at the moment it happens.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50"/>
      </w:tblGrid>
      <w:tr>
        <w:trPr>
          <w:tblHeader/>
        </w:trPr>
        <w:tc>
          <w:tcPr>
            <w:tcW w:type="dxa" w:w="1000"/>
            <w:shd w:fill="1F3A5F" w:color="auto" w:val="clear"/>
            <w:tcMar>
              <w:top w:type="dxa" w:w="80"/>
              <w:left w:type="dxa" w:w="100"/>
              <w:bottom w:type="dxa" w:w="80"/>
              <w:right w:type="dxa" w:w="100"/>
            </w:tcMar>
          </w:tcPr>
          <w:p>
            <w:r>
              <w:rPr>
                <w:b/>
                <w:bCs/>
                <w:color w:val="FFFFFF"/>
                <w:sz w:val="20"/>
                <w:szCs w:val="20"/>
              </w:rPr>
              <w:t xml:space="preserve">ID</w:t>
            </w:r>
          </w:p>
        </w:tc>
        <w:tc>
          <w:tcPr>
            <w:tcW w:type="dxa" w:w="6900"/>
            <w:shd w:fill="1F3A5F" w:color="auto" w:val="clear"/>
            <w:tcMar>
              <w:top w:type="dxa" w:w="80"/>
              <w:left w:type="dxa" w:w="100"/>
              <w:bottom w:type="dxa" w:w="80"/>
              <w:right w:type="dxa" w:w="100"/>
            </w:tcMar>
          </w:tcPr>
          <w:p>
            <w:r>
              <w:rPr>
                <w:b/>
                <w:bCs/>
                <w:color w:val="FFFFFF"/>
                <w:sz w:val="20"/>
                <w:szCs w:val="20"/>
              </w:rPr>
              <w:t xml:space="preserve">Requirement</w:t>
            </w:r>
          </w:p>
        </w:tc>
        <w:tc>
          <w:tcPr>
            <w:tcW w:type="dxa" w:w="1450"/>
            <w:shd w:fill="1F3A5F" w:color="auto" w:val="clear"/>
            <w:tcMar>
              <w:top w:type="dxa" w:w="80"/>
              <w:left w:type="dxa" w:w="100"/>
              <w:bottom w:type="dxa" w:w="80"/>
              <w:right w:type="dxa" w:w="100"/>
            </w:tcMar>
          </w:tcPr>
          <w:p>
            <w:r>
              <w:rPr>
                <w:b/>
                <w:bCs/>
                <w:color w:val="FFFFFF"/>
                <w:sz w:val="20"/>
                <w:szCs w:val="20"/>
              </w:rPr>
              <w:t xml:space="preserve">Priority</w:t>
            </w:r>
          </w:p>
        </w:tc>
      </w:tr>
      <w:tr>
        <w:tc>
          <w:tcPr>
            <w:tcW w:type="dxa" w:w="1000"/>
            <w:shd w:fill="FFFFFF" w:color="auto" w:val="clear"/>
            <w:tcMar>
              <w:top w:type="dxa" w:w="70"/>
              <w:left w:type="dxa" w:w="100"/>
              <w:bottom w:type="dxa" w:w="70"/>
              <w:right w:type="dxa" w:w="100"/>
            </w:tcMar>
          </w:tcPr>
          <w:p>
            <w:r>
              <w:rPr>
                <w:sz w:val="20"/>
                <w:szCs w:val="20"/>
              </w:rPr>
              <w:t xml:space="preserve">BR-1.1</w:t>
            </w:r>
          </w:p>
        </w:tc>
        <w:tc>
          <w:tcPr>
            <w:tcW w:type="dxa" w:w="6900"/>
            <w:shd w:fill="FFFFFF" w:color="auto" w:val="clear"/>
            <w:tcMar>
              <w:top w:type="dxa" w:w="70"/>
              <w:left w:type="dxa" w:w="100"/>
              <w:bottom w:type="dxa" w:w="70"/>
              <w:right w:type="dxa" w:w="100"/>
            </w:tcMar>
          </w:tcPr>
          <w:p>
            <w:r>
              <w:rPr>
                <w:sz w:val="20"/>
                <w:szCs w:val="20"/>
              </w:rPr>
              <w:t xml:space="preserve">Accept free-form typed text describing a transaction (e.g. sales, purchases, payments).</w:t>
            </w:r>
          </w:p>
        </w:tc>
        <w:tc>
          <w:tcPr>
            <w:tcW w:type="dxa" w:w="1450"/>
            <w:shd w:fill="FFFFFF" w:color="auto" w:val="clear"/>
            <w:tcMar>
              <w:top w:type="dxa" w:w="70"/>
              <w:left w:type="dxa" w:w="100"/>
              <w:bottom w:type="dxa" w:w="70"/>
              <w:right w:type="dxa" w:w="100"/>
            </w:tcMar>
          </w:tcPr>
          <w:p>
            <w:r>
              <w:rPr>
                <w:sz w:val="20"/>
                <w:szCs w:val="20"/>
              </w:rPr>
              <w:t xml:space="preserve">Must</w:t>
            </w:r>
          </w:p>
        </w:tc>
      </w:tr>
      <w:tr>
        <w:tc>
          <w:tcPr>
            <w:tcW w:type="dxa" w:w="1000"/>
            <w:shd w:fill="EAF1F4" w:color="auto" w:val="clear"/>
            <w:tcMar>
              <w:top w:type="dxa" w:w="70"/>
              <w:left w:type="dxa" w:w="100"/>
              <w:bottom w:type="dxa" w:w="70"/>
              <w:right w:type="dxa" w:w="100"/>
            </w:tcMar>
          </w:tcPr>
          <w:p>
            <w:r>
              <w:rPr>
                <w:sz w:val="20"/>
                <w:szCs w:val="20"/>
              </w:rPr>
              <w:t xml:space="preserve">BR-1.2</w:t>
            </w:r>
          </w:p>
        </w:tc>
        <w:tc>
          <w:tcPr>
            <w:tcW w:type="dxa" w:w="6900"/>
            <w:shd w:fill="EAF1F4" w:color="auto" w:val="clear"/>
            <w:tcMar>
              <w:top w:type="dxa" w:w="70"/>
              <w:left w:type="dxa" w:w="100"/>
              <w:bottom w:type="dxa" w:w="70"/>
              <w:right w:type="dxa" w:w="100"/>
            </w:tcMar>
          </w:tcPr>
          <w:p>
            <w:r>
              <w:rPr>
                <w:sz w:val="20"/>
                <w:szCs w:val="20"/>
              </w:rPr>
              <w:t xml:space="preserve">Accept spoken voice input and convert it into the same structured transaction as typed text.</w:t>
            </w:r>
          </w:p>
        </w:tc>
        <w:tc>
          <w:tcPr>
            <w:tcW w:type="dxa" w:w="1450"/>
            <w:shd w:fill="EAF1F4" w:color="auto" w:val="clear"/>
            <w:tcMar>
              <w:top w:type="dxa" w:w="70"/>
              <w:left w:type="dxa" w:w="100"/>
              <w:bottom w:type="dxa" w:w="70"/>
              <w:right w:type="dxa" w:w="100"/>
            </w:tcMar>
          </w:tcPr>
          <w:p>
            <w:r>
              <w:rPr>
                <w:sz w:val="20"/>
                <w:szCs w:val="20"/>
              </w:rPr>
              <w:t xml:space="preserve">Must</w:t>
            </w:r>
          </w:p>
        </w:tc>
      </w:tr>
      <w:tr>
        <w:tc>
          <w:tcPr>
            <w:tcW w:type="dxa" w:w="1000"/>
            <w:shd w:fill="FFFFFF" w:color="auto" w:val="clear"/>
            <w:tcMar>
              <w:top w:type="dxa" w:w="70"/>
              <w:left w:type="dxa" w:w="100"/>
              <w:bottom w:type="dxa" w:w="70"/>
              <w:right w:type="dxa" w:w="100"/>
            </w:tcMar>
          </w:tcPr>
          <w:p>
            <w:r>
              <w:rPr>
                <w:sz w:val="20"/>
                <w:szCs w:val="20"/>
              </w:rPr>
              <w:t xml:space="preserve">BR-1.3</w:t>
            </w:r>
          </w:p>
        </w:tc>
        <w:tc>
          <w:tcPr>
            <w:tcW w:type="dxa" w:w="6900"/>
            <w:shd w:fill="FFFFFF" w:color="auto" w:val="clear"/>
            <w:tcMar>
              <w:top w:type="dxa" w:w="70"/>
              <w:left w:type="dxa" w:w="100"/>
              <w:bottom w:type="dxa" w:w="70"/>
              <w:right w:type="dxa" w:w="100"/>
            </w:tcMar>
          </w:tcPr>
          <w:p>
            <w:r>
              <w:rPr>
                <w:sz w:val="20"/>
                <w:szCs w:val="20"/>
              </w:rPr>
              <w:t xml:space="preserve">Accept a photo of an invoice, receipt, or bill and extract transaction data via OCR.</w:t>
            </w:r>
          </w:p>
        </w:tc>
        <w:tc>
          <w:tcPr>
            <w:tcW w:type="dxa" w:w="1450"/>
            <w:shd w:fill="FFFFFF" w:color="auto" w:val="clear"/>
            <w:tcMar>
              <w:top w:type="dxa" w:w="70"/>
              <w:left w:type="dxa" w:w="100"/>
              <w:bottom w:type="dxa" w:w="70"/>
              <w:right w:type="dxa" w:w="100"/>
            </w:tcMar>
          </w:tcPr>
          <w:p>
            <w:r>
              <w:rPr>
                <w:sz w:val="20"/>
                <w:szCs w:val="20"/>
              </w:rPr>
              <w:t xml:space="preserve">Must</w:t>
            </w:r>
          </w:p>
        </w:tc>
      </w:tr>
      <w:tr>
        <w:tc>
          <w:tcPr>
            <w:tcW w:type="dxa" w:w="1000"/>
            <w:shd w:fill="EAF1F4" w:color="auto" w:val="clear"/>
            <w:tcMar>
              <w:top w:type="dxa" w:w="70"/>
              <w:left w:type="dxa" w:w="100"/>
              <w:bottom w:type="dxa" w:w="70"/>
              <w:right w:type="dxa" w:w="100"/>
            </w:tcMar>
          </w:tcPr>
          <w:p>
            <w:r>
              <w:rPr>
                <w:sz w:val="20"/>
                <w:szCs w:val="20"/>
              </w:rPr>
              <w:t xml:space="preserve">BR-1.4</w:t>
            </w:r>
          </w:p>
        </w:tc>
        <w:tc>
          <w:tcPr>
            <w:tcW w:type="dxa" w:w="6900"/>
            <w:shd w:fill="EAF1F4" w:color="auto" w:val="clear"/>
            <w:tcMar>
              <w:top w:type="dxa" w:w="70"/>
              <w:left w:type="dxa" w:w="100"/>
              <w:bottom w:type="dxa" w:w="70"/>
              <w:right w:type="dxa" w:w="100"/>
            </w:tcMar>
          </w:tcPr>
          <w:p>
            <w:r>
              <w:rPr>
                <w:sz w:val="20"/>
                <w:szCs w:val="20"/>
              </w:rPr>
              <w:t xml:space="preserve">Accept uploaded PDF invoices/statements and extract transaction data.</w:t>
            </w:r>
          </w:p>
        </w:tc>
        <w:tc>
          <w:tcPr>
            <w:tcW w:type="dxa" w:w="1450"/>
            <w:shd w:fill="EAF1F4" w:color="auto" w:val="clear"/>
            <w:tcMar>
              <w:top w:type="dxa" w:w="70"/>
              <w:left w:type="dxa" w:w="100"/>
              <w:bottom w:type="dxa" w:w="70"/>
              <w:right w:type="dxa" w:w="100"/>
            </w:tcMar>
          </w:tcPr>
          <w:p>
            <w:r>
              <w:rPr>
                <w:sz w:val="20"/>
                <w:szCs w:val="20"/>
              </w:rPr>
              <w:t xml:space="preserve">Must</w:t>
            </w:r>
          </w:p>
        </w:tc>
      </w:tr>
      <w:tr>
        <w:tc>
          <w:tcPr>
            <w:tcW w:type="dxa" w:w="1000"/>
            <w:shd w:fill="FFFFFF" w:color="auto" w:val="clear"/>
            <w:tcMar>
              <w:top w:type="dxa" w:w="70"/>
              <w:left w:type="dxa" w:w="100"/>
              <w:bottom w:type="dxa" w:w="70"/>
              <w:right w:type="dxa" w:w="100"/>
            </w:tcMar>
          </w:tcPr>
          <w:p>
            <w:r>
              <w:rPr>
                <w:sz w:val="20"/>
                <w:szCs w:val="20"/>
              </w:rPr>
              <w:t xml:space="preserve">BR-1.5</w:t>
            </w:r>
          </w:p>
        </w:tc>
        <w:tc>
          <w:tcPr>
            <w:tcW w:type="dxa" w:w="6900"/>
            <w:shd w:fill="FFFFFF" w:color="auto" w:val="clear"/>
            <w:tcMar>
              <w:top w:type="dxa" w:w="70"/>
              <w:left w:type="dxa" w:w="100"/>
              <w:bottom w:type="dxa" w:w="70"/>
              <w:right w:type="dxa" w:w="100"/>
            </w:tcMar>
          </w:tcPr>
          <w:p>
            <w:r>
              <w:rPr>
                <w:sz w:val="20"/>
                <w:szCs w:val="20"/>
              </w:rPr>
              <w:t xml:space="preserve">Accept uploaded Excel/CSV files containing bulk sales, purchase, or ledger data.</w:t>
            </w:r>
          </w:p>
        </w:tc>
        <w:tc>
          <w:tcPr>
            <w:tcW w:type="dxa" w:w="1450"/>
            <w:shd w:fill="FFFFFF" w:color="auto" w:val="clear"/>
            <w:tcMar>
              <w:top w:type="dxa" w:w="70"/>
              <w:left w:type="dxa" w:w="100"/>
              <w:bottom w:type="dxa" w:w="70"/>
              <w:right w:type="dxa" w:w="100"/>
            </w:tcMar>
          </w:tcPr>
          <w:p>
            <w:r>
              <w:rPr>
                <w:sz w:val="20"/>
                <w:szCs w:val="20"/>
              </w:rPr>
              <w:t xml:space="preserve">Must</w:t>
            </w:r>
          </w:p>
        </w:tc>
      </w:tr>
      <w:tr>
        <w:tc>
          <w:tcPr>
            <w:tcW w:type="dxa" w:w="1000"/>
            <w:shd w:fill="EAF1F4" w:color="auto" w:val="clear"/>
            <w:tcMar>
              <w:top w:type="dxa" w:w="70"/>
              <w:left w:type="dxa" w:w="100"/>
              <w:bottom w:type="dxa" w:w="70"/>
              <w:right w:type="dxa" w:w="100"/>
            </w:tcMar>
          </w:tcPr>
          <w:p>
            <w:r>
              <w:rPr>
                <w:sz w:val="20"/>
                <w:szCs w:val="20"/>
              </w:rPr>
              <w:t xml:space="preserve">BR-1.6</w:t>
            </w:r>
          </w:p>
        </w:tc>
        <w:tc>
          <w:tcPr>
            <w:tcW w:type="dxa" w:w="6900"/>
            <w:shd w:fill="EAF1F4" w:color="auto" w:val="clear"/>
            <w:tcMar>
              <w:top w:type="dxa" w:w="70"/>
              <w:left w:type="dxa" w:w="100"/>
              <w:bottom w:type="dxa" w:w="70"/>
              <w:right w:type="dxa" w:w="100"/>
            </w:tcMar>
          </w:tcPr>
          <w:p>
            <w:r>
              <w:rPr>
                <w:sz w:val="20"/>
                <w:szCs w:val="20"/>
              </w:rPr>
              <w:t xml:space="preserve">Accept uploaded bank statements (PDF/Excel/API feed) for reconciliation.</w:t>
            </w:r>
          </w:p>
        </w:tc>
        <w:tc>
          <w:tcPr>
            <w:tcW w:type="dxa" w:w="1450"/>
            <w:shd w:fill="EAF1F4" w:color="auto" w:val="clear"/>
            <w:tcMar>
              <w:top w:type="dxa" w:w="70"/>
              <w:left w:type="dxa" w:w="100"/>
              <w:bottom w:type="dxa" w:w="70"/>
              <w:right w:type="dxa" w:w="100"/>
            </w:tcMar>
          </w:tcPr>
          <w:p>
            <w:r>
              <w:rPr>
                <w:sz w:val="20"/>
                <w:szCs w:val="20"/>
              </w:rPr>
              <w:t xml:space="preserve">Should</w:t>
            </w:r>
          </w:p>
        </w:tc>
      </w:tr>
    </w:tbl>
    <w:p>
      <w:pPr>
        <w:spacing w:after="160"/>
      </w:pPr>
    </w:p>
    <w:p>
      <w:pPr>
        <w:pStyle w:val="Heading2"/>
        <w:spacing w:after="120" w:before="260"/>
      </w:pPr>
      <w:r>
        <w:t xml:space="preserve">BR-2  AI Understanding &amp; Standardisation</w:t>
      </w:r>
    </w:p>
    <w:p>
      <w:pPr>
        <w:spacing w:after="160"/>
      </w:pPr>
      <w:r>
        <w:t xml:space="preserve">Regardless of input channel, the business needs every entry normalised into one internal format so downstream engines never need to know how the data arrived.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50"/>
      </w:tblGrid>
      <w:tr>
        <w:trPr>
          <w:tblHeader/>
        </w:trPr>
        <w:tc>
          <w:tcPr>
            <w:tcW w:type="dxa" w:w="1000"/>
            <w:shd w:fill="1F3A5F" w:color="auto" w:val="clear"/>
            <w:tcMar>
              <w:top w:type="dxa" w:w="80"/>
              <w:left w:type="dxa" w:w="100"/>
              <w:bottom w:type="dxa" w:w="80"/>
              <w:right w:type="dxa" w:w="100"/>
            </w:tcMar>
          </w:tcPr>
          <w:p>
            <w:r>
              <w:rPr>
                <w:b/>
                <w:bCs/>
                <w:color w:val="FFFFFF"/>
                <w:sz w:val="20"/>
                <w:szCs w:val="20"/>
              </w:rPr>
              <w:t xml:space="preserve">ID</w:t>
            </w:r>
          </w:p>
        </w:tc>
        <w:tc>
          <w:tcPr>
            <w:tcW w:type="dxa" w:w="6900"/>
            <w:shd w:fill="1F3A5F" w:color="auto" w:val="clear"/>
            <w:tcMar>
              <w:top w:type="dxa" w:w="80"/>
              <w:left w:type="dxa" w:w="100"/>
              <w:bottom w:type="dxa" w:w="80"/>
              <w:right w:type="dxa" w:w="100"/>
            </w:tcMar>
          </w:tcPr>
          <w:p>
            <w:r>
              <w:rPr>
                <w:b/>
                <w:bCs/>
                <w:color w:val="FFFFFF"/>
                <w:sz w:val="20"/>
                <w:szCs w:val="20"/>
              </w:rPr>
              <w:t xml:space="preserve">Requirement</w:t>
            </w:r>
          </w:p>
        </w:tc>
        <w:tc>
          <w:tcPr>
            <w:tcW w:type="dxa" w:w="1450"/>
            <w:shd w:fill="1F3A5F" w:color="auto" w:val="clear"/>
            <w:tcMar>
              <w:top w:type="dxa" w:w="80"/>
              <w:left w:type="dxa" w:w="100"/>
              <w:bottom w:type="dxa" w:w="80"/>
              <w:right w:type="dxa" w:w="100"/>
            </w:tcMar>
          </w:tcPr>
          <w:p>
            <w:r>
              <w:rPr>
                <w:b/>
                <w:bCs/>
                <w:color w:val="FFFFFF"/>
                <w:sz w:val="20"/>
                <w:szCs w:val="20"/>
              </w:rPr>
              <w:t xml:space="preserve">Priority</w:t>
            </w:r>
          </w:p>
        </w:tc>
      </w:tr>
      <w:tr>
        <w:tc>
          <w:tcPr>
            <w:tcW w:type="dxa" w:w="1000"/>
            <w:shd w:fill="FFFFFF" w:color="auto" w:val="clear"/>
            <w:tcMar>
              <w:top w:type="dxa" w:w="70"/>
              <w:left w:type="dxa" w:w="100"/>
              <w:bottom w:type="dxa" w:w="70"/>
              <w:right w:type="dxa" w:w="100"/>
            </w:tcMar>
          </w:tcPr>
          <w:p>
            <w:r>
              <w:rPr>
                <w:sz w:val="20"/>
                <w:szCs w:val="20"/>
              </w:rPr>
              <w:t xml:space="preserve">BR-2.1</w:t>
            </w:r>
          </w:p>
        </w:tc>
        <w:tc>
          <w:tcPr>
            <w:tcW w:type="dxa" w:w="6900"/>
            <w:shd w:fill="FFFFFF" w:color="auto" w:val="clear"/>
            <w:tcMar>
              <w:top w:type="dxa" w:w="70"/>
              <w:left w:type="dxa" w:w="100"/>
              <w:bottom w:type="dxa" w:w="70"/>
              <w:right w:type="dxa" w:w="100"/>
            </w:tcMar>
          </w:tcPr>
          <w:p>
            <w:r>
              <w:rPr>
                <w:sz w:val="20"/>
                <w:szCs w:val="20"/>
              </w:rPr>
              <w:t xml:space="preserve">Convert OCR/speech/text output into a single standard Transaction Object (party, items, quantities, rates, tax, totals, dates, references).</w:t>
            </w:r>
          </w:p>
        </w:tc>
        <w:tc>
          <w:tcPr>
            <w:tcW w:type="dxa" w:w="1450"/>
            <w:shd w:fill="FFFFFF" w:color="auto" w:val="clear"/>
            <w:tcMar>
              <w:top w:type="dxa" w:w="70"/>
              <w:left w:type="dxa" w:w="100"/>
              <w:bottom w:type="dxa" w:w="70"/>
              <w:right w:type="dxa" w:w="100"/>
            </w:tcMar>
          </w:tcPr>
          <w:p>
            <w:r>
              <w:rPr>
                <w:sz w:val="20"/>
                <w:szCs w:val="20"/>
              </w:rPr>
              <w:t xml:space="preserve">Must</w:t>
            </w:r>
          </w:p>
        </w:tc>
      </w:tr>
      <w:tr>
        <w:tc>
          <w:tcPr>
            <w:tcW w:type="dxa" w:w="1000"/>
            <w:shd w:fill="EAF1F4" w:color="auto" w:val="clear"/>
            <w:tcMar>
              <w:top w:type="dxa" w:w="70"/>
              <w:left w:type="dxa" w:w="100"/>
              <w:bottom w:type="dxa" w:w="70"/>
              <w:right w:type="dxa" w:w="100"/>
            </w:tcMar>
          </w:tcPr>
          <w:p>
            <w:r>
              <w:rPr>
                <w:sz w:val="20"/>
                <w:szCs w:val="20"/>
              </w:rPr>
              <w:t xml:space="preserve">BR-2.2</w:t>
            </w:r>
          </w:p>
        </w:tc>
        <w:tc>
          <w:tcPr>
            <w:tcW w:type="dxa" w:w="6900"/>
            <w:shd w:fill="EAF1F4" w:color="auto" w:val="clear"/>
            <w:tcMar>
              <w:top w:type="dxa" w:w="70"/>
              <w:left w:type="dxa" w:w="100"/>
              <w:bottom w:type="dxa" w:w="70"/>
              <w:right w:type="dxa" w:w="100"/>
            </w:tcMar>
          </w:tcPr>
          <w:p>
            <w:r>
              <w:rPr>
                <w:sz w:val="20"/>
                <w:szCs w:val="20"/>
              </w:rPr>
              <w:t xml:space="preserve">Flag low-confidence extractions for user confirmation rather than silently guessing.</w:t>
            </w:r>
          </w:p>
        </w:tc>
        <w:tc>
          <w:tcPr>
            <w:tcW w:type="dxa" w:w="1450"/>
            <w:shd w:fill="EAF1F4" w:color="auto" w:val="clear"/>
            <w:tcMar>
              <w:top w:type="dxa" w:w="70"/>
              <w:left w:type="dxa" w:w="100"/>
              <w:bottom w:type="dxa" w:w="70"/>
              <w:right w:type="dxa" w:w="100"/>
            </w:tcMar>
          </w:tcPr>
          <w:p>
            <w:r>
              <w:rPr>
                <w:sz w:val="20"/>
                <w:szCs w:val="20"/>
              </w:rPr>
              <w:t xml:space="preserve">Must</w:t>
            </w:r>
          </w:p>
        </w:tc>
      </w:tr>
      <w:tr>
        <w:tc>
          <w:tcPr>
            <w:tcW w:type="dxa" w:w="1000"/>
            <w:shd w:fill="FFFFFF" w:color="auto" w:val="clear"/>
            <w:tcMar>
              <w:top w:type="dxa" w:w="70"/>
              <w:left w:type="dxa" w:w="100"/>
              <w:bottom w:type="dxa" w:w="70"/>
              <w:right w:type="dxa" w:w="100"/>
            </w:tcMar>
          </w:tcPr>
          <w:p>
            <w:r>
              <w:rPr>
                <w:sz w:val="20"/>
                <w:szCs w:val="20"/>
              </w:rPr>
              <w:t xml:space="preserve">BR-2.3</w:t>
            </w:r>
          </w:p>
        </w:tc>
        <w:tc>
          <w:tcPr>
            <w:tcW w:type="dxa" w:w="6900"/>
            <w:shd w:fill="FFFFFF" w:color="auto" w:val="clear"/>
            <w:tcMar>
              <w:top w:type="dxa" w:w="70"/>
              <w:left w:type="dxa" w:w="100"/>
              <w:bottom w:type="dxa" w:w="70"/>
              <w:right w:type="dxa" w:w="100"/>
            </w:tcMar>
          </w:tcPr>
          <w:p>
            <w:r>
              <w:rPr>
                <w:sz w:val="20"/>
                <w:szCs w:val="20"/>
              </w:rPr>
              <w:t xml:space="preserve">Learn from user corrections to improve future extraction for the same vendor/format.</w:t>
            </w:r>
          </w:p>
        </w:tc>
        <w:tc>
          <w:tcPr>
            <w:tcW w:type="dxa" w:w="1450"/>
            <w:shd w:fill="FFFFFF" w:color="auto" w:val="clear"/>
            <w:tcMar>
              <w:top w:type="dxa" w:w="70"/>
              <w:left w:type="dxa" w:w="100"/>
              <w:bottom w:type="dxa" w:w="70"/>
              <w:right w:type="dxa" w:w="100"/>
            </w:tcMar>
          </w:tcPr>
          <w:p>
            <w:r>
              <w:rPr>
                <w:sz w:val="20"/>
                <w:szCs w:val="20"/>
              </w:rPr>
              <w:t xml:space="preserve">Should</w:t>
            </w:r>
          </w:p>
        </w:tc>
      </w:tr>
    </w:tbl>
    <w:p>
      <w:pPr>
        <w:spacing w:after="160"/>
      </w:pPr>
    </w:p>
    <w:p>
      <w:pPr>
        <w:pStyle w:val="Heading2"/>
        <w:spacing w:after="120" w:before="260"/>
      </w:pPr>
      <w:r>
        <w:t xml:space="preserve">BR-3  Master Data Management</w:t>
      </w:r>
    </w:p>
    <w:p>
      <w:pPr>
        <w:spacing w:after="160"/>
      </w:pPr>
      <w:r>
        <w:t xml:space="preserve">The business needs a single, reliable source of truth for the entities it repeatedly transacts with and sells.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50"/>
      </w:tblGrid>
      <w:tr>
        <w:trPr>
          <w:tblHeader/>
        </w:trPr>
        <w:tc>
          <w:tcPr>
            <w:tcW w:type="dxa" w:w="1000"/>
            <w:shd w:fill="1F3A5F" w:color="auto" w:val="clear"/>
            <w:tcMar>
              <w:top w:type="dxa" w:w="80"/>
              <w:left w:type="dxa" w:w="100"/>
              <w:bottom w:type="dxa" w:w="80"/>
              <w:right w:type="dxa" w:w="100"/>
            </w:tcMar>
          </w:tcPr>
          <w:p>
            <w:r>
              <w:rPr>
                <w:b/>
                <w:bCs/>
                <w:color w:val="FFFFFF"/>
                <w:sz w:val="20"/>
                <w:szCs w:val="20"/>
              </w:rPr>
              <w:t xml:space="preserve">ID</w:t>
            </w:r>
          </w:p>
        </w:tc>
        <w:tc>
          <w:tcPr>
            <w:tcW w:type="dxa" w:w="6900"/>
            <w:shd w:fill="1F3A5F" w:color="auto" w:val="clear"/>
            <w:tcMar>
              <w:top w:type="dxa" w:w="80"/>
              <w:left w:type="dxa" w:w="100"/>
              <w:bottom w:type="dxa" w:w="80"/>
              <w:right w:type="dxa" w:w="100"/>
            </w:tcMar>
          </w:tcPr>
          <w:p>
            <w:r>
              <w:rPr>
                <w:b/>
                <w:bCs/>
                <w:color w:val="FFFFFF"/>
                <w:sz w:val="20"/>
                <w:szCs w:val="20"/>
              </w:rPr>
              <w:t xml:space="preserve">Requirement</w:t>
            </w:r>
          </w:p>
        </w:tc>
        <w:tc>
          <w:tcPr>
            <w:tcW w:type="dxa" w:w="1450"/>
            <w:shd w:fill="1F3A5F" w:color="auto" w:val="clear"/>
            <w:tcMar>
              <w:top w:type="dxa" w:w="80"/>
              <w:left w:type="dxa" w:w="100"/>
              <w:bottom w:type="dxa" w:w="80"/>
              <w:right w:type="dxa" w:w="100"/>
            </w:tcMar>
          </w:tcPr>
          <w:p>
            <w:r>
              <w:rPr>
                <w:b/>
                <w:bCs/>
                <w:color w:val="FFFFFF"/>
                <w:sz w:val="20"/>
                <w:szCs w:val="20"/>
              </w:rPr>
              <w:t xml:space="preserve">Priority</w:t>
            </w:r>
          </w:p>
        </w:tc>
      </w:tr>
      <w:tr>
        <w:tc>
          <w:tcPr>
            <w:tcW w:type="dxa" w:w="1000"/>
            <w:shd w:fill="FFFFFF" w:color="auto" w:val="clear"/>
            <w:tcMar>
              <w:top w:type="dxa" w:w="70"/>
              <w:left w:type="dxa" w:w="100"/>
              <w:bottom w:type="dxa" w:w="70"/>
              <w:right w:type="dxa" w:w="100"/>
            </w:tcMar>
          </w:tcPr>
          <w:p>
            <w:r>
              <w:rPr>
                <w:sz w:val="20"/>
                <w:szCs w:val="20"/>
              </w:rPr>
              <w:t xml:space="preserve">BR-3.1</w:t>
            </w:r>
          </w:p>
        </w:tc>
        <w:tc>
          <w:tcPr>
            <w:tcW w:type="dxa" w:w="6900"/>
            <w:shd w:fill="FFFFFF" w:color="auto" w:val="clear"/>
            <w:tcMar>
              <w:top w:type="dxa" w:w="70"/>
              <w:left w:type="dxa" w:w="100"/>
              <w:bottom w:type="dxa" w:w="70"/>
              <w:right w:type="dxa" w:w="100"/>
            </w:tcMar>
          </w:tcPr>
          <w:p>
            <w:r>
              <w:rPr>
                <w:sz w:val="20"/>
                <w:szCs w:val="20"/>
              </w:rPr>
              <w:t xml:space="preserve">Maintain Customer master data (name, GSTIN, address, state, payment terms, credit limit).</w:t>
            </w:r>
          </w:p>
        </w:tc>
        <w:tc>
          <w:tcPr>
            <w:tcW w:type="dxa" w:w="1450"/>
            <w:shd w:fill="FFFFFF" w:color="auto" w:val="clear"/>
            <w:tcMar>
              <w:top w:type="dxa" w:w="70"/>
              <w:left w:type="dxa" w:w="100"/>
              <w:bottom w:type="dxa" w:w="70"/>
              <w:right w:type="dxa" w:w="100"/>
            </w:tcMar>
          </w:tcPr>
          <w:p>
            <w:r>
              <w:rPr>
                <w:sz w:val="20"/>
                <w:szCs w:val="20"/>
              </w:rPr>
              <w:t xml:space="preserve">Must</w:t>
            </w:r>
          </w:p>
        </w:tc>
      </w:tr>
      <w:tr>
        <w:tc>
          <w:tcPr>
            <w:tcW w:type="dxa" w:w="1000"/>
            <w:shd w:fill="EAF1F4" w:color="auto" w:val="clear"/>
            <w:tcMar>
              <w:top w:type="dxa" w:w="70"/>
              <w:left w:type="dxa" w:w="100"/>
              <w:bottom w:type="dxa" w:w="70"/>
              <w:right w:type="dxa" w:w="100"/>
            </w:tcMar>
          </w:tcPr>
          <w:p>
            <w:r>
              <w:rPr>
                <w:sz w:val="20"/>
                <w:szCs w:val="20"/>
              </w:rPr>
              <w:t xml:space="preserve">BR-3.2</w:t>
            </w:r>
          </w:p>
        </w:tc>
        <w:tc>
          <w:tcPr>
            <w:tcW w:type="dxa" w:w="6900"/>
            <w:shd w:fill="EAF1F4" w:color="auto" w:val="clear"/>
            <w:tcMar>
              <w:top w:type="dxa" w:w="70"/>
              <w:left w:type="dxa" w:w="100"/>
              <w:bottom w:type="dxa" w:w="70"/>
              <w:right w:type="dxa" w:w="100"/>
            </w:tcMar>
          </w:tcPr>
          <w:p>
            <w:r>
              <w:rPr>
                <w:sz w:val="20"/>
                <w:szCs w:val="20"/>
              </w:rPr>
              <w:t xml:space="preserve">Maintain Supplier master data of equivalent depth.</w:t>
            </w:r>
          </w:p>
        </w:tc>
        <w:tc>
          <w:tcPr>
            <w:tcW w:type="dxa" w:w="1450"/>
            <w:shd w:fill="EAF1F4" w:color="auto" w:val="clear"/>
            <w:tcMar>
              <w:top w:type="dxa" w:w="70"/>
              <w:left w:type="dxa" w:w="100"/>
              <w:bottom w:type="dxa" w:w="70"/>
              <w:right w:type="dxa" w:w="100"/>
            </w:tcMar>
          </w:tcPr>
          <w:p>
            <w:r>
              <w:rPr>
                <w:sz w:val="20"/>
                <w:szCs w:val="20"/>
              </w:rPr>
              <w:t xml:space="preserve">Must</w:t>
            </w:r>
          </w:p>
        </w:tc>
      </w:tr>
      <w:tr>
        <w:tc>
          <w:tcPr>
            <w:tcW w:type="dxa" w:w="1000"/>
            <w:shd w:fill="FFFFFF" w:color="auto" w:val="clear"/>
            <w:tcMar>
              <w:top w:type="dxa" w:w="70"/>
              <w:left w:type="dxa" w:w="100"/>
              <w:bottom w:type="dxa" w:w="70"/>
              <w:right w:type="dxa" w:w="100"/>
            </w:tcMar>
          </w:tcPr>
          <w:p>
            <w:r>
              <w:rPr>
                <w:sz w:val="20"/>
                <w:szCs w:val="20"/>
              </w:rPr>
              <w:t xml:space="preserve">BR-3.3</w:t>
            </w:r>
          </w:p>
        </w:tc>
        <w:tc>
          <w:tcPr>
            <w:tcW w:type="dxa" w:w="6900"/>
            <w:shd w:fill="FFFFFF" w:color="auto" w:val="clear"/>
            <w:tcMar>
              <w:top w:type="dxa" w:w="70"/>
              <w:left w:type="dxa" w:w="100"/>
              <w:bottom w:type="dxa" w:w="70"/>
              <w:right w:type="dxa" w:w="100"/>
            </w:tcMar>
          </w:tcPr>
          <w:p>
            <w:r>
              <w:rPr>
                <w:sz w:val="20"/>
                <w:szCs w:val="20"/>
              </w:rPr>
              <w:t xml:space="preserve">Maintain Product master data (SKU, HSN, unit, purchase/selling price, GST rate, stock).</w:t>
            </w:r>
          </w:p>
        </w:tc>
        <w:tc>
          <w:tcPr>
            <w:tcW w:type="dxa" w:w="1450"/>
            <w:shd w:fill="FFFFFF" w:color="auto" w:val="clear"/>
            <w:tcMar>
              <w:top w:type="dxa" w:w="70"/>
              <w:left w:type="dxa" w:w="100"/>
              <w:bottom w:type="dxa" w:w="70"/>
              <w:right w:type="dxa" w:w="100"/>
            </w:tcMar>
          </w:tcPr>
          <w:p>
            <w:r>
              <w:rPr>
                <w:sz w:val="20"/>
                <w:szCs w:val="20"/>
              </w:rPr>
              <w:t xml:space="preserve">Must</w:t>
            </w:r>
          </w:p>
        </w:tc>
      </w:tr>
      <w:tr>
        <w:tc>
          <w:tcPr>
            <w:tcW w:type="dxa" w:w="1000"/>
            <w:shd w:fill="EAF1F4" w:color="auto" w:val="clear"/>
            <w:tcMar>
              <w:top w:type="dxa" w:w="70"/>
              <w:left w:type="dxa" w:w="100"/>
              <w:bottom w:type="dxa" w:w="70"/>
              <w:right w:type="dxa" w:w="100"/>
            </w:tcMar>
          </w:tcPr>
          <w:p>
            <w:r>
              <w:rPr>
                <w:sz w:val="20"/>
                <w:szCs w:val="20"/>
              </w:rPr>
              <w:t xml:space="preserve">BR-3.4</w:t>
            </w:r>
          </w:p>
        </w:tc>
        <w:tc>
          <w:tcPr>
            <w:tcW w:type="dxa" w:w="6900"/>
            <w:shd w:fill="EAF1F4" w:color="auto" w:val="clear"/>
            <w:tcMar>
              <w:top w:type="dxa" w:w="70"/>
              <w:left w:type="dxa" w:w="100"/>
              <w:bottom w:type="dxa" w:w="70"/>
              <w:right w:type="dxa" w:w="100"/>
            </w:tcMar>
          </w:tcPr>
          <w:p>
            <w:r>
              <w:rPr>
                <w:sz w:val="20"/>
                <w:szCs w:val="20"/>
              </w:rPr>
              <w:t xml:space="preserve">Maintain Service master data (SAC, GST rate).</w:t>
            </w:r>
          </w:p>
        </w:tc>
        <w:tc>
          <w:tcPr>
            <w:tcW w:type="dxa" w:w="1450"/>
            <w:shd w:fill="EAF1F4" w:color="auto" w:val="clear"/>
            <w:tcMar>
              <w:top w:type="dxa" w:w="70"/>
              <w:left w:type="dxa" w:w="100"/>
              <w:bottom w:type="dxa" w:w="70"/>
              <w:right w:type="dxa" w:w="100"/>
            </w:tcMar>
          </w:tcPr>
          <w:p>
            <w:r>
              <w:rPr>
                <w:sz w:val="20"/>
                <w:szCs w:val="20"/>
              </w:rPr>
              <w:t xml:space="preserve">Must</w:t>
            </w:r>
          </w:p>
        </w:tc>
      </w:tr>
      <w:tr>
        <w:tc>
          <w:tcPr>
            <w:tcW w:type="dxa" w:w="1000"/>
            <w:shd w:fill="FFFFFF" w:color="auto" w:val="clear"/>
            <w:tcMar>
              <w:top w:type="dxa" w:w="70"/>
              <w:left w:type="dxa" w:w="100"/>
              <w:bottom w:type="dxa" w:w="70"/>
              <w:right w:type="dxa" w:w="100"/>
            </w:tcMar>
          </w:tcPr>
          <w:p>
            <w:r>
              <w:rPr>
                <w:sz w:val="20"/>
                <w:szCs w:val="20"/>
              </w:rPr>
              <w:t xml:space="preserve">BR-3.5</w:t>
            </w:r>
          </w:p>
        </w:tc>
        <w:tc>
          <w:tcPr>
            <w:tcW w:type="dxa" w:w="6900"/>
            <w:shd w:fill="FFFFFF" w:color="auto" w:val="clear"/>
            <w:tcMar>
              <w:top w:type="dxa" w:w="70"/>
              <w:left w:type="dxa" w:w="100"/>
              <w:bottom w:type="dxa" w:w="70"/>
              <w:right w:type="dxa" w:w="100"/>
            </w:tcMar>
          </w:tcPr>
          <w:p>
            <w:r>
              <w:rPr>
                <w:sz w:val="20"/>
                <w:szCs w:val="20"/>
              </w:rPr>
              <w:t xml:space="preserve">Maintain supporting masters: ledgers, banks, warehouses, employees, fixed assets, chart of accounts, tax rules.</w:t>
            </w:r>
          </w:p>
        </w:tc>
        <w:tc>
          <w:tcPr>
            <w:tcW w:type="dxa" w:w="1450"/>
            <w:shd w:fill="FFFFFF" w:color="auto" w:val="clear"/>
            <w:tcMar>
              <w:top w:type="dxa" w:w="70"/>
              <w:left w:type="dxa" w:w="100"/>
              <w:bottom w:type="dxa" w:w="70"/>
              <w:right w:type="dxa" w:w="100"/>
            </w:tcMar>
          </w:tcPr>
          <w:p>
            <w:r>
              <w:rPr>
                <w:sz w:val="20"/>
                <w:szCs w:val="20"/>
              </w:rPr>
              <w:t xml:space="preserve">Should</w:t>
            </w:r>
          </w:p>
        </w:tc>
      </w:tr>
    </w:tbl>
    <w:p>
      <w:pPr>
        <w:spacing w:after="160"/>
      </w:pPr>
    </w:p>
    <w:p>
      <w:pPr>
        <w:pStyle w:val="Heading2"/>
        <w:spacing w:after="120" w:before="260"/>
      </w:pPr>
      <w:r>
        <w:t xml:space="preserve">BR-4  HSN / SAC Classification</w:t>
      </w:r>
    </w:p>
    <w:p>
      <w:pPr>
        <w:spacing w:after="160"/>
      </w:pPr>
      <w:r>
        <w:t xml:space="preserve">The business cannot rely on users knowing correct HSN/SAC codes, but is legally required to apply them correctly.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50"/>
      </w:tblGrid>
      <w:tr>
        <w:trPr>
          <w:tblHeader/>
        </w:trPr>
        <w:tc>
          <w:tcPr>
            <w:tcW w:type="dxa" w:w="1000"/>
            <w:shd w:fill="1F3A5F" w:color="auto" w:val="clear"/>
            <w:tcMar>
              <w:top w:type="dxa" w:w="80"/>
              <w:left w:type="dxa" w:w="100"/>
              <w:bottom w:type="dxa" w:w="80"/>
              <w:right w:type="dxa" w:w="100"/>
            </w:tcMar>
          </w:tcPr>
          <w:p>
            <w:r>
              <w:rPr>
                <w:b/>
                <w:bCs/>
                <w:color w:val="FFFFFF"/>
                <w:sz w:val="20"/>
                <w:szCs w:val="20"/>
              </w:rPr>
              <w:t xml:space="preserve">ID</w:t>
            </w:r>
          </w:p>
        </w:tc>
        <w:tc>
          <w:tcPr>
            <w:tcW w:type="dxa" w:w="6900"/>
            <w:shd w:fill="1F3A5F" w:color="auto" w:val="clear"/>
            <w:tcMar>
              <w:top w:type="dxa" w:w="80"/>
              <w:left w:type="dxa" w:w="100"/>
              <w:bottom w:type="dxa" w:w="80"/>
              <w:right w:type="dxa" w:w="100"/>
            </w:tcMar>
          </w:tcPr>
          <w:p>
            <w:r>
              <w:rPr>
                <w:b/>
                <w:bCs/>
                <w:color w:val="FFFFFF"/>
                <w:sz w:val="20"/>
                <w:szCs w:val="20"/>
              </w:rPr>
              <w:t xml:space="preserve">Requirement</w:t>
            </w:r>
          </w:p>
        </w:tc>
        <w:tc>
          <w:tcPr>
            <w:tcW w:type="dxa" w:w="1450"/>
            <w:shd w:fill="1F3A5F" w:color="auto" w:val="clear"/>
            <w:tcMar>
              <w:top w:type="dxa" w:w="80"/>
              <w:left w:type="dxa" w:w="100"/>
              <w:bottom w:type="dxa" w:w="80"/>
              <w:right w:type="dxa" w:w="100"/>
            </w:tcMar>
          </w:tcPr>
          <w:p>
            <w:r>
              <w:rPr>
                <w:b/>
                <w:bCs/>
                <w:color w:val="FFFFFF"/>
                <w:sz w:val="20"/>
                <w:szCs w:val="20"/>
              </w:rPr>
              <w:t xml:space="preserve">Priority</w:t>
            </w:r>
          </w:p>
        </w:tc>
      </w:tr>
      <w:tr>
        <w:tc>
          <w:tcPr>
            <w:tcW w:type="dxa" w:w="1000"/>
            <w:shd w:fill="FFFFFF" w:color="auto" w:val="clear"/>
            <w:tcMar>
              <w:top w:type="dxa" w:w="70"/>
              <w:left w:type="dxa" w:w="100"/>
              <w:bottom w:type="dxa" w:w="70"/>
              <w:right w:type="dxa" w:w="100"/>
            </w:tcMar>
          </w:tcPr>
          <w:p>
            <w:r>
              <w:rPr>
                <w:sz w:val="20"/>
                <w:szCs w:val="20"/>
              </w:rPr>
              <w:t xml:space="preserve">BR-4.1</w:t>
            </w:r>
          </w:p>
        </w:tc>
        <w:tc>
          <w:tcPr>
            <w:tcW w:type="dxa" w:w="6900"/>
            <w:shd w:fill="FFFFFF" w:color="auto" w:val="clear"/>
            <w:tcMar>
              <w:top w:type="dxa" w:w="70"/>
              <w:left w:type="dxa" w:w="100"/>
              <w:bottom w:type="dxa" w:w="70"/>
              <w:right w:type="dxa" w:w="100"/>
            </w:tcMar>
          </w:tcPr>
          <w:p>
            <w:r>
              <w:rPr>
                <w:sz w:val="20"/>
                <w:szCs w:val="20"/>
              </w:rPr>
              <w:t xml:space="preserve">Maintain an HSN/SAC master sourced from official GST/CBIC data.</w:t>
            </w:r>
          </w:p>
        </w:tc>
        <w:tc>
          <w:tcPr>
            <w:tcW w:type="dxa" w:w="1450"/>
            <w:shd w:fill="FFFFFF" w:color="auto" w:val="clear"/>
            <w:tcMar>
              <w:top w:type="dxa" w:w="70"/>
              <w:left w:type="dxa" w:w="100"/>
              <w:bottom w:type="dxa" w:w="70"/>
              <w:right w:type="dxa" w:w="100"/>
            </w:tcMar>
          </w:tcPr>
          <w:p>
            <w:r>
              <w:rPr>
                <w:sz w:val="20"/>
                <w:szCs w:val="20"/>
              </w:rPr>
              <w:t xml:space="preserve">Must</w:t>
            </w:r>
          </w:p>
        </w:tc>
      </w:tr>
      <w:tr>
        <w:tc>
          <w:tcPr>
            <w:tcW w:type="dxa" w:w="1000"/>
            <w:shd w:fill="EAF1F4" w:color="auto" w:val="clear"/>
            <w:tcMar>
              <w:top w:type="dxa" w:w="70"/>
              <w:left w:type="dxa" w:w="100"/>
              <w:bottom w:type="dxa" w:w="70"/>
              <w:right w:type="dxa" w:w="100"/>
            </w:tcMar>
          </w:tcPr>
          <w:p>
            <w:r>
              <w:rPr>
                <w:sz w:val="20"/>
                <w:szCs w:val="20"/>
              </w:rPr>
              <w:t xml:space="preserve">BR-4.2</w:t>
            </w:r>
          </w:p>
        </w:tc>
        <w:tc>
          <w:tcPr>
            <w:tcW w:type="dxa" w:w="6900"/>
            <w:shd w:fill="EAF1F4" w:color="auto" w:val="clear"/>
            <w:tcMar>
              <w:top w:type="dxa" w:w="70"/>
              <w:left w:type="dxa" w:w="100"/>
              <w:bottom w:type="dxa" w:w="70"/>
              <w:right w:type="dxa" w:w="100"/>
            </w:tcMar>
          </w:tcPr>
          <w:p>
            <w:r>
              <w:rPr>
                <w:sz w:val="20"/>
                <w:szCs w:val="20"/>
              </w:rPr>
              <w:t xml:space="preserve">Use AI to suggest the most likely HSN/SAC and GST rate from a plain-language product description.</w:t>
            </w:r>
          </w:p>
        </w:tc>
        <w:tc>
          <w:tcPr>
            <w:tcW w:type="dxa" w:w="1450"/>
            <w:shd w:fill="EAF1F4" w:color="auto" w:val="clear"/>
            <w:tcMar>
              <w:top w:type="dxa" w:w="70"/>
              <w:left w:type="dxa" w:w="100"/>
              <w:bottom w:type="dxa" w:w="70"/>
              <w:right w:type="dxa" w:w="100"/>
            </w:tcMar>
          </w:tcPr>
          <w:p>
            <w:r>
              <w:rPr>
                <w:sz w:val="20"/>
                <w:szCs w:val="20"/>
              </w:rPr>
              <w:t xml:space="preserve">Must</w:t>
            </w:r>
          </w:p>
        </w:tc>
      </w:tr>
      <w:tr>
        <w:tc>
          <w:tcPr>
            <w:tcW w:type="dxa" w:w="1000"/>
            <w:shd w:fill="FFFFFF" w:color="auto" w:val="clear"/>
            <w:tcMar>
              <w:top w:type="dxa" w:w="70"/>
              <w:left w:type="dxa" w:w="100"/>
              <w:bottom w:type="dxa" w:w="70"/>
              <w:right w:type="dxa" w:w="100"/>
            </w:tcMar>
          </w:tcPr>
          <w:p>
            <w:r>
              <w:rPr>
                <w:sz w:val="20"/>
                <w:szCs w:val="20"/>
              </w:rPr>
              <w:t xml:space="preserve">BR-4.3</w:t>
            </w:r>
          </w:p>
        </w:tc>
        <w:tc>
          <w:tcPr>
            <w:tcW w:type="dxa" w:w="6900"/>
            <w:shd w:fill="FFFFFF" w:color="auto" w:val="clear"/>
            <w:tcMar>
              <w:top w:type="dxa" w:w="70"/>
              <w:left w:type="dxa" w:w="100"/>
              <w:bottom w:type="dxa" w:w="70"/>
              <w:right w:type="dxa" w:w="100"/>
            </w:tcMar>
          </w:tcPr>
          <w:p>
            <w:r>
              <w:rPr>
                <w:sz w:val="20"/>
                <w:szCs w:val="20"/>
              </w:rPr>
              <w:t xml:space="preserve">Require user confirmation before a suggested HSN/SAC is saved to the Product Master.</w:t>
            </w:r>
          </w:p>
        </w:tc>
        <w:tc>
          <w:tcPr>
            <w:tcW w:type="dxa" w:w="1450"/>
            <w:shd w:fill="FFFFFF" w:color="auto" w:val="clear"/>
            <w:tcMar>
              <w:top w:type="dxa" w:w="70"/>
              <w:left w:type="dxa" w:w="100"/>
              <w:bottom w:type="dxa" w:w="70"/>
              <w:right w:type="dxa" w:w="100"/>
            </w:tcMar>
          </w:tcPr>
          <w:p>
            <w:r>
              <w:rPr>
                <w:sz w:val="20"/>
                <w:szCs w:val="20"/>
              </w:rPr>
              <w:t xml:space="preserve">Must</w:t>
            </w:r>
          </w:p>
        </w:tc>
      </w:tr>
      <w:tr>
        <w:tc>
          <w:tcPr>
            <w:tcW w:type="dxa" w:w="1000"/>
            <w:shd w:fill="EAF1F4" w:color="auto" w:val="clear"/>
            <w:tcMar>
              <w:top w:type="dxa" w:w="70"/>
              <w:left w:type="dxa" w:w="100"/>
              <w:bottom w:type="dxa" w:w="70"/>
              <w:right w:type="dxa" w:w="100"/>
            </w:tcMar>
          </w:tcPr>
          <w:p>
            <w:r>
              <w:rPr>
                <w:sz w:val="20"/>
                <w:szCs w:val="20"/>
              </w:rPr>
              <w:t xml:space="preserve">BR-4.4</w:t>
            </w:r>
          </w:p>
        </w:tc>
        <w:tc>
          <w:tcPr>
            <w:tcW w:type="dxa" w:w="6900"/>
            <w:shd w:fill="EAF1F4" w:color="auto" w:val="clear"/>
            <w:tcMar>
              <w:top w:type="dxa" w:w="70"/>
              <w:left w:type="dxa" w:w="100"/>
              <w:bottom w:type="dxa" w:w="70"/>
              <w:right w:type="dxa" w:w="100"/>
            </w:tcMar>
          </w:tcPr>
          <w:p>
            <w:r>
              <w:rPr>
                <w:sz w:val="20"/>
                <w:szCs w:val="20"/>
              </w:rPr>
              <w:t xml:space="preserve">Re-use confirmed HSN/SAC automatically for all future transactions on that product.</w:t>
            </w:r>
          </w:p>
        </w:tc>
        <w:tc>
          <w:tcPr>
            <w:tcW w:type="dxa" w:w="1450"/>
            <w:shd w:fill="EAF1F4" w:color="auto" w:val="clear"/>
            <w:tcMar>
              <w:top w:type="dxa" w:w="70"/>
              <w:left w:type="dxa" w:w="100"/>
              <w:bottom w:type="dxa" w:w="70"/>
              <w:right w:type="dxa" w:w="100"/>
            </w:tcMar>
          </w:tcPr>
          <w:p>
            <w:r>
              <w:rPr>
                <w:sz w:val="20"/>
                <w:szCs w:val="20"/>
              </w:rPr>
              <w:t xml:space="preserve">Must</w:t>
            </w:r>
          </w:p>
        </w:tc>
      </w:tr>
    </w:tbl>
    <w:p>
      <w:pPr>
        <w:spacing w:after="160"/>
      </w:pPr>
    </w:p>
    <w:p>
      <w:pPr>
        <w:pStyle w:val="Heading2"/>
        <w:spacing w:after="120" w:before="260"/>
      </w:pPr>
      <w:r>
        <w:t xml:space="preserve">BR-5  GST Tax Determination</w:t>
      </w:r>
    </w:p>
    <w:p>
      <w:pPr>
        <w:spacing w:after="160"/>
      </w:pPr>
      <w:r>
        <w:t xml:space="preserve">GST calculation must be legally correct and auditable at all times — this cannot depend on a probabilistic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50"/>
      </w:tblGrid>
      <w:tr>
        <w:trPr>
          <w:tblHeader/>
        </w:trPr>
        <w:tc>
          <w:tcPr>
            <w:tcW w:type="dxa" w:w="1000"/>
            <w:shd w:fill="1F3A5F" w:color="auto" w:val="clear"/>
            <w:tcMar>
              <w:top w:type="dxa" w:w="80"/>
              <w:left w:type="dxa" w:w="100"/>
              <w:bottom w:type="dxa" w:w="80"/>
              <w:right w:type="dxa" w:w="100"/>
            </w:tcMar>
          </w:tcPr>
          <w:p>
            <w:r>
              <w:rPr>
                <w:b/>
                <w:bCs/>
                <w:color w:val="FFFFFF"/>
                <w:sz w:val="20"/>
                <w:szCs w:val="20"/>
              </w:rPr>
              <w:t xml:space="preserve">ID</w:t>
            </w:r>
          </w:p>
        </w:tc>
        <w:tc>
          <w:tcPr>
            <w:tcW w:type="dxa" w:w="6900"/>
            <w:shd w:fill="1F3A5F" w:color="auto" w:val="clear"/>
            <w:tcMar>
              <w:top w:type="dxa" w:w="80"/>
              <w:left w:type="dxa" w:w="100"/>
              <w:bottom w:type="dxa" w:w="80"/>
              <w:right w:type="dxa" w:w="100"/>
            </w:tcMar>
          </w:tcPr>
          <w:p>
            <w:r>
              <w:rPr>
                <w:b/>
                <w:bCs/>
                <w:color w:val="FFFFFF"/>
                <w:sz w:val="20"/>
                <w:szCs w:val="20"/>
              </w:rPr>
              <w:t xml:space="preserve">Requirement</w:t>
            </w:r>
          </w:p>
        </w:tc>
        <w:tc>
          <w:tcPr>
            <w:tcW w:type="dxa" w:w="1450"/>
            <w:shd w:fill="1F3A5F" w:color="auto" w:val="clear"/>
            <w:tcMar>
              <w:top w:type="dxa" w:w="80"/>
              <w:left w:type="dxa" w:w="100"/>
              <w:bottom w:type="dxa" w:w="80"/>
              <w:right w:type="dxa" w:w="100"/>
            </w:tcMar>
          </w:tcPr>
          <w:p>
            <w:r>
              <w:rPr>
                <w:b/>
                <w:bCs/>
                <w:color w:val="FFFFFF"/>
                <w:sz w:val="20"/>
                <w:szCs w:val="20"/>
              </w:rPr>
              <w:t xml:space="preserve">Priority</w:t>
            </w:r>
          </w:p>
        </w:tc>
      </w:tr>
      <w:tr>
        <w:tc>
          <w:tcPr>
            <w:tcW w:type="dxa" w:w="1000"/>
            <w:shd w:fill="FFFFFF" w:color="auto" w:val="clear"/>
            <w:tcMar>
              <w:top w:type="dxa" w:w="70"/>
              <w:left w:type="dxa" w:w="100"/>
              <w:bottom w:type="dxa" w:w="70"/>
              <w:right w:type="dxa" w:w="100"/>
            </w:tcMar>
          </w:tcPr>
          <w:p>
            <w:r>
              <w:rPr>
                <w:sz w:val="20"/>
                <w:szCs w:val="20"/>
              </w:rPr>
              <w:t xml:space="preserve">BR-5.1</w:t>
            </w:r>
          </w:p>
        </w:tc>
        <w:tc>
          <w:tcPr>
            <w:tcW w:type="dxa" w:w="6900"/>
            <w:shd w:fill="FFFFFF" w:color="auto" w:val="clear"/>
            <w:tcMar>
              <w:top w:type="dxa" w:w="70"/>
              <w:left w:type="dxa" w:w="100"/>
              <w:bottom w:type="dxa" w:w="70"/>
              <w:right w:type="dxa" w:w="100"/>
            </w:tcMar>
          </w:tcPr>
          <w:p>
            <w:r>
              <w:rPr>
                <w:sz w:val="20"/>
                <w:szCs w:val="20"/>
              </w:rPr>
              <w:t xml:space="preserve">Determine CGST/SGST/IGST/Cess/RCM applicability using a deterministic, versioned rules engine (not an LLM).</w:t>
            </w:r>
          </w:p>
        </w:tc>
        <w:tc>
          <w:tcPr>
            <w:tcW w:type="dxa" w:w="1450"/>
            <w:shd w:fill="FFFFFF" w:color="auto" w:val="clear"/>
            <w:tcMar>
              <w:top w:type="dxa" w:w="70"/>
              <w:left w:type="dxa" w:w="100"/>
              <w:bottom w:type="dxa" w:w="70"/>
              <w:right w:type="dxa" w:w="100"/>
            </w:tcMar>
          </w:tcPr>
          <w:p>
            <w:r>
              <w:rPr>
                <w:sz w:val="20"/>
                <w:szCs w:val="20"/>
              </w:rPr>
              <w:t xml:space="preserve">Must</w:t>
            </w:r>
          </w:p>
        </w:tc>
      </w:tr>
      <w:tr>
        <w:tc>
          <w:tcPr>
            <w:tcW w:type="dxa" w:w="1000"/>
            <w:shd w:fill="EAF1F4" w:color="auto" w:val="clear"/>
            <w:tcMar>
              <w:top w:type="dxa" w:w="70"/>
              <w:left w:type="dxa" w:w="100"/>
              <w:bottom w:type="dxa" w:w="70"/>
              <w:right w:type="dxa" w:w="100"/>
            </w:tcMar>
          </w:tcPr>
          <w:p>
            <w:r>
              <w:rPr>
                <w:sz w:val="20"/>
                <w:szCs w:val="20"/>
              </w:rPr>
              <w:t xml:space="preserve">BR-5.2</w:t>
            </w:r>
          </w:p>
        </w:tc>
        <w:tc>
          <w:tcPr>
            <w:tcW w:type="dxa" w:w="6900"/>
            <w:shd w:fill="EAF1F4" w:color="auto" w:val="clear"/>
            <w:tcMar>
              <w:top w:type="dxa" w:w="70"/>
              <w:left w:type="dxa" w:w="100"/>
              <w:bottom w:type="dxa" w:w="70"/>
              <w:right w:type="dxa" w:w="100"/>
            </w:tcMar>
          </w:tcPr>
          <w:p>
            <w:r>
              <w:rPr>
                <w:sz w:val="20"/>
                <w:szCs w:val="20"/>
              </w:rPr>
              <w:t xml:space="preserve">Determine place of supply and correct intra-state vs inter-state treatment.</w:t>
            </w:r>
          </w:p>
        </w:tc>
        <w:tc>
          <w:tcPr>
            <w:tcW w:type="dxa" w:w="1450"/>
            <w:shd w:fill="EAF1F4" w:color="auto" w:val="clear"/>
            <w:tcMar>
              <w:top w:type="dxa" w:w="70"/>
              <w:left w:type="dxa" w:w="100"/>
              <w:bottom w:type="dxa" w:w="70"/>
              <w:right w:type="dxa" w:w="100"/>
            </w:tcMar>
          </w:tcPr>
          <w:p>
            <w:r>
              <w:rPr>
                <w:sz w:val="20"/>
                <w:szCs w:val="20"/>
              </w:rPr>
              <w:t xml:space="preserve">Must</w:t>
            </w:r>
          </w:p>
        </w:tc>
      </w:tr>
      <w:tr>
        <w:tc>
          <w:tcPr>
            <w:tcW w:type="dxa" w:w="1000"/>
            <w:shd w:fill="FFFFFF" w:color="auto" w:val="clear"/>
            <w:tcMar>
              <w:top w:type="dxa" w:w="70"/>
              <w:left w:type="dxa" w:w="100"/>
              <w:bottom w:type="dxa" w:w="70"/>
              <w:right w:type="dxa" w:w="100"/>
            </w:tcMar>
          </w:tcPr>
          <w:p>
            <w:r>
              <w:rPr>
                <w:sz w:val="20"/>
                <w:szCs w:val="20"/>
              </w:rPr>
              <w:t xml:space="preserve">BR-5.3</w:t>
            </w:r>
          </w:p>
        </w:tc>
        <w:tc>
          <w:tcPr>
            <w:tcW w:type="dxa" w:w="6900"/>
            <w:shd w:fill="FFFFFF" w:color="auto" w:val="clear"/>
            <w:tcMar>
              <w:top w:type="dxa" w:w="70"/>
              <w:left w:type="dxa" w:w="100"/>
              <w:bottom w:type="dxa" w:w="70"/>
              <w:right w:type="dxa" w:w="100"/>
            </w:tcMar>
          </w:tcPr>
          <w:p>
            <w:r>
              <w:rPr>
                <w:sz w:val="20"/>
                <w:szCs w:val="20"/>
              </w:rPr>
              <w:t xml:space="preserve">Apply exemptions and Input Tax Credit (ITC) eligibility rules correctly.</w:t>
            </w:r>
          </w:p>
        </w:tc>
        <w:tc>
          <w:tcPr>
            <w:tcW w:type="dxa" w:w="1450"/>
            <w:shd w:fill="FFFFFF" w:color="auto" w:val="clear"/>
            <w:tcMar>
              <w:top w:type="dxa" w:w="70"/>
              <w:left w:type="dxa" w:w="100"/>
              <w:bottom w:type="dxa" w:w="70"/>
              <w:right w:type="dxa" w:w="100"/>
            </w:tcMar>
          </w:tcPr>
          <w:p>
            <w:r>
              <w:rPr>
                <w:sz w:val="20"/>
                <w:szCs w:val="20"/>
              </w:rPr>
              <w:t xml:space="preserve">Must</w:t>
            </w:r>
          </w:p>
        </w:tc>
      </w:tr>
      <w:tr>
        <w:tc>
          <w:tcPr>
            <w:tcW w:type="dxa" w:w="1000"/>
            <w:shd w:fill="EAF1F4" w:color="auto" w:val="clear"/>
            <w:tcMar>
              <w:top w:type="dxa" w:w="70"/>
              <w:left w:type="dxa" w:w="100"/>
              <w:bottom w:type="dxa" w:w="70"/>
              <w:right w:type="dxa" w:w="100"/>
            </w:tcMar>
          </w:tcPr>
          <w:p>
            <w:r>
              <w:rPr>
                <w:sz w:val="20"/>
                <w:szCs w:val="20"/>
              </w:rPr>
              <w:t xml:space="preserve">BR-5.4</w:t>
            </w:r>
          </w:p>
        </w:tc>
        <w:tc>
          <w:tcPr>
            <w:tcW w:type="dxa" w:w="6900"/>
            <w:shd w:fill="EAF1F4" w:color="auto" w:val="clear"/>
            <w:tcMar>
              <w:top w:type="dxa" w:w="70"/>
              <w:left w:type="dxa" w:w="100"/>
              <w:bottom w:type="dxa" w:w="70"/>
              <w:right w:type="dxa" w:w="100"/>
            </w:tcMar>
          </w:tcPr>
          <w:p>
            <w:r>
              <w:rPr>
                <w:sz w:val="20"/>
                <w:szCs w:val="20"/>
              </w:rPr>
              <w:t xml:space="preserve">Version every change to the tax rules so historical transactions remain calculated under the rules in force at that time.</w:t>
            </w:r>
          </w:p>
        </w:tc>
        <w:tc>
          <w:tcPr>
            <w:tcW w:type="dxa" w:w="1450"/>
            <w:shd w:fill="EAF1F4" w:color="auto" w:val="clear"/>
            <w:tcMar>
              <w:top w:type="dxa" w:w="70"/>
              <w:left w:type="dxa" w:w="100"/>
              <w:bottom w:type="dxa" w:w="70"/>
              <w:right w:type="dxa" w:w="100"/>
            </w:tcMar>
          </w:tcPr>
          <w:p>
            <w:r>
              <w:rPr>
                <w:sz w:val="20"/>
                <w:szCs w:val="20"/>
              </w:rPr>
              <w:t xml:space="preserve">Must</w:t>
            </w:r>
          </w:p>
        </w:tc>
      </w:tr>
    </w:tbl>
    <w:p>
      <w:pPr>
        <w:spacing w:after="160"/>
      </w:pPr>
    </w:p>
    <w:p>
      <w:pPr>
        <w:pStyle w:val="Heading2"/>
        <w:spacing w:after="120" w:before="260"/>
      </w:pPr>
      <w:r>
        <w:t xml:space="preserve">BR-6  Accounting Engine</w:t>
      </w:r>
    </w:p>
    <w:p>
      <w:pPr>
        <w:spacing w:after="160"/>
      </w:pPr>
      <w:r>
        <w:t xml:space="preserve">Every transaction, regardless of source, must ultimately become a correct double-entry accounting record without the user needing to understand debits and credits.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50"/>
      </w:tblGrid>
      <w:tr>
        <w:trPr>
          <w:tblHeader/>
        </w:trPr>
        <w:tc>
          <w:tcPr>
            <w:tcW w:type="dxa" w:w="1000"/>
            <w:shd w:fill="1F3A5F" w:color="auto" w:val="clear"/>
            <w:tcMar>
              <w:top w:type="dxa" w:w="80"/>
              <w:left w:type="dxa" w:w="100"/>
              <w:bottom w:type="dxa" w:w="80"/>
              <w:right w:type="dxa" w:w="100"/>
            </w:tcMar>
          </w:tcPr>
          <w:p>
            <w:r>
              <w:rPr>
                <w:b/>
                <w:bCs/>
                <w:color w:val="FFFFFF"/>
                <w:sz w:val="20"/>
                <w:szCs w:val="20"/>
              </w:rPr>
              <w:t xml:space="preserve">ID</w:t>
            </w:r>
          </w:p>
        </w:tc>
        <w:tc>
          <w:tcPr>
            <w:tcW w:type="dxa" w:w="6900"/>
            <w:shd w:fill="1F3A5F" w:color="auto" w:val="clear"/>
            <w:tcMar>
              <w:top w:type="dxa" w:w="80"/>
              <w:left w:type="dxa" w:w="100"/>
              <w:bottom w:type="dxa" w:w="80"/>
              <w:right w:type="dxa" w:w="100"/>
            </w:tcMar>
          </w:tcPr>
          <w:p>
            <w:r>
              <w:rPr>
                <w:b/>
                <w:bCs/>
                <w:color w:val="FFFFFF"/>
                <w:sz w:val="20"/>
                <w:szCs w:val="20"/>
              </w:rPr>
              <w:t xml:space="preserve">Requirement</w:t>
            </w:r>
          </w:p>
        </w:tc>
        <w:tc>
          <w:tcPr>
            <w:tcW w:type="dxa" w:w="1450"/>
            <w:shd w:fill="1F3A5F" w:color="auto" w:val="clear"/>
            <w:tcMar>
              <w:top w:type="dxa" w:w="80"/>
              <w:left w:type="dxa" w:w="100"/>
              <w:bottom w:type="dxa" w:w="80"/>
              <w:right w:type="dxa" w:w="100"/>
            </w:tcMar>
          </w:tcPr>
          <w:p>
            <w:r>
              <w:rPr>
                <w:b/>
                <w:bCs/>
                <w:color w:val="FFFFFF"/>
                <w:sz w:val="20"/>
                <w:szCs w:val="20"/>
              </w:rPr>
              <w:t xml:space="preserve">Priority</w:t>
            </w:r>
          </w:p>
        </w:tc>
      </w:tr>
      <w:tr>
        <w:tc>
          <w:tcPr>
            <w:tcW w:type="dxa" w:w="1000"/>
            <w:shd w:fill="FFFFFF" w:color="auto" w:val="clear"/>
            <w:tcMar>
              <w:top w:type="dxa" w:w="70"/>
              <w:left w:type="dxa" w:w="100"/>
              <w:bottom w:type="dxa" w:w="70"/>
              <w:right w:type="dxa" w:w="100"/>
            </w:tcMar>
          </w:tcPr>
          <w:p>
            <w:r>
              <w:rPr>
                <w:sz w:val="20"/>
                <w:szCs w:val="20"/>
              </w:rPr>
              <w:t xml:space="preserve">BR-6.1</w:t>
            </w:r>
          </w:p>
        </w:tc>
        <w:tc>
          <w:tcPr>
            <w:tcW w:type="dxa" w:w="6900"/>
            <w:shd w:fill="FFFFFF" w:color="auto" w:val="clear"/>
            <w:tcMar>
              <w:top w:type="dxa" w:w="70"/>
              <w:left w:type="dxa" w:w="100"/>
              <w:bottom w:type="dxa" w:w="70"/>
              <w:right w:type="dxa" w:w="100"/>
            </w:tcMar>
          </w:tcPr>
          <w:p>
            <w:r>
              <w:rPr>
                <w:sz w:val="20"/>
                <w:szCs w:val="20"/>
              </w:rPr>
              <w:t xml:space="preserve">Automatically generate correct double-entry journal postings for every transaction type (sales, purchase, expense, payment, receipt, journal).</w:t>
            </w:r>
          </w:p>
        </w:tc>
        <w:tc>
          <w:tcPr>
            <w:tcW w:type="dxa" w:w="1450"/>
            <w:shd w:fill="FFFFFF" w:color="auto" w:val="clear"/>
            <w:tcMar>
              <w:top w:type="dxa" w:w="70"/>
              <w:left w:type="dxa" w:w="100"/>
              <w:bottom w:type="dxa" w:w="70"/>
              <w:right w:type="dxa" w:w="100"/>
            </w:tcMar>
          </w:tcPr>
          <w:p>
            <w:r>
              <w:rPr>
                <w:sz w:val="20"/>
                <w:szCs w:val="20"/>
              </w:rPr>
              <w:t xml:space="preserve">Must</w:t>
            </w:r>
          </w:p>
        </w:tc>
      </w:tr>
      <w:tr>
        <w:tc>
          <w:tcPr>
            <w:tcW w:type="dxa" w:w="1000"/>
            <w:shd w:fill="EAF1F4" w:color="auto" w:val="clear"/>
            <w:tcMar>
              <w:top w:type="dxa" w:w="70"/>
              <w:left w:type="dxa" w:w="100"/>
              <w:bottom w:type="dxa" w:w="70"/>
              <w:right w:type="dxa" w:w="100"/>
            </w:tcMar>
          </w:tcPr>
          <w:p>
            <w:r>
              <w:rPr>
                <w:sz w:val="20"/>
                <w:szCs w:val="20"/>
              </w:rPr>
              <w:t xml:space="preserve">BR-6.2</w:t>
            </w:r>
          </w:p>
        </w:tc>
        <w:tc>
          <w:tcPr>
            <w:tcW w:type="dxa" w:w="6900"/>
            <w:shd w:fill="EAF1F4" w:color="auto" w:val="clear"/>
            <w:tcMar>
              <w:top w:type="dxa" w:w="70"/>
              <w:left w:type="dxa" w:w="100"/>
              <w:bottom w:type="dxa" w:w="70"/>
              <w:right w:type="dxa" w:w="100"/>
            </w:tcMar>
          </w:tcPr>
          <w:p>
            <w:r>
              <w:rPr>
                <w:sz w:val="20"/>
                <w:szCs w:val="20"/>
              </w:rPr>
              <w:t xml:space="preserve">Maintain ledgers for all accounts: income, expense, assets, liabilities, AR, AP.</w:t>
            </w:r>
          </w:p>
        </w:tc>
        <w:tc>
          <w:tcPr>
            <w:tcW w:type="dxa" w:w="1450"/>
            <w:shd w:fill="EAF1F4" w:color="auto" w:val="clear"/>
            <w:tcMar>
              <w:top w:type="dxa" w:w="70"/>
              <w:left w:type="dxa" w:w="100"/>
              <w:bottom w:type="dxa" w:w="70"/>
              <w:right w:type="dxa" w:w="100"/>
            </w:tcMar>
          </w:tcPr>
          <w:p>
            <w:r>
              <w:rPr>
                <w:sz w:val="20"/>
                <w:szCs w:val="20"/>
              </w:rPr>
              <w:t xml:space="preserve">Must</w:t>
            </w:r>
          </w:p>
        </w:tc>
      </w:tr>
      <w:tr>
        <w:tc>
          <w:tcPr>
            <w:tcW w:type="dxa" w:w="1000"/>
            <w:shd w:fill="FFFFFF" w:color="auto" w:val="clear"/>
            <w:tcMar>
              <w:top w:type="dxa" w:w="70"/>
              <w:left w:type="dxa" w:w="100"/>
              <w:bottom w:type="dxa" w:w="70"/>
              <w:right w:type="dxa" w:w="100"/>
            </w:tcMar>
          </w:tcPr>
          <w:p>
            <w:r>
              <w:rPr>
                <w:sz w:val="20"/>
                <w:szCs w:val="20"/>
              </w:rPr>
              <w:t xml:space="preserve">BR-6.3</w:t>
            </w:r>
          </w:p>
        </w:tc>
        <w:tc>
          <w:tcPr>
            <w:tcW w:type="dxa" w:w="6900"/>
            <w:shd w:fill="FFFFFF" w:color="auto" w:val="clear"/>
            <w:tcMar>
              <w:top w:type="dxa" w:w="70"/>
              <w:left w:type="dxa" w:w="100"/>
              <w:bottom w:type="dxa" w:w="70"/>
              <w:right w:type="dxa" w:w="100"/>
            </w:tcMar>
          </w:tcPr>
          <w:p>
            <w:r>
              <w:rPr>
                <w:sz w:val="20"/>
                <w:szCs w:val="20"/>
              </w:rPr>
              <w:t xml:space="preserve">Prevent postings that would break the accounting equation or fundamental double-entry integrity.</w:t>
            </w:r>
          </w:p>
        </w:tc>
        <w:tc>
          <w:tcPr>
            <w:tcW w:type="dxa" w:w="1450"/>
            <w:shd w:fill="FFFFFF" w:color="auto" w:val="clear"/>
            <w:tcMar>
              <w:top w:type="dxa" w:w="70"/>
              <w:left w:type="dxa" w:w="100"/>
              <w:bottom w:type="dxa" w:w="70"/>
              <w:right w:type="dxa" w:w="100"/>
            </w:tcMar>
          </w:tcPr>
          <w:p>
            <w:r>
              <w:rPr>
                <w:sz w:val="20"/>
                <w:szCs w:val="20"/>
              </w:rPr>
              <w:t xml:space="preserve">Must</w:t>
            </w:r>
          </w:p>
        </w:tc>
      </w:tr>
    </w:tbl>
    <w:p>
      <w:pPr>
        <w:spacing w:after="160"/>
      </w:pPr>
    </w:p>
    <w:p>
      <w:pPr>
        <w:pStyle w:val="Heading2"/>
        <w:spacing w:after="120" w:before="260"/>
      </w:pPr>
      <w:r>
        <w:t xml:space="preserve">BR-7  Inventory Management</w:t>
      </w:r>
    </w:p>
    <w:p>
      <w:pPr>
        <w:spacing w:after="160"/>
      </w:pPr>
      <w:r>
        <w:t xml:space="preserve">Product-based businesses need stock levels that always reflect what has actually been bought and sold.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50"/>
      </w:tblGrid>
      <w:tr>
        <w:trPr>
          <w:tblHeader/>
        </w:trPr>
        <w:tc>
          <w:tcPr>
            <w:tcW w:type="dxa" w:w="1000"/>
            <w:shd w:fill="1F3A5F" w:color="auto" w:val="clear"/>
            <w:tcMar>
              <w:top w:type="dxa" w:w="80"/>
              <w:left w:type="dxa" w:w="100"/>
              <w:bottom w:type="dxa" w:w="80"/>
              <w:right w:type="dxa" w:w="100"/>
            </w:tcMar>
          </w:tcPr>
          <w:p>
            <w:r>
              <w:rPr>
                <w:b/>
                <w:bCs/>
                <w:color w:val="FFFFFF"/>
                <w:sz w:val="20"/>
                <w:szCs w:val="20"/>
              </w:rPr>
              <w:t xml:space="preserve">ID</w:t>
            </w:r>
          </w:p>
        </w:tc>
        <w:tc>
          <w:tcPr>
            <w:tcW w:type="dxa" w:w="6900"/>
            <w:shd w:fill="1F3A5F" w:color="auto" w:val="clear"/>
            <w:tcMar>
              <w:top w:type="dxa" w:w="80"/>
              <w:left w:type="dxa" w:w="100"/>
              <w:bottom w:type="dxa" w:w="80"/>
              <w:right w:type="dxa" w:w="100"/>
            </w:tcMar>
          </w:tcPr>
          <w:p>
            <w:r>
              <w:rPr>
                <w:b/>
                <w:bCs/>
                <w:color w:val="FFFFFF"/>
                <w:sz w:val="20"/>
                <w:szCs w:val="20"/>
              </w:rPr>
              <w:t xml:space="preserve">Requirement</w:t>
            </w:r>
          </w:p>
        </w:tc>
        <w:tc>
          <w:tcPr>
            <w:tcW w:type="dxa" w:w="1450"/>
            <w:shd w:fill="1F3A5F" w:color="auto" w:val="clear"/>
            <w:tcMar>
              <w:top w:type="dxa" w:w="80"/>
              <w:left w:type="dxa" w:w="100"/>
              <w:bottom w:type="dxa" w:w="80"/>
              <w:right w:type="dxa" w:w="100"/>
            </w:tcMar>
          </w:tcPr>
          <w:p>
            <w:r>
              <w:rPr>
                <w:b/>
                <w:bCs/>
                <w:color w:val="FFFFFF"/>
                <w:sz w:val="20"/>
                <w:szCs w:val="20"/>
              </w:rPr>
              <w:t xml:space="preserve">Priority</w:t>
            </w:r>
          </w:p>
        </w:tc>
      </w:tr>
      <w:tr>
        <w:tc>
          <w:tcPr>
            <w:tcW w:type="dxa" w:w="1000"/>
            <w:shd w:fill="FFFFFF" w:color="auto" w:val="clear"/>
            <w:tcMar>
              <w:top w:type="dxa" w:w="70"/>
              <w:left w:type="dxa" w:w="100"/>
              <w:bottom w:type="dxa" w:w="70"/>
              <w:right w:type="dxa" w:w="100"/>
            </w:tcMar>
          </w:tcPr>
          <w:p>
            <w:r>
              <w:rPr>
                <w:sz w:val="20"/>
                <w:szCs w:val="20"/>
              </w:rPr>
              <w:t xml:space="preserve">BR-7.1</w:t>
            </w:r>
          </w:p>
        </w:tc>
        <w:tc>
          <w:tcPr>
            <w:tcW w:type="dxa" w:w="6900"/>
            <w:shd w:fill="FFFFFF" w:color="auto" w:val="clear"/>
            <w:tcMar>
              <w:top w:type="dxa" w:w="70"/>
              <w:left w:type="dxa" w:w="100"/>
              <w:bottom w:type="dxa" w:w="70"/>
              <w:right w:type="dxa" w:w="100"/>
            </w:tcMar>
          </w:tcPr>
          <w:p>
            <w:r>
              <w:rPr>
                <w:sz w:val="20"/>
                <w:szCs w:val="20"/>
              </w:rPr>
              <w:t xml:space="preserve">Automatically increase/decrease stock on purchase and sale transactions.</w:t>
            </w:r>
          </w:p>
        </w:tc>
        <w:tc>
          <w:tcPr>
            <w:tcW w:type="dxa" w:w="1450"/>
            <w:shd w:fill="FFFFFF" w:color="auto" w:val="clear"/>
            <w:tcMar>
              <w:top w:type="dxa" w:w="70"/>
              <w:left w:type="dxa" w:w="100"/>
              <w:bottom w:type="dxa" w:w="70"/>
              <w:right w:type="dxa" w:w="100"/>
            </w:tcMar>
          </w:tcPr>
          <w:p>
            <w:r>
              <w:rPr>
                <w:sz w:val="20"/>
                <w:szCs w:val="20"/>
              </w:rPr>
              <w:t xml:space="preserve">Must</w:t>
            </w:r>
          </w:p>
        </w:tc>
      </w:tr>
      <w:tr>
        <w:tc>
          <w:tcPr>
            <w:tcW w:type="dxa" w:w="1000"/>
            <w:shd w:fill="EAF1F4" w:color="auto" w:val="clear"/>
            <w:tcMar>
              <w:top w:type="dxa" w:w="70"/>
              <w:left w:type="dxa" w:w="100"/>
              <w:bottom w:type="dxa" w:w="70"/>
              <w:right w:type="dxa" w:w="100"/>
            </w:tcMar>
          </w:tcPr>
          <w:p>
            <w:r>
              <w:rPr>
                <w:sz w:val="20"/>
                <w:szCs w:val="20"/>
              </w:rPr>
              <w:t xml:space="preserve">BR-7.2</w:t>
            </w:r>
          </w:p>
        </w:tc>
        <w:tc>
          <w:tcPr>
            <w:tcW w:type="dxa" w:w="6900"/>
            <w:shd w:fill="EAF1F4" w:color="auto" w:val="clear"/>
            <w:tcMar>
              <w:top w:type="dxa" w:w="70"/>
              <w:left w:type="dxa" w:w="100"/>
              <w:bottom w:type="dxa" w:w="70"/>
              <w:right w:type="dxa" w:w="100"/>
            </w:tcMar>
          </w:tcPr>
          <w:p>
            <w:r>
              <w:rPr>
                <w:sz w:val="20"/>
                <w:szCs w:val="20"/>
              </w:rPr>
              <w:t xml:space="preserve">Support multiple warehouses and stock transfers between them.</w:t>
            </w:r>
          </w:p>
        </w:tc>
        <w:tc>
          <w:tcPr>
            <w:tcW w:type="dxa" w:w="1450"/>
            <w:shd w:fill="EAF1F4" w:color="auto" w:val="clear"/>
            <w:tcMar>
              <w:top w:type="dxa" w:w="70"/>
              <w:left w:type="dxa" w:w="100"/>
              <w:bottom w:type="dxa" w:w="70"/>
              <w:right w:type="dxa" w:w="100"/>
            </w:tcMar>
          </w:tcPr>
          <w:p>
            <w:r>
              <w:rPr>
                <w:sz w:val="20"/>
                <w:szCs w:val="20"/>
              </w:rPr>
              <w:t xml:space="preserve">Should</w:t>
            </w:r>
          </w:p>
        </w:tc>
      </w:tr>
      <w:tr>
        <w:tc>
          <w:tcPr>
            <w:tcW w:type="dxa" w:w="1000"/>
            <w:shd w:fill="FFFFFF" w:color="auto" w:val="clear"/>
            <w:tcMar>
              <w:top w:type="dxa" w:w="70"/>
              <w:left w:type="dxa" w:w="100"/>
              <w:bottom w:type="dxa" w:w="70"/>
              <w:right w:type="dxa" w:w="100"/>
            </w:tcMar>
          </w:tcPr>
          <w:p>
            <w:r>
              <w:rPr>
                <w:sz w:val="20"/>
                <w:szCs w:val="20"/>
              </w:rPr>
              <w:t xml:space="preserve">BR-7.3</w:t>
            </w:r>
          </w:p>
        </w:tc>
        <w:tc>
          <w:tcPr>
            <w:tcW w:type="dxa" w:w="6900"/>
            <w:shd w:fill="FFFFFF" w:color="auto" w:val="clear"/>
            <w:tcMar>
              <w:top w:type="dxa" w:w="70"/>
              <w:left w:type="dxa" w:w="100"/>
              <w:bottom w:type="dxa" w:w="70"/>
              <w:right w:type="dxa" w:w="100"/>
            </w:tcMar>
          </w:tcPr>
          <w:p>
            <w:r>
              <w:rPr>
                <w:sz w:val="20"/>
                <w:szCs w:val="20"/>
              </w:rPr>
              <w:t xml:space="preserve">Support batch, serial number, and expiry tracking.</w:t>
            </w:r>
          </w:p>
        </w:tc>
        <w:tc>
          <w:tcPr>
            <w:tcW w:type="dxa" w:w="1450"/>
            <w:shd w:fill="FFFFFF" w:color="auto" w:val="clear"/>
            <w:tcMar>
              <w:top w:type="dxa" w:w="70"/>
              <w:left w:type="dxa" w:w="100"/>
              <w:bottom w:type="dxa" w:w="70"/>
              <w:right w:type="dxa" w:w="100"/>
            </w:tcMar>
          </w:tcPr>
          <w:p>
            <w:r>
              <w:rPr>
                <w:sz w:val="20"/>
                <w:szCs w:val="20"/>
              </w:rPr>
              <w:t xml:space="preserve">Could</w:t>
            </w:r>
          </w:p>
        </w:tc>
      </w:tr>
      <w:tr>
        <w:tc>
          <w:tcPr>
            <w:tcW w:type="dxa" w:w="1000"/>
            <w:shd w:fill="EAF1F4" w:color="auto" w:val="clear"/>
            <w:tcMar>
              <w:top w:type="dxa" w:w="70"/>
              <w:left w:type="dxa" w:w="100"/>
              <w:bottom w:type="dxa" w:w="70"/>
              <w:right w:type="dxa" w:w="100"/>
            </w:tcMar>
          </w:tcPr>
          <w:p>
            <w:r>
              <w:rPr>
                <w:sz w:val="20"/>
                <w:szCs w:val="20"/>
              </w:rPr>
              <w:t xml:space="preserve">BR-7.4</w:t>
            </w:r>
          </w:p>
        </w:tc>
        <w:tc>
          <w:tcPr>
            <w:tcW w:type="dxa" w:w="6900"/>
            <w:shd w:fill="EAF1F4" w:color="auto" w:val="clear"/>
            <w:tcMar>
              <w:top w:type="dxa" w:w="70"/>
              <w:left w:type="dxa" w:w="100"/>
              <w:bottom w:type="dxa" w:w="70"/>
              <w:right w:type="dxa" w:w="100"/>
            </w:tcMar>
          </w:tcPr>
          <w:p>
            <w:r>
              <w:rPr>
                <w:sz w:val="20"/>
                <w:szCs w:val="20"/>
              </w:rPr>
              <w:t xml:space="preserve">Provide stock valuation and low-stock alerting.</w:t>
            </w:r>
          </w:p>
        </w:tc>
        <w:tc>
          <w:tcPr>
            <w:tcW w:type="dxa" w:w="1450"/>
            <w:shd w:fill="EAF1F4" w:color="auto" w:val="clear"/>
            <w:tcMar>
              <w:top w:type="dxa" w:w="70"/>
              <w:left w:type="dxa" w:w="100"/>
              <w:bottom w:type="dxa" w:w="70"/>
              <w:right w:type="dxa" w:w="100"/>
            </w:tcMar>
          </w:tcPr>
          <w:p>
            <w:r>
              <w:rPr>
                <w:sz w:val="20"/>
                <w:szCs w:val="20"/>
              </w:rPr>
              <w:t xml:space="preserve">Should</w:t>
            </w:r>
          </w:p>
        </w:tc>
      </w:tr>
    </w:tbl>
    <w:p>
      <w:pPr>
        <w:spacing w:after="160"/>
      </w:pPr>
    </w:p>
    <w:p>
      <w:pPr>
        <w:pStyle w:val="Heading2"/>
        <w:spacing w:after="120" w:before="260"/>
      </w:pPr>
      <w:r>
        <w:t xml:space="preserve">BR-8  Receivables &amp; Payables</w:t>
      </w:r>
    </w:p>
    <w:p>
      <w:pPr>
        <w:spacing w:after="160"/>
      </w:pPr>
      <w:r>
        <w:t xml:space="preserve">The business needs an always-current picture of who owes it money and who it owes money to, at the bill level.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50"/>
      </w:tblGrid>
      <w:tr>
        <w:trPr>
          <w:tblHeader/>
        </w:trPr>
        <w:tc>
          <w:tcPr>
            <w:tcW w:type="dxa" w:w="1000"/>
            <w:shd w:fill="1F3A5F" w:color="auto" w:val="clear"/>
            <w:tcMar>
              <w:top w:type="dxa" w:w="80"/>
              <w:left w:type="dxa" w:w="100"/>
              <w:bottom w:type="dxa" w:w="80"/>
              <w:right w:type="dxa" w:w="100"/>
            </w:tcMar>
          </w:tcPr>
          <w:p>
            <w:r>
              <w:rPr>
                <w:b/>
                <w:bCs/>
                <w:color w:val="FFFFFF"/>
                <w:sz w:val="20"/>
                <w:szCs w:val="20"/>
              </w:rPr>
              <w:t xml:space="preserve">ID</w:t>
            </w:r>
          </w:p>
        </w:tc>
        <w:tc>
          <w:tcPr>
            <w:tcW w:type="dxa" w:w="6900"/>
            <w:shd w:fill="1F3A5F" w:color="auto" w:val="clear"/>
            <w:tcMar>
              <w:top w:type="dxa" w:w="80"/>
              <w:left w:type="dxa" w:w="100"/>
              <w:bottom w:type="dxa" w:w="80"/>
              <w:right w:type="dxa" w:w="100"/>
            </w:tcMar>
          </w:tcPr>
          <w:p>
            <w:r>
              <w:rPr>
                <w:b/>
                <w:bCs/>
                <w:color w:val="FFFFFF"/>
                <w:sz w:val="20"/>
                <w:szCs w:val="20"/>
              </w:rPr>
              <w:t xml:space="preserve">Requirement</w:t>
            </w:r>
          </w:p>
        </w:tc>
        <w:tc>
          <w:tcPr>
            <w:tcW w:type="dxa" w:w="1450"/>
            <w:shd w:fill="1F3A5F" w:color="auto" w:val="clear"/>
            <w:tcMar>
              <w:top w:type="dxa" w:w="80"/>
              <w:left w:type="dxa" w:w="100"/>
              <w:bottom w:type="dxa" w:w="80"/>
              <w:right w:type="dxa" w:w="100"/>
            </w:tcMar>
          </w:tcPr>
          <w:p>
            <w:r>
              <w:rPr>
                <w:b/>
                <w:bCs/>
                <w:color w:val="FFFFFF"/>
                <w:sz w:val="20"/>
                <w:szCs w:val="20"/>
              </w:rPr>
              <w:t xml:space="preserve">Priority</w:t>
            </w:r>
          </w:p>
        </w:tc>
      </w:tr>
      <w:tr>
        <w:tc>
          <w:tcPr>
            <w:tcW w:type="dxa" w:w="1000"/>
            <w:shd w:fill="FFFFFF" w:color="auto" w:val="clear"/>
            <w:tcMar>
              <w:top w:type="dxa" w:w="70"/>
              <w:left w:type="dxa" w:w="100"/>
              <w:bottom w:type="dxa" w:w="70"/>
              <w:right w:type="dxa" w:w="100"/>
            </w:tcMar>
          </w:tcPr>
          <w:p>
            <w:r>
              <w:rPr>
                <w:sz w:val="20"/>
                <w:szCs w:val="20"/>
              </w:rPr>
              <w:t xml:space="preserve">BR-8.1</w:t>
            </w:r>
          </w:p>
        </w:tc>
        <w:tc>
          <w:tcPr>
            <w:tcW w:type="dxa" w:w="6900"/>
            <w:shd w:fill="FFFFFF" w:color="auto" w:val="clear"/>
            <w:tcMar>
              <w:top w:type="dxa" w:w="70"/>
              <w:left w:type="dxa" w:w="100"/>
              <w:bottom w:type="dxa" w:w="70"/>
              <w:right w:type="dxa" w:w="100"/>
            </w:tcMar>
          </w:tcPr>
          <w:p>
            <w:r>
              <w:rPr>
                <w:sz w:val="20"/>
                <w:szCs w:val="20"/>
              </w:rPr>
              <w:t xml:space="preserve">Track outstanding amounts per customer invoice (bill-wise AR).</w:t>
            </w:r>
          </w:p>
        </w:tc>
        <w:tc>
          <w:tcPr>
            <w:tcW w:type="dxa" w:w="1450"/>
            <w:shd w:fill="FFFFFF" w:color="auto" w:val="clear"/>
            <w:tcMar>
              <w:top w:type="dxa" w:w="70"/>
              <w:left w:type="dxa" w:w="100"/>
              <w:bottom w:type="dxa" w:w="70"/>
              <w:right w:type="dxa" w:w="100"/>
            </w:tcMar>
          </w:tcPr>
          <w:p>
            <w:r>
              <w:rPr>
                <w:sz w:val="20"/>
                <w:szCs w:val="20"/>
              </w:rPr>
              <w:t xml:space="preserve">Must</w:t>
            </w:r>
          </w:p>
        </w:tc>
      </w:tr>
      <w:tr>
        <w:tc>
          <w:tcPr>
            <w:tcW w:type="dxa" w:w="1000"/>
            <w:shd w:fill="EAF1F4" w:color="auto" w:val="clear"/>
            <w:tcMar>
              <w:top w:type="dxa" w:w="70"/>
              <w:left w:type="dxa" w:w="100"/>
              <w:bottom w:type="dxa" w:w="70"/>
              <w:right w:type="dxa" w:w="100"/>
            </w:tcMar>
          </w:tcPr>
          <w:p>
            <w:r>
              <w:rPr>
                <w:sz w:val="20"/>
                <w:szCs w:val="20"/>
              </w:rPr>
              <w:t xml:space="preserve">BR-8.2</w:t>
            </w:r>
          </w:p>
        </w:tc>
        <w:tc>
          <w:tcPr>
            <w:tcW w:type="dxa" w:w="6900"/>
            <w:shd w:fill="EAF1F4" w:color="auto" w:val="clear"/>
            <w:tcMar>
              <w:top w:type="dxa" w:w="70"/>
              <w:left w:type="dxa" w:w="100"/>
              <w:bottom w:type="dxa" w:w="70"/>
              <w:right w:type="dxa" w:w="100"/>
            </w:tcMar>
          </w:tcPr>
          <w:p>
            <w:r>
              <w:rPr>
                <w:sz w:val="20"/>
                <w:szCs w:val="20"/>
              </w:rPr>
              <w:t xml:space="preserve">Track outstanding amounts per supplier invoice (bill-wise AP).</w:t>
            </w:r>
          </w:p>
        </w:tc>
        <w:tc>
          <w:tcPr>
            <w:tcW w:type="dxa" w:w="1450"/>
            <w:shd w:fill="EAF1F4" w:color="auto" w:val="clear"/>
            <w:tcMar>
              <w:top w:type="dxa" w:w="70"/>
              <w:left w:type="dxa" w:w="100"/>
              <w:bottom w:type="dxa" w:w="70"/>
              <w:right w:type="dxa" w:w="100"/>
            </w:tcMar>
          </w:tcPr>
          <w:p>
            <w:r>
              <w:rPr>
                <w:sz w:val="20"/>
                <w:szCs w:val="20"/>
              </w:rPr>
              <w:t xml:space="preserve">Must</w:t>
            </w:r>
          </w:p>
        </w:tc>
      </w:tr>
      <w:tr>
        <w:tc>
          <w:tcPr>
            <w:tcW w:type="dxa" w:w="1000"/>
            <w:shd w:fill="FFFFFF" w:color="auto" w:val="clear"/>
            <w:tcMar>
              <w:top w:type="dxa" w:w="70"/>
              <w:left w:type="dxa" w:w="100"/>
              <w:bottom w:type="dxa" w:w="70"/>
              <w:right w:type="dxa" w:w="100"/>
            </w:tcMar>
          </w:tcPr>
          <w:p>
            <w:r>
              <w:rPr>
                <w:sz w:val="20"/>
                <w:szCs w:val="20"/>
              </w:rPr>
              <w:t xml:space="preserve">BR-8.3</w:t>
            </w:r>
          </w:p>
        </w:tc>
        <w:tc>
          <w:tcPr>
            <w:tcW w:type="dxa" w:w="6900"/>
            <w:shd w:fill="FFFFFF" w:color="auto" w:val="clear"/>
            <w:tcMar>
              <w:top w:type="dxa" w:w="70"/>
              <w:left w:type="dxa" w:w="100"/>
              <w:bottom w:type="dxa" w:w="70"/>
              <w:right w:type="dxa" w:w="100"/>
            </w:tcMar>
          </w:tcPr>
          <w:p>
            <w:r>
              <w:rPr>
                <w:sz w:val="20"/>
                <w:szCs w:val="20"/>
              </w:rPr>
              <w:t xml:space="preserve">Support partial payments and automatic outstanding-balance recalculation.</w:t>
            </w:r>
          </w:p>
        </w:tc>
        <w:tc>
          <w:tcPr>
            <w:tcW w:type="dxa" w:w="1450"/>
            <w:shd w:fill="FFFFFF" w:color="auto" w:val="clear"/>
            <w:tcMar>
              <w:top w:type="dxa" w:w="70"/>
              <w:left w:type="dxa" w:w="100"/>
              <w:bottom w:type="dxa" w:w="70"/>
              <w:right w:type="dxa" w:w="100"/>
            </w:tcMar>
          </w:tcPr>
          <w:p>
            <w:r>
              <w:rPr>
                <w:sz w:val="20"/>
                <w:szCs w:val="20"/>
              </w:rPr>
              <w:t xml:space="preserve">Must</w:t>
            </w:r>
          </w:p>
        </w:tc>
      </w:tr>
    </w:tbl>
    <w:p>
      <w:pPr>
        <w:spacing w:after="160"/>
      </w:pPr>
    </w:p>
    <w:p>
      <w:pPr>
        <w:pStyle w:val="Heading2"/>
        <w:spacing w:after="120" w:before="260"/>
      </w:pPr>
      <w:r>
        <w:t xml:space="preserve">BR-9  Banking &amp; Reconciliation</w:t>
      </w:r>
    </w:p>
    <w:p>
      <w:pPr>
        <w:spacing w:after="160"/>
      </w:pPr>
      <w:r>
        <w:t xml:space="preserve">Book entries need to be verifiably backed by real bank movement.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50"/>
      </w:tblGrid>
      <w:tr>
        <w:trPr>
          <w:tblHeader/>
        </w:trPr>
        <w:tc>
          <w:tcPr>
            <w:tcW w:type="dxa" w:w="1000"/>
            <w:shd w:fill="1F3A5F" w:color="auto" w:val="clear"/>
            <w:tcMar>
              <w:top w:type="dxa" w:w="80"/>
              <w:left w:type="dxa" w:w="100"/>
              <w:bottom w:type="dxa" w:w="80"/>
              <w:right w:type="dxa" w:w="100"/>
            </w:tcMar>
          </w:tcPr>
          <w:p>
            <w:r>
              <w:rPr>
                <w:b/>
                <w:bCs/>
                <w:color w:val="FFFFFF"/>
                <w:sz w:val="20"/>
                <w:szCs w:val="20"/>
              </w:rPr>
              <w:t xml:space="preserve">ID</w:t>
            </w:r>
          </w:p>
        </w:tc>
        <w:tc>
          <w:tcPr>
            <w:tcW w:type="dxa" w:w="6900"/>
            <w:shd w:fill="1F3A5F" w:color="auto" w:val="clear"/>
            <w:tcMar>
              <w:top w:type="dxa" w:w="80"/>
              <w:left w:type="dxa" w:w="100"/>
              <w:bottom w:type="dxa" w:w="80"/>
              <w:right w:type="dxa" w:w="100"/>
            </w:tcMar>
          </w:tcPr>
          <w:p>
            <w:r>
              <w:rPr>
                <w:b/>
                <w:bCs/>
                <w:color w:val="FFFFFF"/>
                <w:sz w:val="20"/>
                <w:szCs w:val="20"/>
              </w:rPr>
              <w:t xml:space="preserve">Requirement</w:t>
            </w:r>
          </w:p>
        </w:tc>
        <w:tc>
          <w:tcPr>
            <w:tcW w:type="dxa" w:w="1450"/>
            <w:shd w:fill="1F3A5F" w:color="auto" w:val="clear"/>
            <w:tcMar>
              <w:top w:type="dxa" w:w="80"/>
              <w:left w:type="dxa" w:w="100"/>
              <w:bottom w:type="dxa" w:w="80"/>
              <w:right w:type="dxa" w:w="100"/>
            </w:tcMar>
          </w:tcPr>
          <w:p>
            <w:r>
              <w:rPr>
                <w:b/>
                <w:bCs/>
                <w:color w:val="FFFFFF"/>
                <w:sz w:val="20"/>
                <w:szCs w:val="20"/>
              </w:rPr>
              <w:t xml:space="preserve">Priority</w:t>
            </w:r>
          </w:p>
        </w:tc>
      </w:tr>
      <w:tr>
        <w:tc>
          <w:tcPr>
            <w:tcW w:type="dxa" w:w="1000"/>
            <w:shd w:fill="FFFFFF" w:color="auto" w:val="clear"/>
            <w:tcMar>
              <w:top w:type="dxa" w:w="70"/>
              <w:left w:type="dxa" w:w="100"/>
              <w:bottom w:type="dxa" w:w="70"/>
              <w:right w:type="dxa" w:w="100"/>
            </w:tcMar>
          </w:tcPr>
          <w:p>
            <w:r>
              <w:rPr>
                <w:sz w:val="20"/>
                <w:szCs w:val="20"/>
              </w:rPr>
              <w:t xml:space="preserve">BR-9.1</w:t>
            </w:r>
          </w:p>
        </w:tc>
        <w:tc>
          <w:tcPr>
            <w:tcW w:type="dxa" w:w="6900"/>
            <w:shd w:fill="FFFFFF" w:color="auto" w:val="clear"/>
            <w:tcMar>
              <w:top w:type="dxa" w:w="70"/>
              <w:left w:type="dxa" w:w="100"/>
              <w:bottom w:type="dxa" w:w="70"/>
              <w:right w:type="dxa" w:w="100"/>
            </w:tcMar>
          </w:tcPr>
          <w:p>
            <w:r>
              <w:rPr>
                <w:sz w:val="20"/>
                <w:szCs w:val="20"/>
              </w:rPr>
              <w:t xml:space="preserve">Import bank statements via file upload or bank API/feed.</w:t>
            </w:r>
          </w:p>
        </w:tc>
        <w:tc>
          <w:tcPr>
            <w:tcW w:type="dxa" w:w="1450"/>
            <w:shd w:fill="FFFFFF" w:color="auto" w:val="clear"/>
            <w:tcMar>
              <w:top w:type="dxa" w:w="70"/>
              <w:left w:type="dxa" w:w="100"/>
              <w:bottom w:type="dxa" w:w="70"/>
              <w:right w:type="dxa" w:w="100"/>
            </w:tcMar>
          </w:tcPr>
          <w:p>
            <w:r>
              <w:rPr>
                <w:sz w:val="20"/>
                <w:szCs w:val="20"/>
              </w:rPr>
              <w:t xml:space="preserve">Should</w:t>
            </w:r>
          </w:p>
        </w:tc>
      </w:tr>
      <w:tr>
        <w:tc>
          <w:tcPr>
            <w:tcW w:type="dxa" w:w="1000"/>
            <w:shd w:fill="EAF1F4" w:color="auto" w:val="clear"/>
            <w:tcMar>
              <w:top w:type="dxa" w:w="70"/>
              <w:left w:type="dxa" w:w="100"/>
              <w:bottom w:type="dxa" w:w="70"/>
              <w:right w:type="dxa" w:w="100"/>
            </w:tcMar>
          </w:tcPr>
          <w:p>
            <w:r>
              <w:rPr>
                <w:sz w:val="20"/>
                <w:szCs w:val="20"/>
              </w:rPr>
              <w:t xml:space="preserve">BR-9.2</w:t>
            </w:r>
          </w:p>
        </w:tc>
        <w:tc>
          <w:tcPr>
            <w:tcW w:type="dxa" w:w="6900"/>
            <w:shd w:fill="EAF1F4" w:color="auto" w:val="clear"/>
            <w:tcMar>
              <w:top w:type="dxa" w:w="70"/>
              <w:left w:type="dxa" w:w="100"/>
              <w:bottom w:type="dxa" w:w="70"/>
              <w:right w:type="dxa" w:w="100"/>
            </w:tcMar>
          </w:tcPr>
          <w:p>
            <w:r>
              <w:rPr>
                <w:sz w:val="20"/>
                <w:szCs w:val="20"/>
              </w:rPr>
              <w:t xml:space="preserve">Automatically match bank lines against book entries.</w:t>
            </w:r>
          </w:p>
        </w:tc>
        <w:tc>
          <w:tcPr>
            <w:tcW w:type="dxa" w:w="1450"/>
            <w:shd w:fill="EAF1F4" w:color="auto" w:val="clear"/>
            <w:tcMar>
              <w:top w:type="dxa" w:w="70"/>
              <w:left w:type="dxa" w:w="100"/>
              <w:bottom w:type="dxa" w:w="70"/>
              <w:right w:type="dxa" w:w="100"/>
            </w:tcMar>
          </w:tcPr>
          <w:p>
            <w:r>
              <w:rPr>
                <w:sz w:val="20"/>
                <w:szCs w:val="20"/>
              </w:rPr>
              <w:t xml:space="preserve">Should</w:t>
            </w:r>
          </w:p>
        </w:tc>
      </w:tr>
      <w:tr>
        <w:tc>
          <w:tcPr>
            <w:tcW w:type="dxa" w:w="1000"/>
            <w:shd w:fill="FFFFFF" w:color="auto" w:val="clear"/>
            <w:tcMar>
              <w:top w:type="dxa" w:w="70"/>
              <w:left w:type="dxa" w:w="100"/>
              <w:bottom w:type="dxa" w:w="70"/>
              <w:right w:type="dxa" w:w="100"/>
            </w:tcMar>
          </w:tcPr>
          <w:p>
            <w:r>
              <w:rPr>
                <w:sz w:val="20"/>
                <w:szCs w:val="20"/>
              </w:rPr>
              <w:t xml:space="preserve">BR-9.3</w:t>
            </w:r>
          </w:p>
        </w:tc>
        <w:tc>
          <w:tcPr>
            <w:tcW w:type="dxa" w:w="6900"/>
            <w:shd w:fill="FFFFFF" w:color="auto" w:val="clear"/>
            <w:tcMar>
              <w:top w:type="dxa" w:w="70"/>
              <w:left w:type="dxa" w:w="100"/>
              <w:bottom w:type="dxa" w:w="70"/>
              <w:right w:type="dxa" w:w="100"/>
            </w:tcMar>
          </w:tcPr>
          <w:p>
            <w:r>
              <w:rPr>
                <w:sz w:val="20"/>
                <w:szCs w:val="20"/>
              </w:rPr>
              <w:t xml:space="preserve">Flag unmatched transactions on both sides for user review.</w:t>
            </w:r>
          </w:p>
        </w:tc>
        <w:tc>
          <w:tcPr>
            <w:tcW w:type="dxa" w:w="1450"/>
            <w:shd w:fill="FFFFFF" w:color="auto" w:val="clear"/>
            <w:tcMar>
              <w:top w:type="dxa" w:w="70"/>
              <w:left w:type="dxa" w:w="100"/>
              <w:bottom w:type="dxa" w:w="70"/>
              <w:right w:type="dxa" w:w="100"/>
            </w:tcMar>
          </w:tcPr>
          <w:p>
            <w:r>
              <w:rPr>
                <w:sz w:val="20"/>
                <w:szCs w:val="20"/>
              </w:rPr>
              <w:t xml:space="preserve">Must</w:t>
            </w:r>
          </w:p>
        </w:tc>
      </w:tr>
    </w:tbl>
    <w:p>
      <w:pPr>
        <w:spacing w:after="160"/>
      </w:pPr>
    </w:p>
    <w:p>
      <w:pPr>
        <w:pStyle w:val="Heading2"/>
        <w:spacing w:after="120" w:before="260"/>
      </w:pPr>
      <w:r>
        <w:t xml:space="preserve">BR-10  GST Reconciliation</w:t>
      </w:r>
    </w:p>
    <w:p>
      <w:pPr>
        <w:spacing w:after="160"/>
      </w:pPr>
      <w:r>
        <w:t xml:space="preserve">The business is financially exposed if its purchase records disagree with what suppliers have reported to the GST department.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50"/>
      </w:tblGrid>
      <w:tr>
        <w:trPr>
          <w:tblHeader/>
        </w:trPr>
        <w:tc>
          <w:tcPr>
            <w:tcW w:type="dxa" w:w="1000"/>
            <w:shd w:fill="1F3A5F" w:color="auto" w:val="clear"/>
            <w:tcMar>
              <w:top w:type="dxa" w:w="80"/>
              <w:left w:type="dxa" w:w="100"/>
              <w:bottom w:type="dxa" w:w="80"/>
              <w:right w:type="dxa" w:w="100"/>
            </w:tcMar>
          </w:tcPr>
          <w:p>
            <w:r>
              <w:rPr>
                <w:b/>
                <w:bCs/>
                <w:color w:val="FFFFFF"/>
                <w:sz w:val="20"/>
                <w:szCs w:val="20"/>
              </w:rPr>
              <w:t xml:space="preserve">ID</w:t>
            </w:r>
          </w:p>
        </w:tc>
        <w:tc>
          <w:tcPr>
            <w:tcW w:type="dxa" w:w="6900"/>
            <w:shd w:fill="1F3A5F" w:color="auto" w:val="clear"/>
            <w:tcMar>
              <w:top w:type="dxa" w:w="80"/>
              <w:left w:type="dxa" w:w="100"/>
              <w:bottom w:type="dxa" w:w="80"/>
              <w:right w:type="dxa" w:w="100"/>
            </w:tcMar>
          </w:tcPr>
          <w:p>
            <w:r>
              <w:rPr>
                <w:b/>
                <w:bCs/>
                <w:color w:val="FFFFFF"/>
                <w:sz w:val="20"/>
                <w:szCs w:val="20"/>
              </w:rPr>
              <w:t xml:space="preserve">Requirement</w:t>
            </w:r>
          </w:p>
        </w:tc>
        <w:tc>
          <w:tcPr>
            <w:tcW w:type="dxa" w:w="1450"/>
            <w:shd w:fill="1F3A5F" w:color="auto" w:val="clear"/>
            <w:tcMar>
              <w:top w:type="dxa" w:w="80"/>
              <w:left w:type="dxa" w:w="100"/>
              <w:bottom w:type="dxa" w:w="80"/>
              <w:right w:type="dxa" w:w="100"/>
            </w:tcMar>
          </w:tcPr>
          <w:p>
            <w:r>
              <w:rPr>
                <w:b/>
                <w:bCs/>
                <w:color w:val="FFFFFF"/>
                <w:sz w:val="20"/>
                <w:szCs w:val="20"/>
              </w:rPr>
              <w:t xml:space="preserve">Priority</w:t>
            </w:r>
          </w:p>
        </w:tc>
      </w:tr>
      <w:tr>
        <w:tc>
          <w:tcPr>
            <w:tcW w:type="dxa" w:w="1000"/>
            <w:shd w:fill="FFFFFF" w:color="auto" w:val="clear"/>
            <w:tcMar>
              <w:top w:type="dxa" w:w="70"/>
              <w:left w:type="dxa" w:w="100"/>
              <w:bottom w:type="dxa" w:w="70"/>
              <w:right w:type="dxa" w:w="100"/>
            </w:tcMar>
          </w:tcPr>
          <w:p>
            <w:r>
              <w:rPr>
                <w:sz w:val="20"/>
                <w:szCs w:val="20"/>
              </w:rPr>
              <w:t xml:space="preserve">BR-10.1</w:t>
            </w:r>
          </w:p>
        </w:tc>
        <w:tc>
          <w:tcPr>
            <w:tcW w:type="dxa" w:w="6900"/>
            <w:shd w:fill="FFFFFF" w:color="auto" w:val="clear"/>
            <w:tcMar>
              <w:top w:type="dxa" w:w="70"/>
              <w:left w:type="dxa" w:w="100"/>
              <w:bottom w:type="dxa" w:w="70"/>
              <w:right w:type="dxa" w:w="100"/>
            </w:tcMar>
          </w:tcPr>
          <w:p>
            <w:r>
              <w:rPr>
                <w:sz w:val="20"/>
                <w:szCs w:val="20"/>
              </w:rPr>
              <w:t xml:space="preserve">Compare purchase records against GSTR-2B data received from GSTN.</w:t>
            </w:r>
          </w:p>
        </w:tc>
        <w:tc>
          <w:tcPr>
            <w:tcW w:type="dxa" w:w="1450"/>
            <w:shd w:fill="FFFFFF" w:color="auto" w:val="clear"/>
            <w:tcMar>
              <w:top w:type="dxa" w:w="70"/>
              <w:left w:type="dxa" w:w="100"/>
              <w:bottom w:type="dxa" w:w="70"/>
              <w:right w:type="dxa" w:w="100"/>
            </w:tcMar>
          </w:tcPr>
          <w:p>
            <w:r>
              <w:rPr>
                <w:sz w:val="20"/>
                <w:szCs w:val="20"/>
              </w:rPr>
              <w:t xml:space="preserve">Must</w:t>
            </w:r>
          </w:p>
        </w:tc>
      </w:tr>
      <w:tr>
        <w:tc>
          <w:tcPr>
            <w:tcW w:type="dxa" w:w="1000"/>
            <w:shd w:fill="EAF1F4" w:color="auto" w:val="clear"/>
            <w:tcMar>
              <w:top w:type="dxa" w:w="70"/>
              <w:left w:type="dxa" w:w="100"/>
              <w:bottom w:type="dxa" w:w="70"/>
              <w:right w:type="dxa" w:w="100"/>
            </w:tcMar>
          </w:tcPr>
          <w:p>
            <w:r>
              <w:rPr>
                <w:sz w:val="20"/>
                <w:szCs w:val="20"/>
              </w:rPr>
              <w:t xml:space="preserve">BR-10.2</w:t>
            </w:r>
          </w:p>
        </w:tc>
        <w:tc>
          <w:tcPr>
            <w:tcW w:type="dxa" w:w="6900"/>
            <w:shd w:fill="EAF1F4" w:color="auto" w:val="clear"/>
            <w:tcMar>
              <w:top w:type="dxa" w:w="70"/>
              <w:left w:type="dxa" w:w="100"/>
              <w:bottom w:type="dxa" w:w="70"/>
              <w:right w:type="dxa" w:w="100"/>
            </w:tcMar>
          </w:tcPr>
          <w:p>
            <w:r>
              <w:rPr>
                <w:sz w:val="20"/>
                <w:szCs w:val="20"/>
              </w:rPr>
              <w:t xml:space="preserve">Classify each comparison as matched, timing difference, review required, or high risk.</w:t>
            </w:r>
          </w:p>
        </w:tc>
        <w:tc>
          <w:tcPr>
            <w:tcW w:type="dxa" w:w="1450"/>
            <w:shd w:fill="EAF1F4" w:color="auto" w:val="clear"/>
            <w:tcMar>
              <w:top w:type="dxa" w:w="70"/>
              <w:left w:type="dxa" w:w="100"/>
              <w:bottom w:type="dxa" w:w="70"/>
              <w:right w:type="dxa" w:w="100"/>
            </w:tcMar>
          </w:tcPr>
          <w:p>
            <w:r>
              <w:rPr>
                <w:sz w:val="20"/>
                <w:szCs w:val="20"/>
              </w:rPr>
              <w:t xml:space="preserve">Must</w:t>
            </w:r>
          </w:p>
        </w:tc>
      </w:tr>
      <w:tr>
        <w:tc>
          <w:tcPr>
            <w:tcW w:type="dxa" w:w="1000"/>
            <w:shd w:fill="FFFFFF" w:color="auto" w:val="clear"/>
            <w:tcMar>
              <w:top w:type="dxa" w:w="70"/>
              <w:left w:type="dxa" w:w="100"/>
              <w:bottom w:type="dxa" w:w="70"/>
              <w:right w:type="dxa" w:w="100"/>
            </w:tcMar>
          </w:tcPr>
          <w:p>
            <w:r>
              <w:rPr>
                <w:sz w:val="20"/>
                <w:szCs w:val="20"/>
              </w:rPr>
              <w:t xml:space="preserve">BR-10.3</w:t>
            </w:r>
          </w:p>
        </w:tc>
        <w:tc>
          <w:tcPr>
            <w:tcW w:type="dxa" w:w="6900"/>
            <w:shd w:fill="FFFFFF" w:color="auto" w:val="clear"/>
            <w:tcMar>
              <w:top w:type="dxa" w:w="70"/>
              <w:left w:type="dxa" w:w="100"/>
              <w:bottom w:type="dxa" w:w="70"/>
              <w:right w:type="dxa" w:w="100"/>
            </w:tcMar>
          </w:tcPr>
          <w:p>
            <w:r>
              <w:rPr>
                <w:sz w:val="20"/>
                <w:szCs w:val="20"/>
              </w:rPr>
              <w:t xml:space="preserve">Provide an AI-generated, human-readable explanation of the likely cause of each mismatch.</w:t>
            </w:r>
          </w:p>
        </w:tc>
        <w:tc>
          <w:tcPr>
            <w:tcW w:type="dxa" w:w="1450"/>
            <w:shd w:fill="FFFFFF" w:color="auto" w:val="clear"/>
            <w:tcMar>
              <w:top w:type="dxa" w:w="70"/>
              <w:left w:type="dxa" w:w="100"/>
              <w:bottom w:type="dxa" w:w="70"/>
              <w:right w:type="dxa" w:w="100"/>
            </w:tcMar>
          </w:tcPr>
          <w:p>
            <w:r>
              <w:rPr>
                <w:sz w:val="20"/>
                <w:szCs w:val="20"/>
              </w:rPr>
              <w:t xml:space="preserve">Should</w:t>
            </w:r>
          </w:p>
        </w:tc>
      </w:tr>
      <w:tr>
        <w:tc>
          <w:tcPr>
            <w:tcW w:type="dxa" w:w="1000"/>
            <w:shd w:fill="EAF1F4" w:color="auto" w:val="clear"/>
            <w:tcMar>
              <w:top w:type="dxa" w:w="70"/>
              <w:left w:type="dxa" w:w="100"/>
              <w:bottom w:type="dxa" w:w="70"/>
              <w:right w:type="dxa" w:w="100"/>
            </w:tcMar>
          </w:tcPr>
          <w:p>
            <w:r>
              <w:rPr>
                <w:sz w:val="20"/>
                <w:szCs w:val="20"/>
              </w:rPr>
              <w:t xml:space="preserve">BR-10.4</w:t>
            </w:r>
          </w:p>
        </w:tc>
        <w:tc>
          <w:tcPr>
            <w:tcW w:type="dxa" w:w="6900"/>
            <w:shd w:fill="EAF1F4" w:color="auto" w:val="clear"/>
            <w:tcMar>
              <w:top w:type="dxa" w:w="70"/>
              <w:left w:type="dxa" w:w="100"/>
              <w:bottom w:type="dxa" w:w="70"/>
              <w:right w:type="dxa" w:w="100"/>
            </w:tcMar>
          </w:tcPr>
          <w:p>
            <w:r>
              <w:rPr>
                <w:sz w:val="20"/>
                <w:szCs w:val="20"/>
              </w:rPr>
              <w:t xml:space="preserve">Detect specific mismatch types: unreported supplier invoice, GSTIN mismatch, amount mismatch, rate difference, HSN difference, invoice-number mismatch, duplicate invoice, missing credit note, wrong tax period.</w:t>
            </w:r>
          </w:p>
        </w:tc>
        <w:tc>
          <w:tcPr>
            <w:tcW w:type="dxa" w:w="1450"/>
            <w:shd w:fill="EAF1F4" w:color="auto" w:val="clear"/>
            <w:tcMar>
              <w:top w:type="dxa" w:w="70"/>
              <w:left w:type="dxa" w:w="100"/>
              <w:bottom w:type="dxa" w:w="70"/>
              <w:right w:type="dxa" w:w="100"/>
            </w:tcMar>
          </w:tcPr>
          <w:p>
            <w:r>
              <w:rPr>
                <w:sz w:val="20"/>
                <w:szCs w:val="20"/>
              </w:rPr>
              <w:t xml:space="preserve">Must</w:t>
            </w:r>
          </w:p>
        </w:tc>
      </w:tr>
    </w:tbl>
    <w:p>
      <w:pPr>
        <w:spacing w:after="160"/>
      </w:pPr>
    </w:p>
    <w:p>
      <w:pPr>
        <w:pStyle w:val="Heading2"/>
        <w:spacing w:after="120" w:before="260"/>
      </w:pPr>
      <w:r>
        <w:t xml:space="preserve">BR-11  E-Invoicing &amp; E-Way Bill</w:t>
      </w:r>
    </w:p>
    <w:p>
      <w:pPr>
        <w:spacing w:after="160"/>
      </w:pPr>
      <w:r>
        <w:t xml:space="preserve">Businesses above the applicable turnover threshold are legally required to generate e-invoices and e-way bills through government systems.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50"/>
      </w:tblGrid>
      <w:tr>
        <w:trPr>
          <w:tblHeader/>
        </w:trPr>
        <w:tc>
          <w:tcPr>
            <w:tcW w:type="dxa" w:w="1000"/>
            <w:shd w:fill="1F3A5F" w:color="auto" w:val="clear"/>
            <w:tcMar>
              <w:top w:type="dxa" w:w="80"/>
              <w:left w:type="dxa" w:w="100"/>
              <w:bottom w:type="dxa" w:w="80"/>
              <w:right w:type="dxa" w:w="100"/>
            </w:tcMar>
          </w:tcPr>
          <w:p>
            <w:r>
              <w:rPr>
                <w:b/>
                <w:bCs/>
                <w:color w:val="FFFFFF"/>
                <w:sz w:val="20"/>
                <w:szCs w:val="20"/>
              </w:rPr>
              <w:t xml:space="preserve">ID</w:t>
            </w:r>
          </w:p>
        </w:tc>
        <w:tc>
          <w:tcPr>
            <w:tcW w:type="dxa" w:w="6900"/>
            <w:shd w:fill="1F3A5F" w:color="auto" w:val="clear"/>
            <w:tcMar>
              <w:top w:type="dxa" w:w="80"/>
              <w:left w:type="dxa" w:w="100"/>
              <w:bottom w:type="dxa" w:w="80"/>
              <w:right w:type="dxa" w:w="100"/>
            </w:tcMar>
          </w:tcPr>
          <w:p>
            <w:r>
              <w:rPr>
                <w:b/>
                <w:bCs/>
                <w:color w:val="FFFFFF"/>
                <w:sz w:val="20"/>
                <w:szCs w:val="20"/>
              </w:rPr>
              <w:t xml:space="preserve">Requirement</w:t>
            </w:r>
          </w:p>
        </w:tc>
        <w:tc>
          <w:tcPr>
            <w:tcW w:type="dxa" w:w="1450"/>
            <w:shd w:fill="1F3A5F" w:color="auto" w:val="clear"/>
            <w:tcMar>
              <w:top w:type="dxa" w:w="80"/>
              <w:left w:type="dxa" w:w="100"/>
              <w:bottom w:type="dxa" w:w="80"/>
              <w:right w:type="dxa" w:w="100"/>
            </w:tcMar>
          </w:tcPr>
          <w:p>
            <w:r>
              <w:rPr>
                <w:b/>
                <w:bCs/>
                <w:color w:val="FFFFFF"/>
                <w:sz w:val="20"/>
                <w:szCs w:val="20"/>
              </w:rPr>
              <w:t xml:space="preserve">Priority</w:t>
            </w:r>
          </w:p>
        </w:tc>
      </w:tr>
      <w:tr>
        <w:tc>
          <w:tcPr>
            <w:tcW w:type="dxa" w:w="1000"/>
            <w:shd w:fill="FFFFFF" w:color="auto" w:val="clear"/>
            <w:tcMar>
              <w:top w:type="dxa" w:w="70"/>
              <w:left w:type="dxa" w:w="100"/>
              <w:bottom w:type="dxa" w:w="70"/>
              <w:right w:type="dxa" w:w="100"/>
            </w:tcMar>
          </w:tcPr>
          <w:p>
            <w:r>
              <w:rPr>
                <w:sz w:val="20"/>
                <w:szCs w:val="20"/>
              </w:rPr>
              <w:t xml:space="preserve">BR-11.1</w:t>
            </w:r>
          </w:p>
        </w:tc>
        <w:tc>
          <w:tcPr>
            <w:tcW w:type="dxa" w:w="6900"/>
            <w:shd w:fill="FFFFFF" w:color="auto" w:val="clear"/>
            <w:tcMar>
              <w:top w:type="dxa" w:w="70"/>
              <w:left w:type="dxa" w:w="100"/>
              <w:bottom w:type="dxa" w:w="70"/>
              <w:right w:type="dxa" w:w="100"/>
            </w:tcMar>
          </w:tcPr>
          <w:p>
            <w:r>
              <w:rPr>
                <w:sz w:val="20"/>
                <w:szCs w:val="20"/>
              </w:rPr>
              <w:t xml:space="preserve">Generate e-invoices through the Invoice Registration Portal (IRP) and store the returned IRN/QR code.</w:t>
            </w:r>
          </w:p>
        </w:tc>
        <w:tc>
          <w:tcPr>
            <w:tcW w:type="dxa" w:w="1450"/>
            <w:shd w:fill="FFFFFF" w:color="auto" w:val="clear"/>
            <w:tcMar>
              <w:top w:type="dxa" w:w="70"/>
              <w:left w:type="dxa" w:w="100"/>
              <w:bottom w:type="dxa" w:w="70"/>
              <w:right w:type="dxa" w:w="100"/>
            </w:tcMar>
          </w:tcPr>
          <w:p>
            <w:r>
              <w:rPr>
                <w:sz w:val="20"/>
                <w:szCs w:val="20"/>
              </w:rPr>
              <w:t xml:space="preserve">Must (for applicable businesses)</w:t>
            </w:r>
          </w:p>
        </w:tc>
      </w:tr>
      <w:tr>
        <w:tc>
          <w:tcPr>
            <w:tcW w:type="dxa" w:w="1000"/>
            <w:shd w:fill="EAF1F4" w:color="auto" w:val="clear"/>
            <w:tcMar>
              <w:top w:type="dxa" w:w="70"/>
              <w:left w:type="dxa" w:w="100"/>
              <w:bottom w:type="dxa" w:w="70"/>
              <w:right w:type="dxa" w:w="100"/>
            </w:tcMar>
          </w:tcPr>
          <w:p>
            <w:r>
              <w:rPr>
                <w:sz w:val="20"/>
                <w:szCs w:val="20"/>
              </w:rPr>
              <w:t xml:space="preserve">BR-11.2</w:t>
            </w:r>
          </w:p>
        </w:tc>
        <w:tc>
          <w:tcPr>
            <w:tcW w:type="dxa" w:w="6900"/>
            <w:shd w:fill="EAF1F4" w:color="auto" w:val="clear"/>
            <w:tcMar>
              <w:top w:type="dxa" w:w="70"/>
              <w:left w:type="dxa" w:w="100"/>
              <w:bottom w:type="dxa" w:w="70"/>
              <w:right w:type="dxa" w:w="100"/>
            </w:tcMar>
          </w:tcPr>
          <w:p>
            <w:r>
              <w:rPr>
                <w:sz w:val="20"/>
                <w:szCs w:val="20"/>
              </w:rPr>
              <w:t xml:space="preserve">Generate e-way bills for applicable movement of goods using invoice and transport details.</w:t>
            </w:r>
          </w:p>
        </w:tc>
        <w:tc>
          <w:tcPr>
            <w:tcW w:type="dxa" w:w="1450"/>
            <w:shd w:fill="EAF1F4" w:color="auto" w:val="clear"/>
            <w:tcMar>
              <w:top w:type="dxa" w:w="70"/>
              <w:left w:type="dxa" w:w="100"/>
              <w:bottom w:type="dxa" w:w="70"/>
              <w:right w:type="dxa" w:w="100"/>
            </w:tcMar>
          </w:tcPr>
          <w:p>
            <w:r>
              <w:rPr>
                <w:sz w:val="20"/>
                <w:szCs w:val="20"/>
              </w:rPr>
              <w:t xml:space="preserve">Must (for applicable businesses)</w:t>
            </w:r>
          </w:p>
        </w:tc>
      </w:tr>
    </w:tbl>
    <w:p>
      <w:pPr>
        <w:spacing w:after="160"/>
      </w:pPr>
    </w:p>
    <w:p>
      <w:pPr>
        <w:pStyle w:val="Heading2"/>
        <w:spacing w:after="120" w:before="260"/>
      </w:pPr>
      <w:r>
        <w:t xml:space="preserve">BR-12  GST Return Filing</w:t>
      </w:r>
    </w:p>
    <w:p>
      <w:pPr>
        <w:spacing w:after="160"/>
      </w:pPr>
      <w:r>
        <w:t xml:space="preserve">Periodic statutory filings must be produced accurately and on time, with the user retaining final control.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50"/>
      </w:tblGrid>
      <w:tr>
        <w:trPr>
          <w:tblHeader/>
        </w:trPr>
        <w:tc>
          <w:tcPr>
            <w:tcW w:type="dxa" w:w="1000"/>
            <w:shd w:fill="1F3A5F" w:color="auto" w:val="clear"/>
            <w:tcMar>
              <w:top w:type="dxa" w:w="80"/>
              <w:left w:type="dxa" w:w="100"/>
              <w:bottom w:type="dxa" w:w="80"/>
              <w:right w:type="dxa" w:w="100"/>
            </w:tcMar>
          </w:tcPr>
          <w:p>
            <w:r>
              <w:rPr>
                <w:b/>
                <w:bCs/>
                <w:color w:val="FFFFFF"/>
                <w:sz w:val="20"/>
                <w:szCs w:val="20"/>
              </w:rPr>
              <w:t xml:space="preserve">ID</w:t>
            </w:r>
          </w:p>
        </w:tc>
        <w:tc>
          <w:tcPr>
            <w:tcW w:type="dxa" w:w="6900"/>
            <w:shd w:fill="1F3A5F" w:color="auto" w:val="clear"/>
            <w:tcMar>
              <w:top w:type="dxa" w:w="80"/>
              <w:left w:type="dxa" w:w="100"/>
              <w:bottom w:type="dxa" w:w="80"/>
              <w:right w:type="dxa" w:w="100"/>
            </w:tcMar>
          </w:tcPr>
          <w:p>
            <w:r>
              <w:rPr>
                <w:b/>
                <w:bCs/>
                <w:color w:val="FFFFFF"/>
                <w:sz w:val="20"/>
                <w:szCs w:val="20"/>
              </w:rPr>
              <w:t xml:space="preserve">Requirement</w:t>
            </w:r>
          </w:p>
        </w:tc>
        <w:tc>
          <w:tcPr>
            <w:tcW w:type="dxa" w:w="1450"/>
            <w:shd w:fill="1F3A5F" w:color="auto" w:val="clear"/>
            <w:tcMar>
              <w:top w:type="dxa" w:w="80"/>
              <w:left w:type="dxa" w:w="100"/>
              <w:bottom w:type="dxa" w:w="80"/>
              <w:right w:type="dxa" w:w="100"/>
            </w:tcMar>
          </w:tcPr>
          <w:p>
            <w:r>
              <w:rPr>
                <w:b/>
                <w:bCs/>
                <w:color w:val="FFFFFF"/>
                <w:sz w:val="20"/>
                <w:szCs w:val="20"/>
              </w:rPr>
              <w:t xml:space="preserve">Priority</w:t>
            </w:r>
          </w:p>
        </w:tc>
      </w:tr>
      <w:tr>
        <w:tc>
          <w:tcPr>
            <w:tcW w:type="dxa" w:w="1000"/>
            <w:shd w:fill="FFFFFF" w:color="auto" w:val="clear"/>
            <w:tcMar>
              <w:top w:type="dxa" w:w="70"/>
              <w:left w:type="dxa" w:w="100"/>
              <w:bottom w:type="dxa" w:w="70"/>
              <w:right w:type="dxa" w:w="100"/>
            </w:tcMar>
          </w:tcPr>
          <w:p>
            <w:r>
              <w:rPr>
                <w:sz w:val="20"/>
                <w:szCs w:val="20"/>
              </w:rPr>
              <w:t xml:space="preserve">BR-12.1</w:t>
            </w:r>
          </w:p>
        </w:tc>
        <w:tc>
          <w:tcPr>
            <w:tcW w:type="dxa" w:w="6900"/>
            <w:shd w:fill="FFFFFF" w:color="auto" w:val="clear"/>
            <w:tcMar>
              <w:top w:type="dxa" w:w="70"/>
              <w:left w:type="dxa" w:w="100"/>
              <w:bottom w:type="dxa" w:w="70"/>
              <w:right w:type="dxa" w:w="100"/>
            </w:tcMar>
          </w:tcPr>
          <w:p>
            <w:r>
              <w:rPr>
                <w:sz w:val="20"/>
                <w:szCs w:val="20"/>
              </w:rPr>
              <w:t xml:space="preserve">Generate GSTR-1 (outward supplies) from sales data.</w:t>
            </w:r>
          </w:p>
        </w:tc>
        <w:tc>
          <w:tcPr>
            <w:tcW w:type="dxa" w:w="1450"/>
            <w:shd w:fill="FFFFFF" w:color="auto" w:val="clear"/>
            <w:tcMar>
              <w:top w:type="dxa" w:w="70"/>
              <w:left w:type="dxa" w:w="100"/>
              <w:bottom w:type="dxa" w:w="70"/>
              <w:right w:type="dxa" w:w="100"/>
            </w:tcMar>
          </w:tcPr>
          <w:p>
            <w:r>
              <w:rPr>
                <w:sz w:val="20"/>
                <w:szCs w:val="20"/>
              </w:rPr>
              <w:t xml:space="preserve">Must</w:t>
            </w:r>
          </w:p>
        </w:tc>
      </w:tr>
      <w:tr>
        <w:tc>
          <w:tcPr>
            <w:tcW w:type="dxa" w:w="1000"/>
            <w:shd w:fill="EAF1F4" w:color="auto" w:val="clear"/>
            <w:tcMar>
              <w:top w:type="dxa" w:w="70"/>
              <w:left w:type="dxa" w:w="100"/>
              <w:bottom w:type="dxa" w:w="70"/>
              <w:right w:type="dxa" w:w="100"/>
            </w:tcMar>
          </w:tcPr>
          <w:p>
            <w:r>
              <w:rPr>
                <w:sz w:val="20"/>
                <w:szCs w:val="20"/>
              </w:rPr>
              <w:t xml:space="preserve">BR-12.2</w:t>
            </w:r>
          </w:p>
        </w:tc>
        <w:tc>
          <w:tcPr>
            <w:tcW w:type="dxa" w:w="6900"/>
            <w:shd w:fill="EAF1F4" w:color="auto" w:val="clear"/>
            <w:tcMar>
              <w:top w:type="dxa" w:w="70"/>
              <w:left w:type="dxa" w:w="100"/>
              <w:bottom w:type="dxa" w:w="70"/>
              <w:right w:type="dxa" w:w="100"/>
            </w:tcMar>
          </w:tcPr>
          <w:p>
            <w:r>
              <w:rPr>
                <w:sz w:val="20"/>
                <w:szCs w:val="20"/>
              </w:rPr>
              <w:t xml:space="preserve">Retrieve and reconcile GSTR-2B (purchase-side ITC data).</w:t>
            </w:r>
          </w:p>
        </w:tc>
        <w:tc>
          <w:tcPr>
            <w:tcW w:type="dxa" w:w="1450"/>
            <w:shd w:fill="EAF1F4" w:color="auto" w:val="clear"/>
            <w:tcMar>
              <w:top w:type="dxa" w:w="70"/>
              <w:left w:type="dxa" w:w="100"/>
              <w:bottom w:type="dxa" w:w="70"/>
              <w:right w:type="dxa" w:w="100"/>
            </w:tcMar>
          </w:tcPr>
          <w:p>
            <w:r>
              <w:rPr>
                <w:sz w:val="20"/>
                <w:szCs w:val="20"/>
              </w:rPr>
              <w:t xml:space="preserve">Must</w:t>
            </w:r>
          </w:p>
        </w:tc>
      </w:tr>
      <w:tr>
        <w:tc>
          <w:tcPr>
            <w:tcW w:type="dxa" w:w="1000"/>
            <w:shd w:fill="FFFFFF" w:color="auto" w:val="clear"/>
            <w:tcMar>
              <w:top w:type="dxa" w:w="70"/>
              <w:left w:type="dxa" w:w="100"/>
              <w:bottom w:type="dxa" w:w="70"/>
              <w:right w:type="dxa" w:w="100"/>
            </w:tcMar>
          </w:tcPr>
          <w:p>
            <w:r>
              <w:rPr>
                <w:sz w:val="20"/>
                <w:szCs w:val="20"/>
              </w:rPr>
              <w:t xml:space="preserve">BR-12.3</w:t>
            </w:r>
          </w:p>
        </w:tc>
        <w:tc>
          <w:tcPr>
            <w:tcW w:type="dxa" w:w="6900"/>
            <w:shd w:fill="FFFFFF" w:color="auto" w:val="clear"/>
            <w:tcMar>
              <w:top w:type="dxa" w:w="70"/>
              <w:left w:type="dxa" w:w="100"/>
              <w:bottom w:type="dxa" w:w="70"/>
              <w:right w:type="dxa" w:w="100"/>
            </w:tcMar>
          </w:tcPr>
          <w:p>
            <w:r>
              <w:rPr>
                <w:sz w:val="20"/>
                <w:szCs w:val="20"/>
              </w:rPr>
              <w:t xml:space="preserve">Generate GSTR-3B (summary liability return) from sales, purchases, GST, ITC, and RCM.</w:t>
            </w:r>
          </w:p>
        </w:tc>
        <w:tc>
          <w:tcPr>
            <w:tcW w:type="dxa" w:w="1450"/>
            <w:shd w:fill="FFFFFF" w:color="auto" w:val="clear"/>
            <w:tcMar>
              <w:top w:type="dxa" w:w="70"/>
              <w:left w:type="dxa" w:w="100"/>
              <w:bottom w:type="dxa" w:w="70"/>
              <w:right w:type="dxa" w:w="100"/>
            </w:tcMar>
          </w:tcPr>
          <w:p>
            <w:r>
              <w:rPr>
                <w:sz w:val="20"/>
                <w:szCs w:val="20"/>
              </w:rPr>
              <w:t xml:space="preserve">Must</w:t>
            </w:r>
          </w:p>
        </w:tc>
      </w:tr>
      <w:tr>
        <w:tc>
          <w:tcPr>
            <w:tcW w:type="dxa" w:w="1000"/>
            <w:shd w:fill="EAF1F4" w:color="auto" w:val="clear"/>
            <w:tcMar>
              <w:top w:type="dxa" w:w="70"/>
              <w:left w:type="dxa" w:w="100"/>
              <w:bottom w:type="dxa" w:w="70"/>
              <w:right w:type="dxa" w:w="100"/>
            </w:tcMar>
          </w:tcPr>
          <w:p>
            <w:r>
              <w:rPr>
                <w:sz w:val="20"/>
                <w:szCs w:val="20"/>
              </w:rPr>
              <w:t xml:space="preserve">BR-12.4</w:t>
            </w:r>
          </w:p>
        </w:tc>
        <w:tc>
          <w:tcPr>
            <w:tcW w:type="dxa" w:w="6900"/>
            <w:shd w:fill="EAF1F4" w:color="auto" w:val="clear"/>
            <w:tcMar>
              <w:top w:type="dxa" w:w="70"/>
              <w:left w:type="dxa" w:w="100"/>
              <w:bottom w:type="dxa" w:w="70"/>
              <w:right w:type="dxa" w:w="100"/>
            </w:tcMar>
          </w:tcPr>
          <w:p>
            <w:r>
              <w:rPr>
                <w:sz w:val="20"/>
                <w:szCs w:val="20"/>
              </w:rPr>
              <w:t xml:space="preserve">Require explicit user review and approval before any return is filed; the system must never file autonomously.</w:t>
            </w:r>
          </w:p>
        </w:tc>
        <w:tc>
          <w:tcPr>
            <w:tcW w:type="dxa" w:w="1450"/>
            <w:shd w:fill="EAF1F4" w:color="auto" w:val="clear"/>
            <w:tcMar>
              <w:top w:type="dxa" w:w="70"/>
              <w:left w:type="dxa" w:w="100"/>
              <w:bottom w:type="dxa" w:w="70"/>
              <w:right w:type="dxa" w:w="100"/>
            </w:tcMar>
          </w:tcPr>
          <w:p>
            <w:r>
              <w:rPr>
                <w:sz w:val="20"/>
                <w:szCs w:val="20"/>
              </w:rPr>
              <w:t xml:space="preserve">Must</w:t>
            </w:r>
          </w:p>
        </w:tc>
      </w:tr>
    </w:tbl>
    <w:p>
      <w:pPr>
        <w:spacing w:after="160"/>
      </w:pPr>
    </w:p>
    <w:p>
      <w:pPr>
        <w:pStyle w:val="Heading2"/>
        <w:spacing w:after="120" w:before="260"/>
      </w:pPr>
      <w:r>
        <w:t xml:space="preserve">BR-13  Compliance &amp; Health Check</w:t>
      </w:r>
    </w:p>
    <w:p>
      <w:pPr>
        <w:spacing w:after="160"/>
      </w:pPr>
      <w:r>
        <w:t xml:space="preserve">Errors should surface before filing, not after a notice arrives from the tax department.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50"/>
      </w:tblGrid>
      <w:tr>
        <w:trPr>
          <w:tblHeader/>
        </w:trPr>
        <w:tc>
          <w:tcPr>
            <w:tcW w:type="dxa" w:w="1000"/>
            <w:shd w:fill="1F3A5F" w:color="auto" w:val="clear"/>
            <w:tcMar>
              <w:top w:type="dxa" w:w="80"/>
              <w:left w:type="dxa" w:w="100"/>
              <w:bottom w:type="dxa" w:w="80"/>
              <w:right w:type="dxa" w:w="100"/>
            </w:tcMar>
          </w:tcPr>
          <w:p>
            <w:r>
              <w:rPr>
                <w:b/>
                <w:bCs/>
                <w:color w:val="FFFFFF"/>
                <w:sz w:val="20"/>
                <w:szCs w:val="20"/>
              </w:rPr>
              <w:t xml:space="preserve">ID</w:t>
            </w:r>
          </w:p>
        </w:tc>
        <w:tc>
          <w:tcPr>
            <w:tcW w:type="dxa" w:w="6900"/>
            <w:shd w:fill="1F3A5F" w:color="auto" w:val="clear"/>
            <w:tcMar>
              <w:top w:type="dxa" w:w="80"/>
              <w:left w:type="dxa" w:w="100"/>
              <w:bottom w:type="dxa" w:w="80"/>
              <w:right w:type="dxa" w:w="100"/>
            </w:tcMar>
          </w:tcPr>
          <w:p>
            <w:r>
              <w:rPr>
                <w:b/>
                <w:bCs/>
                <w:color w:val="FFFFFF"/>
                <w:sz w:val="20"/>
                <w:szCs w:val="20"/>
              </w:rPr>
              <w:t xml:space="preserve">Requirement</w:t>
            </w:r>
          </w:p>
        </w:tc>
        <w:tc>
          <w:tcPr>
            <w:tcW w:type="dxa" w:w="1450"/>
            <w:shd w:fill="1F3A5F" w:color="auto" w:val="clear"/>
            <w:tcMar>
              <w:top w:type="dxa" w:w="80"/>
              <w:left w:type="dxa" w:w="100"/>
              <w:bottom w:type="dxa" w:w="80"/>
              <w:right w:type="dxa" w:w="100"/>
            </w:tcMar>
          </w:tcPr>
          <w:p>
            <w:r>
              <w:rPr>
                <w:b/>
                <w:bCs/>
                <w:color w:val="FFFFFF"/>
                <w:sz w:val="20"/>
                <w:szCs w:val="20"/>
              </w:rPr>
              <w:t xml:space="preserve">Priority</w:t>
            </w:r>
          </w:p>
        </w:tc>
      </w:tr>
      <w:tr>
        <w:tc>
          <w:tcPr>
            <w:tcW w:type="dxa" w:w="1000"/>
            <w:shd w:fill="FFFFFF" w:color="auto" w:val="clear"/>
            <w:tcMar>
              <w:top w:type="dxa" w:w="70"/>
              <w:left w:type="dxa" w:w="100"/>
              <w:bottom w:type="dxa" w:w="70"/>
              <w:right w:type="dxa" w:w="100"/>
            </w:tcMar>
          </w:tcPr>
          <w:p>
            <w:r>
              <w:rPr>
                <w:sz w:val="20"/>
                <w:szCs w:val="20"/>
              </w:rPr>
              <w:t xml:space="preserve">BR-13.1</w:t>
            </w:r>
          </w:p>
        </w:tc>
        <w:tc>
          <w:tcPr>
            <w:tcW w:type="dxa" w:w="6900"/>
            <w:shd w:fill="FFFFFF" w:color="auto" w:val="clear"/>
            <w:tcMar>
              <w:top w:type="dxa" w:w="70"/>
              <w:left w:type="dxa" w:w="100"/>
              <w:bottom w:type="dxa" w:w="70"/>
              <w:right w:type="dxa" w:w="100"/>
            </w:tcMar>
          </w:tcPr>
          <w:p>
            <w:r>
              <w:rPr>
                <w:sz w:val="20"/>
                <w:szCs w:val="20"/>
              </w:rPr>
              <w:t xml:space="preserve">Run a pre-filing compliance check for GSTIN errors, missing HSN, duplicate invoices, mismatches, ITC issues, tax calculation errors, and missing documents.</w:t>
            </w:r>
          </w:p>
        </w:tc>
        <w:tc>
          <w:tcPr>
            <w:tcW w:type="dxa" w:w="1450"/>
            <w:shd w:fill="FFFFFF" w:color="auto" w:val="clear"/>
            <w:tcMar>
              <w:top w:type="dxa" w:w="70"/>
              <w:left w:type="dxa" w:w="100"/>
              <w:bottom w:type="dxa" w:w="70"/>
              <w:right w:type="dxa" w:w="100"/>
            </w:tcMar>
          </w:tcPr>
          <w:p>
            <w:r>
              <w:rPr>
                <w:sz w:val="20"/>
                <w:szCs w:val="20"/>
              </w:rPr>
              <w:t xml:space="preserve">Must</w:t>
            </w:r>
          </w:p>
        </w:tc>
      </w:tr>
      <w:tr>
        <w:tc>
          <w:tcPr>
            <w:tcW w:type="dxa" w:w="1000"/>
            <w:shd w:fill="EAF1F4" w:color="auto" w:val="clear"/>
            <w:tcMar>
              <w:top w:type="dxa" w:w="70"/>
              <w:left w:type="dxa" w:w="100"/>
              <w:bottom w:type="dxa" w:w="70"/>
              <w:right w:type="dxa" w:w="100"/>
            </w:tcMar>
          </w:tcPr>
          <w:p>
            <w:r>
              <w:rPr>
                <w:sz w:val="20"/>
                <w:szCs w:val="20"/>
              </w:rPr>
              <w:t xml:space="preserve">BR-13.2</w:t>
            </w:r>
          </w:p>
        </w:tc>
        <w:tc>
          <w:tcPr>
            <w:tcW w:type="dxa" w:w="6900"/>
            <w:shd w:fill="EAF1F4" w:color="auto" w:val="clear"/>
            <w:tcMar>
              <w:top w:type="dxa" w:w="70"/>
              <w:left w:type="dxa" w:w="100"/>
              <w:bottom w:type="dxa" w:w="70"/>
              <w:right w:type="dxa" w:w="100"/>
            </w:tcMar>
          </w:tcPr>
          <w:p>
            <w:r>
              <w:rPr>
                <w:sz w:val="20"/>
                <w:szCs w:val="20"/>
              </w:rPr>
              <w:t xml:space="preserve">Present a summarised GST Health Check (sales, output GST, eligible ITC, net liability, open issues) before every filing period closes.</w:t>
            </w:r>
          </w:p>
        </w:tc>
        <w:tc>
          <w:tcPr>
            <w:tcW w:type="dxa" w:w="1450"/>
            <w:shd w:fill="EAF1F4" w:color="auto" w:val="clear"/>
            <w:tcMar>
              <w:top w:type="dxa" w:w="70"/>
              <w:left w:type="dxa" w:w="100"/>
              <w:bottom w:type="dxa" w:w="70"/>
              <w:right w:type="dxa" w:w="100"/>
            </w:tcMar>
          </w:tcPr>
          <w:p>
            <w:r>
              <w:rPr>
                <w:sz w:val="20"/>
                <w:szCs w:val="20"/>
              </w:rPr>
              <w:t xml:space="preserve">Must</w:t>
            </w:r>
          </w:p>
        </w:tc>
      </w:tr>
    </w:tbl>
    <w:p>
      <w:pPr>
        <w:spacing w:after="160"/>
      </w:pPr>
    </w:p>
    <w:p>
      <w:pPr>
        <w:pStyle w:val="Heading2"/>
        <w:spacing w:after="120" w:before="260"/>
      </w:pPr>
      <w:r>
        <w:t xml:space="preserve">BR-14  Audit Trail</w:t>
      </w:r>
    </w:p>
    <w:p>
      <w:pPr>
        <w:spacing w:after="160"/>
      </w:pPr>
      <w:r>
        <w:t xml:space="preserve">Financial records must be defensible to auditors and tax authorities years after creation.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50"/>
      </w:tblGrid>
      <w:tr>
        <w:trPr>
          <w:tblHeader/>
        </w:trPr>
        <w:tc>
          <w:tcPr>
            <w:tcW w:type="dxa" w:w="1000"/>
            <w:shd w:fill="1F3A5F" w:color="auto" w:val="clear"/>
            <w:tcMar>
              <w:top w:type="dxa" w:w="80"/>
              <w:left w:type="dxa" w:w="100"/>
              <w:bottom w:type="dxa" w:w="80"/>
              <w:right w:type="dxa" w:w="100"/>
            </w:tcMar>
          </w:tcPr>
          <w:p>
            <w:r>
              <w:rPr>
                <w:b/>
                <w:bCs/>
                <w:color w:val="FFFFFF"/>
                <w:sz w:val="20"/>
                <w:szCs w:val="20"/>
              </w:rPr>
              <w:t xml:space="preserve">ID</w:t>
            </w:r>
          </w:p>
        </w:tc>
        <w:tc>
          <w:tcPr>
            <w:tcW w:type="dxa" w:w="6900"/>
            <w:shd w:fill="1F3A5F" w:color="auto" w:val="clear"/>
            <w:tcMar>
              <w:top w:type="dxa" w:w="80"/>
              <w:left w:type="dxa" w:w="100"/>
              <w:bottom w:type="dxa" w:w="80"/>
              <w:right w:type="dxa" w:w="100"/>
            </w:tcMar>
          </w:tcPr>
          <w:p>
            <w:r>
              <w:rPr>
                <w:b/>
                <w:bCs/>
                <w:color w:val="FFFFFF"/>
                <w:sz w:val="20"/>
                <w:szCs w:val="20"/>
              </w:rPr>
              <w:t xml:space="preserve">Requirement</w:t>
            </w:r>
          </w:p>
        </w:tc>
        <w:tc>
          <w:tcPr>
            <w:tcW w:type="dxa" w:w="1450"/>
            <w:shd w:fill="1F3A5F" w:color="auto" w:val="clear"/>
            <w:tcMar>
              <w:top w:type="dxa" w:w="80"/>
              <w:left w:type="dxa" w:w="100"/>
              <w:bottom w:type="dxa" w:w="80"/>
              <w:right w:type="dxa" w:w="100"/>
            </w:tcMar>
          </w:tcPr>
          <w:p>
            <w:r>
              <w:rPr>
                <w:b/>
                <w:bCs/>
                <w:color w:val="FFFFFF"/>
                <w:sz w:val="20"/>
                <w:szCs w:val="20"/>
              </w:rPr>
              <w:t xml:space="preserve">Priority</w:t>
            </w:r>
          </w:p>
        </w:tc>
      </w:tr>
      <w:tr>
        <w:tc>
          <w:tcPr>
            <w:tcW w:type="dxa" w:w="1000"/>
            <w:shd w:fill="FFFFFF" w:color="auto" w:val="clear"/>
            <w:tcMar>
              <w:top w:type="dxa" w:w="70"/>
              <w:left w:type="dxa" w:w="100"/>
              <w:bottom w:type="dxa" w:w="70"/>
              <w:right w:type="dxa" w:w="100"/>
            </w:tcMar>
          </w:tcPr>
          <w:p>
            <w:r>
              <w:rPr>
                <w:sz w:val="20"/>
                <w:szCs w:val="20"/>
              </w:rPr>
              <w:t xml:space="preserve">BR-14.1</w:t>
            </w:r>
          </w:p>
        </w:tc>
        <w:tc>
          <w:tcPr>
            <w:tcW w:type="dxa" w:w="6900"/>
            <w:shd w:fill="FFFFFF" w:color="auto" w:val="clear"/>
            <w:tcMar>
              <w:top w:type="dxa" w:w="70"/>
              <w:left w:type="dxa" w:w="100"/>
              <w:bottom w:type="dxa" w:w="70"/>
              <w:right w:type="dxa" w:w="100"/>
            </w:tcMar>
          </w:tcPr>
          <w:p>
            <w:r>
              <w:rPr>
                <w:sz w:val="20"/>
                <w:szCs w:val="20"/>
              </w:rPr>
              <w:t xml:space="preserve">Log who changed what, when, the before/after values, and (where provided) why, for every financial record.</w:t>
            </w:r>
          </w:p>
        </w:tc>
        <w:tc>
          <w:tcPr>
            <w:tcW w:type="dxa" w:w="1450"/>
            <w:shd w:fill="FFFFFF" w:color="auto" w:val="clear"/>
            <w:tcMar>
              <w:top w:type="dxa" w:w="70"/>
              <w:left w:type="dxa" w:w="100"/>
              <w:bottom w:type="dxa" w:w="70"/>
              <w:right w:type="dxa" w:w="100"/>
            </w:tcMar>
          </w:tcPr>
          <w:p>
            <w:r>
              <w:rPr>
                <w:sz w:val="20"/>
                <w:szCs w:val="20"/>
              </w:rPr>
              <w:t xml:space="preserve">Must</w:t>
            </w:r>
          </w:p>
        </w:tc>
      </w:tr>
      <w:tr>
        <w:tc>
          <w:tcPr>
            <w:tcW w:type="dxa" w:w="1000"/>
            <w:shd w:fill="EAF1F4" w:color="auto" w:val="clear"/>
            <w:tcMar>
              <w:top w:type="dxa" w:w="70"/>
              <w:left w:type="dxa" w:w="100"/>
              <w:bottom w:type="dxa" w:w="70"/>
              <w:right w:type="dxa" w:w="100"/>
            </w:tcMar>
          </w:tcPr>
          <w:p>
            <w:r>
              <w:rPr>
                <w:sz w:val="20"/>
                <w:szCs w:val="20"/>
              </w:rPr>
              <w:t xml:space="preserve">BR-14.2</w:t>
            </w:r>
          </w:p>
        </w:tc>
        <w:tc>
          <w:tcPr>
            <w:tcW w:type="dxa" w:w="6900"/>
            <w:shd w:fill="EAF1F4" w:color="auto" w:val="clear"/>
            <w:tcMar>
              <w:top w:type="dxa" w:w="70"/>
              <w:left w:type="dxa" w:w="100"/>
              <w:bottom w:type="dxa" w:w="70"/>
              <w:right w:type="dxa" w:w="100"/>
            </w:tcMar>
          </w:tcPr>
          <w:p>
            <w:r>
              <w:rPr>
                <w:sz w:val="20"/>
                <w:szCs w:val="20"/>
              </w:rPr>
              <w:t xml:space="preserve">Preserve financial history rather than allowing hard deletion of posted records.</w:t>
            </w:r>
          </w:p>
        </w:tc>
        <w:tc>
          <w:tcPr>
            <w:tcW w:type="dxa" w:w="1450"/>
            <w:shd w:fill="EAF1F4" w:color="auto" w:val="clear"/>
            <w:tcMar>
              <w:top w:type="dxa" w:w="70"/>
              <w:left w:type="dxa" w:w="100"/>
              <w:bottom w:type="dxa" w:w="70"/>
              <w:right w:type="dxa" w:w="100"/>
            </w:tcMar>
          </w:tcPr>
          <w:p>
            <w:r>
              <w:rPr>
                <w:sz w:val="20"/>
                <w:szCs w:val="20"/>
              </w:rPr>
              <w:t xml:space="preserve">Must</w:t>
            </w:r>
          </w:p>
        </w:tc>
      </w:tr>
    </w:tbl>
    <w:p>
      <w:pPr>
        <w:spacing w:after="160"/>
      </w:pPr>
    </w:p>
    <w:p>
      <w:pPr>
        <w:pStyle w:val="Heading2"/>
        <w:spacing w:after="120" w:before="260"/>
      </w:pPr>
      <w:r>
        <w:t xml:space="preserve">BR-15  Users, Roles &amp; Permissions</w:t>
      </w:r>
    </w:p>
    <w:p>
      <w:pPr>
        <w:spacing w:after="160"/>
      </w:pPr>
      <w:r>
        <w:t xml:space="preserve">Different staff need different, controlled levels of access to sensitive financial 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50"/>
      </w:tblGrid>
      <w:tr>
        <w:trPr>
          <w:tblHeader/>
        </w:trPr>
        <w:tc>
          <w:tcPr>
            <w:tcW w:type="dxa" w:w="1000"/>
            <w:shd w:fill="1F3A5F" w:color="auto" w:val="clear"/>
            <w:tcMar>
              <w:top w:type="dxa" w:w="80"/>
              <w:left w:type="dxa" w:w="100"/>
              <w:bottom w:type="dxa" w:w="80"/>
              <w:right w:type="dxa" w:w="100"/>
            </w:tcMar>
          </w:tcPr>
          <w:p>
            <w:r>
              <w:rPr>
                <w:b/>
                <w:bCs/>
                <w:color w:val="FFFFFF"/>
                <w:sz w:val="20"/>
                <w:szCs w:val="20"/>
              </w:rPr>
              <w:t xml:space="preserve">ID</w:t>
            </w:r>
          </w:p>
        </w:tc>
        <w:tc>
          <w:tcPr>
            <w:tcW w:type="dxa" w:w="6900"/>
            <w:shd w:fill="1F3A5F" w:color="auto" w:val="clear"/>
            <w:tcMar>
              <w:top w:type="dxa" w:w="80"/>
              <w:left w:type="dxa" w:w="100"/>
              <w:bottom w:type="dxa" w:w="80"/>
              <w:right w:type="dxa" w:w="100"/>
            </w:tcMar>
          </w:tcPr>
          <w:p>
            <w:r>
              <w:rPr>
                <w:b/>
                <w:bCs/>
                <w:color w:val="FFFFFF"/>
                <w:sz w:val="20"/>
                <w:szCs w:val="20"/>
              </w:rPr>
              <w:t xml:space="preserve">Requirement</w:t>
            </w:r>
          </w:p>
        </w:tc>
        <w:tc>
          <w:tcPr>
            <w:tcW w:type="dxa" w:w="1450"/>
            <w:shd w:fill="1F3A5F" w:color="auto" w:val="clear"/>
            <w:tcMar>
              <w:top w:type="dxa" w:w="80"/>
              <w:left w:type="dxa" w:w="100"/>
              <w:bottom w:type="dxa" w:w="80"/>
              <w:right w:type="dxa" w:w="100"/>
            </w:tcMar>
          </w:tcPr>
          <w:p>
            <w:r>
              <w:rPr>
                <w:b/>
                <w:bCs/>
                <w:color w:val="FFFFFF"/>
                <w:sz w:val="20"/>
                <w:szCs w:val="20"/>
              </w:rPr>
              <w:t xml:space="preserve">Priority</w:t>
            </w:r>
          </w:p>
        </w:tc>
      </w:tr>
      <w:tr>
        <w:tc>
          <w:tcPr>
            <w:tcW w:type="dxa" w:w="1000"/>
            <w:shd w:fill="FFFFFF" w:color="auto" w:val="clear"/>
            <w:tcMar>
              <w:top w:type="dxa" w:w="70"/>
              <w:left w:type="dxa" w:w="100"/>
              <w:bottom w:type="dxa" w:w="70"/>
              <w:right w:type="dxa" w:w="100"/>
            </w:tcMar>
          </w:tcPr>
          <w:p>
            <w:r>
              <w:rPr>
                <w:sz w:val="20"/>
                <w:szCs w:val="20"/>
              </w:rPr>
              <w:t xml:space="preserve">BR-15.1</w:t>
            </w:r>
          </w:p>
        </w:tc>
        <w:tc>
          <w:tcPr>
            <w:tcW w:type="dxa" w:w="6900"/>
            <w:shd w:fill="FFFFFF" w:color="auto" w:val="clear"/>
            <w:tcMar>
              <w:top w:type="dxa" w:w="70"/>
              <w:left w:type="dxa" w:w="100"/>
              <w:bottom w:type="dxa" w:w="70"/>
              <w:right w:type="dxa" w:w="100"/>
            </w:tcMar>
          </w:tcPr>
          <w:p>
            <w:r>
              <w:rPr>
                <w:sz w:val="20"/>
                <w:szCs w:val="20"/>
              </w:rPr>
              <w:t xml:space="preserve">Support role-based access: Owner, Accountant, Sales, Inventory Manager, Auditor (read-only), at minimum.</w:t>
            </w:r>
          </w:p>
        </w:tc>
        <w:tc>
          <w:tcPr>
            <w:tcW w:type="dxa" w:w="1450"/>
            <w:shd w:fill="FFFFFF" w:color="auto" w:val="clear"/>
            <w:tcMar>
              <w:top w:type="dxa" w:w="70"/>
              <w:left w:type="dxa" w:w="100"/>
              <w:bottom w:type="dxa" w:w="70"/>
              <w:right w:type="dxa" w:w="100"/>
            </w:tcMar>
          </w:tcPr>
          <w:p>
            <w:r>
              <w:rPr>
                <w:sz w:val="20"/>
                <w:szCs w:val="20"/>
              </w:rPr>
              <w:t xml:space="preserve">Must</w:t>
            </w:r>
          </w:p>
        </w:tc>
      </w:tr>
      <w:tr>
        <w:tc>
          <w:tcPr>
            <w:tcW w:type="dxa" w:w="1000"/>
            <w:shd w:fill="EAF1F4" w:color="auto" w:val="clear"/>
            <w:tcMar>
              <w:top w:type="dxa" w:w="70"/>
              <w:left w:type="dxa" w:w="100"/>
              <w:bottom w:type="dxa" w:w="70"/>
              <w:right w:type="dxa" w:w="100"/>
            </w:tcMar>
          </w:tcPr>
          <w:p>
            <w:r>
              <w:rPr>
                <w:sz w:val="20"/>
                <w:szCs w:val="20"/>
              </w:rPr>
              <w:t xml:space="preserve">BR-15.2</w:t>
            </w:r>
          </w:p>
        </w:tc>
        <w:tc>
          <w:tcPr>
            <w:tcW w:type="dxa" w:w="6900"/>
            <w:shd w:fill="EAF1F4" w:color="auto" w:val="clear"/>
            <w:tcMar>
              <w:top w:type="dxa" w:w="70"/>
              <w:left w:type="dxa" w:w="100"/>
              <w:bottom w:type="dxa" w:w="70"/>
              <w:right w:type="dxa" w:w="100"/>
            </w:tcMar>
          </w:tcPr>
          <w:p>
            <w:r>
              <w:rPr>
                <w:sz w:val="20"/>
                <w:szCs w:val="20"/>
              </w:rPr>
              <w:t xml:space="preserve">Support granular, configurable permissions beyond the default roles.</w:t>
            </w:r>
          </w:p>
        </w:tc>
        <w:tc>
          <w:tcPr>
            <w:tcW w:type="dxa" w:w="1450"/>
            <w:shd w:fill="EAF1F4" w:color="auto" w:val="clear"/>
            <w:tcMar>
              <w:top w:type="dxa" w:w="70"/>
              <w:left w:type="dxa" w:w="100"/>
              <w:bottom w:type="dxa" w:w="70"/>
              <w:right w:type="dxa" w:w="100"/>
            </w:tcMar>
          </w:tcPr>
          <w:p>
            <w:r>
              <w:rPr>
                <w:sz w:val="20"/>
                <w:szCs w:val="20"/>
              </w:rPr>
              <w:t xml:space="preserve">Should</w:t>
            </w:r>
          </w:p>
        </w:tc>
      </w:tr>
    </w:tbl>
    <w:p>
      <w:pPr>
        <w:spacing w:after="160"/>
      </w:pPr>
    </w:p>
    <w:p>
      <w:pPr>
        <w:pStyle w:val="Heading2"/>
        <w:spacing w:after="120" w:before="260"/>
      </w:pPr>
      <w:r>
        <w:t xml:space="preserve">BR-16  Financial Year &amp; Period Controls</w:t>
      </w:r>
    </w:p>
    <w:p>
      <w:pPr>
        <w:spacing w:after="160"/>
      </w:pPr>
      <w:r>
        <w:t xml:space="preserve">Accounting must respect Indian financial year conventions and prevent inappropriate retroactive changes.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50"/>
      </w:tblGrid>
      <w:tr>
        <w:trPr>
          <w:tblHeader/>
        </w:trPr>
        <w:tc>
          <w:tcPr>
            <w:tcW w:type="dxa" w:w="1000"/>
            <w:shd w:fill="1F3A5F" w:color="auto" w:val="clear"/>
            <w:tcMar>
              <w:top w:type="dxa" w:w="80"/>
              <w:left w:type="dxa" w:w="100"/>
              <w:bottom w:type="dxa" w:w="80"/>
              <w:right w:type="dxa" w:w="100"/>
            </w:tcMar>
          </w:tcPr>
          <w:p>
            <w:r>
              <w:rPr>
                <w:b/>
                <w:bCs/>
                <w:color w:val="FFFFFF"/>
                <w:sz w:val="20"/>
                <w:szCs w:val="20"/>
              </w:rPr>
              <w:t xml:space="preserve">ID</w:t>
            </w:r>
          </w:p>
        </w:tc>
        <w:tc>
          <w:tcPr>
            <w:tcW w:type="dxa" w:w="6900"/>
            <w:shd w:fill="1F3A5F" w:color="auto" w:val="clear"/>
            <w:tcMar>
              <w:top w:type="dxa" w:w="80"/>
              <w:left w:type="dxa" w:w="100"/>
              <w:bottom w:type="dxa" w:w="80"/>
              <w:right w:type="dxa" w:w="100"/>
            </w:tcMar>
          </w:tcPr>
          <w:p>
            <w:r>
              <w:rPr>
                <w:b/>
                <w:bCs/>
                <w:color w:val="FFFFFF"/>
                <w:sz w:val="20"/>
                <w:szCs w:val="20"/>
              </w:rPr>
              <w:t xml:space="preserve">Requirement</w:t>
            </w:r>
          </w:p>
        </w:tc>
        <w:tc>
          <w:tcPr>
            <w:tcW w:type="dxa" w:w="1450"/>
            <w:shd w:fill="1F3A5F" w:color="auto" w:val="clear"/>
            <w:tcMar>
              <w:top w:type="dxa" w:w="80"/>
              <w:left w:type="dxa" w:w="100"/>
              <w:bottom w:type="dxa" w:w="80"/>
              <w:right w:type="dxa" w:w="100"/>
            </w:tcMar>
          </w:tcPr>
          <w:p>
            <w:r>
              <w:rPr>
                <w:b/>
                <w:bCs/>
                <w:color w:val="FFFFFF"/>
                <w:sz w:val="20"/>
                <w:szCs w:val="20"/>
              </w:rPr>
              <w:t xml:space="preserve">Priority</w:t>
            </w:r>
          </w:p>
        </w:tc>
      </w:tr>
      <w:tr>
        <w:tc>
          <w:tcPr>
            <w:tcW w:type="dxa" w:w="1000"/>
            <w:shd w:fill="FFFFFF" w:color="auto" w:val="clear"/>
            <w:tcMar>
              <w:top w:type="dxa" w:w="70"/>
              <w:left w:type="dxa" w:w="100"/>
              <w:bottom w:type="dxa" w:w="70"/>
              <w:right w:type="dxa" w:w="100"/>
            </w:tcMar>
          </w:tcPr>
          <w:p>
            <w:r>
              <w:rPr>
                <w:sz w:val="20"/>
                <w:szCs w:val="20"/>
              </w:rPr>
              <w:t xml:space="preserve">BR-16.1</w:t>
            </w:r>
          </w:p>
        </w:tc>
        <w:tc>
          <w:tcPr>
            <w:tcW w:type="dxa" w:w="6900"/>
            <w:shd w:fill="FFFFFF" w:color="auto" w:val="clear"/>
            <w:tcMar>
              <w:top w:type="dxa" w:w="70"/>
              <w:left w:type="dxa" w:w="100"/>
              <w:bottom w:type="dxa" w:w="70"/>
              <w:right w:type="dxa" w:w="100"/>
            </w:tcMar>
          </w:tcPr>
          <w:p>
            <w:r>
              <w:rPr>
                <w:sz w:val="20"/>
                <w:szCs w:val="20"/>
              </w:rPr>
              <w:t xml:space="preserve">Maintain distinct financial years (e.g. FY 2025-26) with opening balances and carry-forward.</w:t>
            </w:r>
          </w:p>
        </w:tc>
        <w:tc>
          <w:tcPr>
            <w:tcW w:type="dxa" w:w="1450"/>
            <w:shd w:fill="FFFFFF" w:color="auto" w:val="clear"/>
            <w:tcMar>
              <w:top w:type="dxa" w:w="70"/>
              <w:left w:type="dxa" w:w="100"/>
              <w:bottom w:type="dxa" w:w="70"/>
              <w:right w:type="dxa" w:w="100"/>
            </w:tcMar>
          </w:tcPr>
          <w:p>
            <w:r>
              <w:rPr>
                <w:sz w:val="20"/>
                <w:szCs w:val="20"/>
              </w:rPr>
              <w:t xml:space="preserve">Must</w:t>
            </w:r>
          </w:p>
        </w:tc>
      </w:tr>
      <w:tr>
        <w:tc>
          <w:tcPr>
            <w:tcW w:type="dxa" w:w="1000"/>
            <w:shd w:fill="EAF1F4" w:color="auto" w:val="clear"/>
            <w:tcMar>
              <w:top w:type="dxa" w:w="70"/>
              <w:left w:type="dxa" w:w="100"/>
              <w:bottom w:type="dxa" w:w="70"/>
              <w:right w:type="dxa" w:w="100"/>
            </w:tcMar>
          </w:tcPr>
          <w:p>
            <w:r>
              <w:rPr>
                <w:sz w:val="20"/>
                <w:szCs w:val="20"/>
              </w:rPr>
              <w:t xml:space="preserve">BR-16.2</w:t>
            </w:r>
          </w:p>
        </w:tc>
        <w:tc>
          <w:tcPr>
            <w:tcW w:type="dxa" w:w="6900"/>
            <w:shd w:fill="EAF1F4" w:color="auto" w:val="clear"/>
            <w:tcMar>
              <w:top w:type="dxa" w:w="70"/>
              <w:left w:type="dxa" w:w="100"/>
              <w:bottom w:type="dxa" w:w="70"/>
              <w:right w:type="dxa" w:w="100"/>
            </w:tcMar>
          </w:tcPr>
          <w:p>
            <w:r>
              <w:rPr>
                <w:sz w:val="20"/>
                <w:szCs w:val="20"/>
              </w:rPr>
              <w:t xml:space="preserve">Support period locking and controls on backdated entries.</w:t>
            </w:r>
          </w:p>
        </w:tc>
        <w:tc>
          <w:tcPr>
            <w:tcW w:type="dxa" w:w="1450"/>
            <w:shd w:fill="EAF1F4" w:color="auto" w:val="clear"/>
            <w:tcMar>
              <w:top w:type="dxa" w:w="70"/>
              <w:left w:type="dxa" w:w="100"/>
              <w:bottom w:type="dxa" w:w="70"/>
              <w:right w:type="dxa" w:w="100"/>
            </w:tcMar>
          </w:tcPr>
          <w:p>
            <w:r>
              <w:rPr>
                <w:sz w:val="20"/>
                <w:szCs w:val="20"/>
              </w:rPr>
              <w:t xml:space="preserve">Must</w:t>
            </w:r>
          </w:p>
        </w:tc>
      </w:tr>
    </w:tbl>
    <w:p>
      <w:pPr>
        <w:spacing w:after="160"/>
      </w:pPr>
    </w:p>
    <w:p>
      <w:pPr>
        <w:pStyle w:val="Heading2"/>
        <w:spacing w:after="120" w:before="260"/>
      </w:pPr>
      <w:r>
        <w:t xml:space="preserve">BR-17  Document Management</w:t>
      </w:r>
    </w:p>
    <w:p>
      <w:pPr>
        <w:spacing w:after="160"/>
      </w:pPr>
      <w:r>
        <w:t xml:space="preserve">Original evidence for every transaction must remain retrievable for statutory retention periods.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50"/>
      </w:tblGrid>
      <w:tr>
        <w:trPr>
          <w:tblHeader/>
        </w:trPr>
        <w:tc>
          <w:tcPr>
            <w:tcW w:type="dxa" w:w="1000"/>
            <w:shd w:fill="1F3A5F" w:color="auto" w:val="clear"/>
            <w:tcMar>
              <w:top w:type="dxa" w:w="80"/>
              <w:left w:type="dxa" w:w="100"/>
              <w:bottom w:type="dxa" w:w="80"/>
              <w:right w:type="dxa" w:w="100"/>
            </w:tcMar>
          </w:tcPr>
          <w:p>
            <w:r>
              <w:rPr>
                <w:b/>
                <w:bCs/>
                <w:color w:val="FFFFFF"/>
                <w:sz w:val="20"/>
                <w:szCs w:val="20"/>
              </w:rPr>
              <w:t xml:space="preserve">ID</w:t>
            </w:r>
          </w:p>
        </w:tc>
        <w:tc>
          <w:tcPr>
            <w:tcW w:type="dxa" w:w="6900"/>
            <w:shd w:fill="1F3A5F" w:color="auto" w:val="clear"/>
            <w:tcMar>
              <w:top w:type="dxa" w:w="80"/>
              <w:left w:type="dxa" w:w="100"/>
              <w:bottom w:type="dxa" w:w="80"/>
              <w:right w:type="dxa" w:w="100"/>
            </w:tcMar>
          </w:tcPr>
          <w:p>
            <w:r>
              <w:rPr>
                <w:b/>
                <w:bCs/>
                <w:color w:val="FFFFFF"/>
                <w:sz w:val="20"/>
                <w:szCs w:val="20"/>
              </w:rPr>
              <w:t xml:space="preserve">Requirement</w:t>
            </w:r>
          </w:p>
        </w:tc>
        <w:tc>
          <w:tcPr>
            <w:tcW w:type="dxa" w:w="1450"/>
            <w:shd w:fill="1F3A5F" w:color="auto" w:val="clear"/>
            <w:tcMar>
              <w:top w:type="dxa" w:w="80"/>
              <w:left w:type="dxa" w:w="100"/>
              <w:bottom w:type="dxa" w:w="80"/>
              <w:right w:type="dxa" w:w="100"/>
            </w:tcMar>
          </w:tcPr>
          <w:p>
            <w:r>
              <w:rPr>
                <w:b/>
                <w:bCs/>
                <w:color w:val="FFFFFF"/>
                <w:sz w:val="20"/>
                <w:szCs w:val="20"/>
              </w:rPr>
              <w:t xml:space="preserve">Priority</w:t>
            </w:r>
          </w:p>
        </w:tc>
      </w:tr>
      <w:tr>
        <w:tc>
          <w:tcPr>
            <w:tcW w:type="dxa" w:w="1000"/>
            <w:shd w:fill="FFFFFF" w:color="auto" w:val="clear"/>
            <w:tcMar>
              <w:top w:type="dxa" w:w="70"/>
              <w:left w:type="dxa" w:w="100"/>
              <w:bottom w:type="dxa" w:w="70"/>
              <w:right w:type="dxa" w:w="100"/>
            </w:tcMar>
          </w:tcPr>
          <w:p>
            <w:r>
              <w:rPr>
                <w:sz w:val="20"/>
                <w:szCs w:val="20"/>
              </w:rPr>
              <w:t xml:space="preserve">BR-17.1</w:t>
            </w:r>
          </w:p>
        </w:tc>
        <w:tc>
          <w:tcPr>
            <w:tcW w:type="dxa" w:w="6900"/>
            <w:shd w:fill="FFFFFF" w:color="auto" w:val="clear"/>
            <w:tcMar>
              <w:top w:type="dxa" w:w="70"/>
              <w:left w:type="dxa" w:w="100"/>
              <w:bottom w:type="dxa" w:w="70"/>
              <w:right w:type="dxa" w:w="100"/>
            </w:tcMar>
          </w:tcPr>
          <w:p>
            <w:r>
              <w:rPr>
                <w:sz w:val="20"/>
                <w:szCs w:val="20"/>
              </w:rPr>
              <w:t xml:space="preserve">Attach and retain the original source document (photo/PDF/file), OCR output, accounting entry, GST data, payment record, and audit history against every transaction.</w:t>
            </w:r>
          </w:p>
        </w:tc>
        <w:tc>
          <w:tcPr>
            <w:tcW w:type="dxa" w:w="1450"/>
            <w:shd w:fill="FFFFFF" w:color="auto" w:val="clear"/>
            <w:tcMar>
              <w:top w:type="dxa" w:w="70"/>
              <w:left w:type="dxa" w:w="100"/>
              <w:bottom w:type="dxa" w:w="70"/>
              <w:right w:type="dxa" w:w="100"/>
            </w:tcMar>
          </w:tcPr>
          <w:p>
            <w:r>
              <w:rPr>
                <w:sz w:val="20"/>
                <w:szCs w:val="20"/>
              </w:rPr>
              <w:t xml:space="preserve">Must</w:t>
            </w:r>
          </w:p>
        </w:tc>
      </w:tr>
    </w:tbl>
    <w:p>
      <w:pPr>
        <w:spacing w:after="160"/>
      </w:pPr>
    </w:p>
    <w:p>
      <w:pPr>
        <w:pStyle w:val="Heading2"/>
        <w:spacing w:after="120" w:before="260"/>
      </w:pPr>
      <w:r>
        <w:t xml:space="preserve">BR-18  Extended Financial Modules (Phase 2+)</w:t>
      </w:r>
    </w:p>
    <w:p>
      <w:pPr>
        <w:spacing w:after="160"/>
      </w:pPr>
      <w:r>
        <w:t xml:space="preserve">Once core accounting/GST is stable, the business will require these adjacent capabilities.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50"/>
      </w:tblGrid>
      <w:tr>
        <w:trPr>
          <w:tblHeader/>
        </w:trPr>
        <w:tc>
          <w:tcPr>
            <w:tcW w:type="dxa" w:w="1000"/>
            <w:shd w:fill="1F3A5F" w:color="auto" w:val="clear"/>
            <w:tcMar>
              <w:top w:type="dxa" w:w="80"/>
              <w:left w:type="dxa" w:w="100"/>
              <w:bottom w:type="dxa" w:w="80"/>
              <w:right w:type="dxa" w:w="100"/>
            </w:tcMar>
          </w:tcPr>
          <w:p>
            <w:r>
              <w:rPr>
                <w:b/>
                <w:bCs/>
                <w:color w:val="FFFFFF"/>
                <w:sz w:val="20"/>
                <w:szCs w:val="20"/>
              </w:rPr>
              <w:t xml:space="preserve">ID</w:t>
            </w:r>
          </w:p>
        </w:tc>
        <w:tc>
          <w:tcPr>
            <w:tcW w:type="dxa" w:w="6900"/>
            <w:shd w:fill="1F3A5F" w:color="auto" w:val="clear"/>
            <w:tcMar>
              <w:top w:type="dxa" w:w="80"/>
              <w:left w:type="dxa" w:w="100"/>
              <w:bottom w:type="dxa" w:w="80"/>
              <w:right w:type="dxa" w:w="100"/>
            </w:tcMar>
          </w:tcPr>
          <w:p>
            <w:r>
              <w:rPr>
                <w:b/>
                <w:bCs/>
                <w:color w:val="FFFFFF"/>
                <w:sz w:val="20"/>
                <w:szCs w:val="20"/>
              </w:rPr>
              <w:t xml:space="preserve">Requirement</w:t>
            </w:r>
          </w:p>
        </w:tc>
        <w:tc>
          <w:tcPr>
            <w:tcW w:type="dxa" w:w="1450"/>
            <w:shd w:fill="1F3A5F" w:color="auto" w:val="clear"/>
            <w:tcMar>
              <w:top w:type="dxa" w:w="80"/>
              <w:left w:type="dxa" w:w="100"/>
              <w:bottom w:type="dxa" w:w="80"/>
              <w:right w:type="dxa" w:w="100"/>
            </w:tcMar>
          </w:tcPr>
          <w:p>
            <w:r>
              <w:rPr>
                <w:b/>
                <w:bCs/>
                <w:color w:val="FFFFFF"/>
                <w:sz w:val="20"/>
                <w:szCs w:val="20"/>
              </w:rPr>
              <w:t xml:space="preserve">Priority</w:t>
            </w:r>
          </w:p>
        </w:tc>
      </w:tr>
      <w:tr>
        <w:tc>
          <w:tcPr>
            <w:tcW w:type="dxa" w:w="1000"/>
            <w:shd w:fill="FFFFFF" w:color="auto" w:val="clear"/>
            <w:tcMar>
              <w:top w:type="dxa" w:w="70"/>
              <w:left w:type="dxa" w:w="100"/>
              <w:bottom w:type="dxa" w:w="70"/>
              <w:right w:type="dxa" w:w="100"/>
            </w:tcMar>
          </w:tcPr>
          <w:p>
            <w:r>
              <w:rPr>
                <w:sz w:val="20"/>
                <w:szCs w:val="20"/>
              </w:rPr>
              <w:t xml:space="preserve">BR-18.1</w:t>
            </w:r>
          </w:p>
        </w:tc>
        <w:tc>
          <w:tcPr>
            <w:tcW w:type="dxa" w:w="6900"/>
            <w:shd w:fill="FFFFFF" w:color="auto" w:val="clear"/>
            <w:tcMar>
              <w:top w:type="dxa" w:w="70"/>
              <w:left w:type="dxa" w:w="100"/>
              <w:bottom w:type="dxa" w:w="70"/>
              <w:right w:type="dxa" w:w="100"/>
            </w:tcMar>
          </w:tcPr>
          <w:p>
            <w:r>
              <w:rPr>
                <w:sz w:val="20"/>
                <w:szCs w:val="20"/>
              </w:rPr>
              <w:t xml:space="preserve">Fixed Asset register with depreciation and book value tracking.</w:t>
            </w:r>
          </w:p>
        </w:tc>
        <w:tc>
          <w:tcPr>
            <w:tcW w:type="dxa" w:w="1450"/>
            <w:shd w:fill="FFFFFF" w:color="auto" w:val="clear"/>
            <w:tcMar>
              <w:top w:type="dxa" w:w="70"/>
              <w:left w:type="dxa" w:w="100"/>
              <w:bottom w:type="dxa" w:w="70"/>
              <w:right w:type="dxa" w:w="100"/>
            </w:tcMar>
          </w:tcPr>
          <w:p>
            <w:r>
              <w:rPr>
                <w:sz w:val="20"/>
                <w:szCs w:val="20"/>
              </w:rPr>
              <w:t xml:space="preserve">Could</w:t>
            </w:r>
          </w:p>
        </w:tc>
      </w:tr>
      <w:tr>
        <w:tc>
          <w:tcPr>
            <w:tcW w:type="dxa" w:w="1000"/>
            <w:shd w:fill="EAF1F4" w:color="auto" w:val="clear"/>
            <w:tcMar>
              <w:top w:type="dxa" w:w="70"/>
              <w:left w:type="dxa" w:w="100"/>
              <w:bottom w:type="dxa" w:w="70"/>
              <w:right w:type="dxa" w:w="100"/>
            </w:tcMar>
          </w:tcPr>
          <w:p>
            <w:r>
              <w:rPr>
                <w:sz w:val="20"/>
                <w:szCs w:val="20"/>
              </w:rPr>
              <w:t xml:space="preserve">BR-18.2</w:t>
            </w:r>
          </w:p>
        </w:tc>
        <w:tc>
          <w:tcPr>
            <w:tcW w:type="dxa" w:w="6900"/>
            <w:shd w:fill="EAF1F4" w:color="auto" w:val="clear"/>
            <w:tcMar>
              <w:top w:type="dxa" w:w="70"/>
              <w:left w:type="dxa" w:w="100"/>
              <w:bottom w:type="dxa" w:w="70"/>
              <w:right w:type="dxa" w:w="100"/>
            </w:tcMar>
          </w:tcPr>
          <w:p>
            <w:r>
              <w:rPr>
                <w:sz w:val="20"/>
                <w:szCs w:val="20"/>
              </w:rPr>
              <w:t xml:space="preserve">TDS engine: calculation, payable tracking, certificates, returns, reconciliation (kept separate from GST).</w:t>
            </w:r>
          </w:p>
        </w:tc>
        <w:tc>
          <w:tcPr>
            <w:tcW w:type="dxa" w:w="1450"/>
            <w:shd w:fill="EAF1F4" w:color="auto" w:val="clear"/>
            <w:tcMar>
              <w:top w:type="dxa" w:w="70"/>
              <w:left w:type="dxa" w:w="100"/>
              <w:bottom w:type="dxa" w:w="70"/>
              <w:right w:type="dxa" w:w="100"/>
            </w:tcMar>
          </w:tcPr>
          <w:p>
            <w:r>
              <w:rPr>
                <w:sz w:val="20"/>
                <w:szCs w:val="20"/>
              </w:rPr>
              <w:t xml:space="preserve">Could</w:t>
            </w:r>
          </w:p>
        </w:tc>
      </w:tr>
      <w:tr>
        <w:tc>
          <w:tcPr>
            <w:tcW w:type="dxa" w:w="1000"/>
            <w:shd w:fill="FFFFFF" w:color="auto" w:val="clear"/>
            <w:tcMar>
              <w:top w:type="dxa" w:w="70"/>
              <w:left w:type="dxa" w:w="100"/>
              <w:bottom w:type="dxa" w:w="70"/>
              <w:right w:type="dxa" w:w="100"/>
            </w:tcMar>
          </w:tcPr>
          <w:p>
            <w:r>
              <w:rPr>
                <w:sz w:val="20"/>
                <w:szCs w:val="20"/>
              </w:rPr>
              <w:t xml:space="preserve">BR-18.3</w:t>
            </w:r>
          </w:p>
        </w:tc>
        <w:tc>
          <w:tcPr>
            <w:tcW w:type="dxa" w:w="6900"/>
            <w:shd w:fill="FFFFFF" w:color="auto" w:val="clear"/>
            <w:tcMar>
              <w:top w:type="dxa" w:w="70"/>
              <w:left w:type="dxa" w:w="100"/>
              <w:bottom w:type="dxa" w:w="70"/>
              <w:right w:type="dxa" w:w="100"/>
            </w:tcMar>
          </w:tcPr>
          <w:p>
            <w:r>
              <w:rPr>
                <w:sz w:val="20"/>
                <w:szCs w:val="20"/>
              </w:rPr>
              <w:t xml:space="preserve">Payroll: salary, PF/ESI/TDS, and posting to accounting.</w:t>
            </w:r>
          </w:p>
        </w:tc>
        <w:tc>
          <w:tcPr>
            <w:tcW w:type="dxa" w:w="1450"/>
            <w:shd w:fill="FFFFFF" w:color="auto" w:val="clear"/>
            <w:tcMar>
              <w:top w:type="dxa" w:w="70"/>
              <w:left w:type="dxa" w:w="100"/>
              <w:bottom w:type="dxa" w:w="70"/>
              <w:right w:type="dxa" w:w="100"/>
            </w:tcMar>
          </w:tcPr>
          <w:p>
            <w:r>
              <w:rPr>
                <w:sz w:val="20"/>
                <w:szCs w:val="20"/>
              </w:rPr>
              <w:t xml:space="preserve">Won't (this phase)</w:t>
            </w:r>
          </w:p>
        </w:tc>
      </w:tr>
    </w:tbl>
    <w:p>
      <w:pPr>
        <w:spacing w:after="160"/>
      </w:pPr>
    </w:p>
    <w:p>
      <w:pPr>
        <w:pStyle w:val="Heading2"/>
        <w:spacing w:after="120" w:before="260"/>
      </w:pPr>
      <w:r>
        <w:t xml:space="preserve">BR-19  Reporting</w:t>
      </w:r>
    </w:p>
    <w:p>
      <w:pPr>
        <w:spacing w:after="160"/>
      </w:pPr>
      <w:r>
        <w:t xml:space="preserve">Owners and accountants need standard financial and business reports without manual compilation.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50"/>
      </w:tblGrid>
      <w:tr>
        <w:trPr>
          <w:tblHeader/>
        </w:trPr>
        <w:tc>
          <w:tcPr>
            <w:tcW w:type="dxa" w:w="1000"/>
            <w:shd w:fill="1F3A5F" w:color="auto" w:val="clear"/>
            <w:tcMar>
              <w:top w:type="dxa" w:w="80"/>
              <w:left w:type="dxa" w:w="100"/>
              <w:bottom w:type="dxa" w:w="80"/>
              <w:right w:type="dxa" w:w="100"/>
            </w:tcMar>
          </w:tcPr>
          <w:p>
            <w:r>
              <w:rPr>
                <w:b/>
                <w:bCs/>
                <w:color w:val="FFFFFF"/>
                <w:sz w:val="20"/>
                <w:szCs w:val="20"/>
              </w:rPr>
              <w:t xml:space="preserve">ID</w:t>
            </w:r>
          </w:p>
        </w:tc>
        <w:tc>
          <w:tcPr>
            <w:tcW w:type="dxa" w:w="6900"/>
            <w:shd w:fill="1F3A5F" w:color="auto" w:val="clear"/>
            <w:tcMar>
              <w:top w:type="dxa" w:w="80"/>
              <w:left w:type="dxa" w:w="100"/>
              <w:bottom w:type="dxa" w:w="80"/>
              <w:right w:type="dxa" w:w="100"/>
            </w:tcMar>
          </w:tcPr>
          <w:p>
            <w:r>
              <w:rPr>
                <w:b/>
                <w:bCs/>
                <w:color w:val="FFFFFF"/>
                <w:sz w:val="20"/>
                <w:szCs w:val="20"/>
              </w:rPr>
              <w:t xml:space="preserve">Requirement</w:t>
            </w:r>
          </w:p>
        </w:tc>
        <w:tc>
          <w:tcPr>
            <w:tcW w:type="dxa" w:w="1450"/>
            <w:shd w:fill="1F3A5F" w:color="auto" w:val="clear"/>
            <w:tcMar>
              <w:top w:type="dxa" w:w="80"/>
              <w:left w:type="dxa" w:w="100"/>
              <w:bottom w:type="dxa" w:w="80"/>
              <w:right w:type="dxa" w:w="100"/>
            </w:tcMar>
          </w:tcPr>
          <w:p>
            <w:r>
              <w:rPr>
                <w:b/>
                <w:bCs/>
                <w:color w:val="FFFFFF"/>
                <w:sz w:val="20"/>
                <w:szCs w:val="20"/>
              </w:rPr>
              <w:t xml:space="preserve">Priority</w:t>
            </w:r>
          </w:p>
        </w:tc>
      </w:tr>
      <w:tr>
        <w:tc>
          <w:tcPr>
            <w:tcW w:type="dxa" w:w="1000"/>
            <w:shd w:fill="FFFFFF" w:color="auto" w:val="clear"/>
            <w:tcMar>
              <w:top w:type="dxa" w:w="70"/>
              <w:left w:type="dxa" w:w="100"/>
              <w:bottom w:type="dxa" w:w="70"/>
              <w:right w:type="dxa" w:w="100"/>
            </w:tcMar>
          </w:tcPr>
          <w:p>
            <w:r>
              <w:rPr>
                <w:sz w:val="20"/>
                <w:szCs w:val="20"/>
              </w:rPr>
              <w:t xml:space="preserve">BR-19.1</w:t>
            </w:r>
          </w:p>
        </w:tc>
        <w:tc>
          <w:tcPr>
            <w:tcW w:type="dxa" w:w="6900"/>
            <w:shd w:fill="FFFFFF" w:color="auto" w:val="clear"/>
            <w:tcMar>
              <w:top w:type="dxa" w:w="70"/>
              <w:left w:type="dxa" w:w="100"/>
              <w:bottom w:type="dxa" w:w="70"/>
              <w:right w:type="dxa" w:w="100"/>
            </w:tcMar>
          </w:tcPr>
          <w:p>
            <w:r>
              <w:rPr>
                <w:sz w:val="20"/>
                <w:szCs w:val="20"/>
              </w:rPr>
              <w:t xml:space="preserve">Standard accounting reports: P&amp;L, Balance Sheet, Trial Balance, General Ledger, Day Book, Cash Book, Bank Book.</w:t>
            </w:r>
          </w:p>
        </w:tc>
        <w:tc>
          <w:tcPr>
            <w:tcW w:type="dxa" w:w="1450"/>
            <w:shd w:fill="FFFFFF" w:color="auto" w:val="clear"/>
            <w:tcMar>
              <w:top w:type="dxa" w:w="70"/>
              <w:left w:type="dxa" w:w="100"/>
              <w:bottom w:type="dxa" w:w="70"/>
              <w:right w:type="dxa" w:w="100"/>
            </w:tcMar>
          </w:tcPr>
          <w:p>
            <w:r>
              <w:rPr>
                <w:sz w:val="20"/>
                <w:szCs w:val="20"/>
              </w:rPr>
              <w:t xml:space="preserve">Must</w:t>
            </w:r>
          </w:p>
        </w:tc>
      </w:tr>
      <w:tr>
        <w:tc>
          <w:tcPr>
            <w:tcW w:type="dxa" w:w="1000"/>
            <w:shd w:fill="EAF1F4" w:color="auto" w:val="clear"/>
            <w:tcMar>
              <w:top w:type="dxa" w:w="70"/>
              <w:left w:type="dxa" w:w="100"/>
              <w:bottom w:type="dxa" w:w="70"/>
              <w:right w:type="dxa" w:w="100"/>
            </w:tcMar>
          </w:tcPr>
          <w:p>
            <w:r>
              <w:rPr>
                <w:sz w:val="20"/>
                <w:szCs w:val="20"/>
              </w:rPr>
              <w:t xml:space="preserve">BR-19.2</w:t>
            </w:r>
          </w:p>
        </w:tc>
        <w:tc>
          <w:tcPr>
            <w:tcW w:type="dxa" w:w="6900"/>
            <w:shd w:fill="EAF1F4" w:color="auto" w:val="clear"/>
            <w:tcMar>
              <w:top w:type="dxa" w:w="70"/>
              <w:left w:type="dxa" w:w="100"/>
              <w:bottom w:type="dxa" w:w="70"/>
              <w:right w:type="dxa" w:w="100"/>
            </w:tcMar>
          </w:tcPr>
          <w:p>
            <w:r>
              <w:rPr>
                <w:sz w:val="20"/>
                <w:szCs w:val="20"/>
              </w:rPr>
              <w:t xml:space="preserve">Business reports: revenue, profit, margin, customer and product profitability.</w:t>
            </w:r>
          </w:p>
        </w:tc>
        <w:tc>
          <w:tcPr>
            <w:tcW w:type="dxa" w:w="1450"/>
            <w:shd w:fill="EAF1F4" w:color="auto" w:val="clear"/>
            <w:tcMar>
              <w:top w:type="dxa" w:w="70"/>
              <w:left w:type="dxa" w:w="100"/>
              <w:bottom w:type="dxa" w:w="70"/>
              <w:right w:type="dxa" w:w="100"/>
            </w:tcMar>
          </w:tcPr>
          <w:p>
            <w:r>
              <w:rPr>
                <w:sz w:val="20"/>
                <w:szCs w:val="20"/>
              </w:rPr>
              <w:t xml:space="preserve">Should</w:t>
            </w:r>
          </w:p>
        </w:tc>
      </w:tr>
      <w:tr>
        <w:tc>
          <w:tcPr>
            <w:tcW w:type="dxa" w:w="1000"/>
            <w:shd w:fill="FFFFFF" w:color="auto" w:val="clear"/>
            <w:tcMar>
              <w:top w:type="dxa" w:w="70"/>
              <w:left w:type="dxa" w:w="100"/>
              <w:bottom w:type="dxa" w:w="70"/>
              <w:right w:type="dxa" w:w="100"/>
            </w:tcMar>
          </w:tcPr>
          <w:p>
            <w:r>
              <w:rPr>
                <w:sz w:val="20"/>
                <w:szCs w:val="20"/>
              </w:rPr>
              <w:t xml:space="preserve">BR-19.3</w:t>
            </w:r>
          </w:p>
        </w:tc>
        <w:tc>
          <w:tcPr>
            <w:tcW w:type="dxa" w:w="6900"/>
            <w:shd w:fill="FFFFFF" w:color="auto" w:val="clear"/>
            <w:tcMar>
              <w:top w:type="dxa" w:w="70"/>
              <w:left w:type="dxa" w:w="100"/>
              <w:bottom w:type="dxa" w:w="70"/>
              <w:right w:type="dxa" w:w="100"/>
            </w:tcMar>
          </w:tcPr>
          <w:p>
            <w:r>
              <w:rPr>
                <w:sz w:val="20"/>
                <w:szCs w:val="20"/>
              </w:rPr>
              <w:t xml:space="preserve">Working-capital reports: receivables/payables ageing, cash flow.</w:t>
            </w:r>
          </w:p>
        </w:tc>
        <w:tc>
          <w:tcPr>
            <w:tcW w:type="dxa" w:w="1450"/>
            <w:shd w:fill="FFFFFF" w:color="auto" w:val="clear"/>
            <w:tcMar>
              <w:top w:type="dxa" w:w="70"/>
              <w:left w:type="dxa" w:w="100"/>
              <w:bottom w:type="dxa" w:w="70"/>
              <w:right w:type="dxa" w:w="100"/>
            </w:tcMar>
          </w:tcPr>
          <w:p>
            <w:r>
              <w:rPr>
                <w:sz w:val="20"/>
                <w:szCs w:val="20"/>
              </w:rPr>
              <w:t xml:space="preserve">Should</w:t>
            </w:r>
          </w:p>
        </w:tc>
      </w:tr>
      <w:tr>
        <w:tc>
          <w:tcPr>
            <w:tcW w:type="dxa" w:w="1000"/>
            <w:shd w:fill="EAF1F4" w:color="auto" w:val="clear"/>
            <w:tcMar>
              <w:top w:type="dxa" w:w="70"/>
              <w:left w:type="dxa" w:w="100"/>
              <w:bottom w:type="dxa" w:w="70"/>
              <w:right w:type="dxa" w:w="100"/>
            </w:tcMar>
          </w:tcPr>
          <w:p>
            <w:r>
              <w:rPr>
                <w:sz w:val="20"/>
                <w:szCs w:val="20"/>
              </w:rPr>
              <w:t xml:space="preserve">BR-19.4</w:t>
            </w:r>
          </w:p>
        </w:tc>
        <w:tc>
          <w:tcPr>
            <w:tcW w:type="dxa" w:w="6900"/>
            <w:shd w:fill="EAF1F4" w:color="auto" w:val="clear"/>
            <w:tcMar>
              <w:top w:type="dxa" w:w="70"/>
              <w:left w:type="dxa" w:w="100"/>
              <w:bottom w:type="dxa" w:w="70"/>
              <w:right w:type="dxa" w:w="100"/>
            </w:tcMar>
          </w:tcPr>
          <w:p>
            <w:r>
              <w:rPr>
                <w:sz w:val="20"/>
                <w:szCs w:val="20"/>
              </w:rPr>
              <w:t xml:space="preserve">GST reports: output/input GST, ITC, reconciliation status, return summaries.</w:t>
            </w:r>
          </w:p>
        </w:tc>
        <w:tc>
          <w:tcPr>
            <w:tcW w:type="dxa" w:w="1450"/>
            <w:shd w:fill="EAF1F4" w:color="auto" w:val="clear"/>
            <w:tcMar>
              <w:top w:type="dxa" w:w="70"/>
              <w:left w:type="dxa" w:w="100"/>
              <w:bottom w:type="dxa" w:w="70"/>
              <w:right w:type="dxa" w:w="100"/>
            </w:tcMar>
          </w:tcPr>
          <w:p>
            <w:r>
              <w:rPr>
                <w:sz w:val="20"/>
                <w:szCs w:val="20"/>
              </w:rPr>
              <w:t xml:space="preserve">Must</w:t>
            </w:r>
          </w:p>
        </w:tc>
      </w:tr>
    </w:tbl>
    <w:p>
      <w:pPr>
        <w:spacing w:after="160"/>
      </w:pPr>
    </w:p>
    <w:p>
      <w:pPr>
        <w:pStyle w:val="Heading2"/>
        <w:spacing w:after="120" w:before="260"/>
      </w:pPr>
      <w:r>
        <w:t xml:space="preserve">BR-20  AI Business Copilot &amp; Anomaly Detection</w:t>
      </w:r>
    </w:p>
    <w:p>
      <w:pPr>
        <w:spacing w:after="160"/>
      </w:pPr>
      <w:r>
        <w:t xml:space="preserve">Once data is structured, the business wants to interrogate it conversationally and be warned proactively about problems.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50"/>
      </w:tblGrid>
      <w:tr>
        <w:trPr>
          <w:tblHeader/>
        </w:trPr>
        <w:tc>
          <w:tcPr>
            <w:tcW w:type="dxa" w:w="1000"/>
            <w:shd w:fill="1F3A5F" w:color="auto" w:val="clear"/>
            <w:tcMar>
              <w:top w:type="dxa" w:w="80"/>
              <w:left w:type="dxa" w:w="100"/>
              <w:bottom w:type="dxa" w:w="80"/>
              <w:right w:type="dxa" w:w="100"/>
            </w:tcMar>
          </w:tcPr>
          <w:p>
            <w:r>
              <w:rPr>
                <w:b/>
                <w:bCs/>
                <w:color w:val="FFFFFF"/>
                <w:sz w:val="20"/>
                <w:szCs w:val="20"/>
              </w:rPr>
              <w:t xml:space="preserve">ID</w:t>
            </w:r>
          </w:p>
        </w:tc>
        <w:tc>
          <w:tcPr>
            <w:tcW w:type="dxa" w:w="6900"/>
            <w:shd w:fill="1F3A5F" w:color="auto" w:val="clear"/>
            <w:tcMar>
              <w:top w:type="dxa" w:w="80"/>
              <w:left w:type="dxa" w:w="100"/>
              <w:bottom w:type="dxa" w:w="80"/>
              <w:right w:type="dxa" w:w="100"/>
            </w:tcMar>
          </w:tcPr>
          <w:p>
            <w:r>
              <w:rPr>
                <w:b/>
                <w:bCs/>
                <w:color w:val="FFFFFF"/>
                <w:sz w:val="20"/>
                <w:szCs w:val="20"/>
              </w:rPr>
              <w:t xml:space="preserve">Requirement</w:t>
            </w:r>
          </w:p>
        </w:tc>
        <w:tc>
          <w:tcPr>
            <w:tcW w:type="dxa" w:w="1450"/>
            <w:shd w:fill="1F3A5F" w:color="auto" w:val="clear"/>
            <w:tcMar>
              <w:top w:type="dxa" w:w="80"/>
              <w:left w:type="dxa" w:w="100"/>
              <w:bottom w:type="dxa" w:w="80"/>
              <w:right w:type="dxa" w:w="100"/>
            </w:tcMar>
          </w:tcPr>
          <w:p>
            <w:r>
              <w:rPr>
                <w:b/>
                <w:bCs/>
                <w:color w:val="FFFFFF"/>
                <w:sz w:val="20"/>
                <w:szCs w:val="20"/>
              </w:rPr>
              <w:t xml:space="preserve">Priority</w:t>
            </w:r>
          </w:p>
        </w:tc>
      </w:tr>
      <w:tr>
        <w:tc>
          <w:tcPr>
            <w:tcW w:type="dxa" w:w="1000"/>
            <w:shd w:fill="FFFFFF" w:color="auto" w:val="clear"/>
            <w:tcMar>
              <w:top w:type="dxa" w:w="70"/>
              <w:left w:type="dxa" w:w="100"/>
              <w:bottom w:type="dxa" w:w="70"/>
              <w:right w:type="dxa" w:w="100"/>
            </w:tcMar>
          </w:tcPr>
          <w:p>
            <w:r>
              <w:rPr>
                <w:sz w:val="20"/>
                <w:szCs w:val="20"/>
              </w:rPr>
              <w:t xml:space="preserve">BR-20.1</w:t>
            </w:r>
          </w:p>
        </w:tc>
        <w:tc>
          <w:tcPr>
            <w:tcW w:type="dxa" w:w="6900"/>
            <w:shd w:fill="FFFFFF" w:color="auto" w:val="clear"/>
            <w:tcMar>
              <w:top w:type="dxa" w:w="70"/>
              <w:left w:type="dxa" w:w="100"/>
              <w:bottom w:type="dxa" w:w="70"/>
              <w:right w:type="dxa" w:w="100"/>
            </w:tcMar>
          </w:tcPr>
          <w:p>
            <w:r>
              <w:rPr>
                <w:sz w:val="20"/>
                <w:szCs w:val="20"/>
              </w:rPr>
              <w:t xml:space="preserve">Allow natural-language questions over the business's own structured data (e.g. "who owes me money", "why did profit fall").</w:t>
            </w:r>
          </w:p>
        </w:tc>
        <w:tc>
          <w:tcPr>
            <w:tcW w:type="dxa" w:w="1450"/>
            <w:shd w:fill="FFFFFF" w:color="auto" w:val="clear"/>
            <w:tcMar>
              <w:top w:type="dxa" w:w="70"/>
              <w:left w:type="dxa" w:w="100"/>
              <w:bottom w:type="dxa" w:w="70"/>
              <w:right w:type="dxa" w:w="100"/>
            </w:tcMar>
          </w:tcPr>
          <w:p>
            <w:r>
              <w:rPr>
                <w:sz w:val="20"/>
                <w:szCs w:val="20"/>
              </w:rPr>
              <w:t xml:space="preserve">Should</w:t>
            </w:r>
          </w:p>
        </w:tc>
      </w:tr>
      <w:tr>
        <w:tc>
          <w:tcPr>
            <w:tcW w:type="dxa" w:w="1000"/>
            <w:shd w:fill="EAF1F4" w:color="auto" w:val="clear"/>
            <w:tcMar>
              <w:top w:type="dxa" w:w="70"/>
              <w:left w:type="dxa" w:w="100"/>
              <w:bottom w:type="dxa" w:w="70"/>
              <w:right w:type="dxa" w:w="100"/>
            </w:tcMar>
          </w:tcPr>
          <w:p>
            <w:r>
              <w:rPr>
                <w:sz w:val="20"/>
                <w:szCs w:val="20"/>
              </w:rPr>
              <w:t xml:space="preserve">BR-20.2</w:t>
            </w:r>
          </w:p>
        </w:tc>
        <w:tc>
          <w:tcPr>
            <w:tcW w:type="dxa" w:w="6900"/>
            <w:shd w:fill="EAF1F4" w:color="auto" w:val="clear"/>
            <w:tcMar>
              <w:top w:type="dxa" w:w="70"/>
              <w:left w:type="dxa" w:w="100"/>
              <w:bottom w:type="dxa" w:w="70"/>
              <w:right w:type="dxa" w:w="100"/>
            </w:tcMar>
          </w:tcPr>
          <w:p>
            <w:r>
              <w:rPr>
                <w:sz w:val="20"/>
                <w:szCs w:val="20"/>
              </w:rPr>
              <w:t xml:space="preserve">Detect anomalies (duplicate invoices, unusual expenses, GSTIN irregularities, suspicious journals) using rule/statistical methods, with AI generating the explanation.</w:t>
            </w:r>
          </w:p>
        </w:tc>
        <w:tc>
          <w:tcPr>
            <w:tcW w:type="dxa" w:w="1450"/>
            <w:shd w:fill="EAF1F4" w:color="auto" w:val="clear"/>
            <w:tcMar>
              <w:top w:type="dxa" w:w="70"/>
              <w:left w:type="dxa" w:w="100"/>
              <w:bottom w:type="dxa" w:w="70"/>
              <w:right w:type="dxa" w:w="100"/>
            </w:tcMar>
          </w:tcPr>
          <w:p>
            <w:r>
              <w:rPr>
                <w:sz w:val="20"/>
                <w:szCs w:val="20"/>
              </w:rPr>
              <w:t xml:space="preserve">Should</w:t>
            </w:r>
          </w:p>
        </w:tc>
      </w:tr>
      <w:tr>
        <w:tc>
          <w:tcPr>
            <w:tcW w:type="dxa" w:w="1000"/>
            <w:shd w:fill="FFFFFF" w:color="auto" w:val="clear"/>
            <w:tcMar>
              <w:top w:type="dxa" w:w="70"/>
              <w:left w:type="dxa" w:w="100"/>
              <w:bottom w:type="dxa" w:w="70"/>
              <w:right w:type="dxa" w:w="100"/>
            </w:tcMar>
          </w:tcPr>
          <w:p>
            <w:r>
              <w:rPr>
                <w:sz w:val="20"/>
                <w:szCs w:val="20"/>
              </w:rPr>
              <w:t xml:space="preserve">BR-20.3</w:t>
            </w:r>
          </w:p>
        </w:tc>
        <w:tc>
          <w:tcPr>
            <w:tcW w:type="dxa" w:w="6900"/>
            <w:shd w:fill="FFFFFF" w:color="auto" w:val="clear"/>
            <w:tcMar>
              <w:top w:type="dxa" w:w="70"/>
              <w:left w:type="dxa" w:w="100"/>
              <w:bottom w:type="dxa" w:w="70"/>
              <w:right w:type="dxa" w:w="100"/>
            </w:tcMar>
          </w:tcPr>
          <w:p>
            <w:r>
              <w:rPr>
                <w:sz w:val="20"/>
                <w:szCs w:val="20"/>
              </w:rPr>
              <w:t xml:space="preserve">Support configurable automation/alerts (overdue reminders, recurring invoices, low-stock alerts, scheduled reports).</w:t>
            </w:r>
          </w:p>
        </w:tc>
        <w:tc>
          <w:tcPr>
            <w:tcW w:type="dxa" w:w="1450"/>
            <w:shd w:fill="FFFFFF" w:color="auto" w:val="clear"/>
            <w:tcMar>
              <w:top w:type="dxa" w:w="70"/>
              <w:left w:type="dxa" w:w="100"/>
              <w:bottom w:type="dxa" w:w="70"/>
              <w:right w:type="dxa" w:w="100"/>
            </w:tcMar>
          </w:tcPr>
          <w:p>
            <w:r>
              <w:rPr>
                <w:sz w:val="20"/>
                <w:szCs w:val="20"/>
              </w:rPr>
              <w:t xml:space="preserve">Could</w:t>
            </w:r>
          </w:p>
        </w:tc>
      </w:tr>
    </w:tbl>
    <w:p>
      <w:pPr>
        <w:spacing w:after="160"/>
      </w:pPr>
    </w:p>
    <w:p>
      <w:pPr>
        <w:pStyle w:val="Heading1"/>
        <w:spacing w:after="160" w:before="360"/>
      </w:pPr>
      <w:r>
        <w:t xml:space="preserve">7. Assumptions</w:t>
      </w:r>
    </w:p>
    <w:p>
      <w:pPr>
        <w:pStyle w:val="ListParagraph"/>
        <w:numPr>
          <w:ilvl w:val="0"/>
          <w:numId w:val="1"/>
        </w:numPr>
        <w:spacing w:after="80"/>
      </w:pPr>
      <w:r>
        <w:t xml:space="preserve">Users have access to a smartphone or computer with a camera and reasonable internet connectivity.</w:t>
      </w:r>
    </w:p>
    <w:p>
      <w:pPr>
        <w:pStyle w:val="ListParagraph"/>
        <w:numPr>
          <w:ilvl w:val="0"/>
          <w:numId w:val="1"/>
        </w:numPr>
        <w:spacing w:after="80"/>
      </w:pPr>
      <w:r>
        <w:t xml:space="preserve">A GSP (GST Suvidha Provider) or equivalent authorised API partner will be engaged for government connectivity rather than the platform integrating directly with GSTN infrastructure from day one.</w:t>
      </w:r>
    </w:p>
    <w:p>
      <w:pPr>
        <w:pStyle w:val="ListParagraph"/>
        <w:numPr>
          <w:ilvl w:val="0"/>
          <w:numId w:val="1"/>
        </w:numPr>
        <w:spacing w:after="80"/>
      </w:pPr>
      <w:r>
        <w:t xml:space="preserve">Initial rollout targets a common business profile (regular-scheme, single-state or limited multi-state trading/services businesses) before expanding to composition scheme, exports, and e-commerce operator scenarios.</w:t>
      </w:r>
    </w:p>
    <w:p>
      <w:pPr>
        <w:pStyle w:val="ListParagraph"/>
        <w:numPr>
          <w:ilvl w:val="0"/>
          <w:numId w:val="1"/>
        </w:numPr>
        <w:spacing w:after="80"/>
      </w:pPr>
      <w:r>
        <w:t xml:space="preserve">Users are willing to review and confirm AI-suggested classifications (HSN/SAC, GST treatment) at least the first time each product/scenario is encountered.</w:t>
      </w:r>
    </w:p>
    <w:p>
      <w:pPr>
        <w:pStyle w:val="Heading1"/>
        <w:spacing w:after="160" w:before="360"/>
      </w:pPr>
      <w:r>
        <w:t xml:space="preserve">8. Constraints</w:t>
      </w:r>
    </w:p>
    <w:p>
      <w:pPr>
        <w:pStyle w:val="ListParagraph"/>
        <w:numPr>
          <w:ilvl w:val="0"/>
          <w:numId w:val="1"/>
        </w:numPr>
        <w:spacing w:after="80"/>
      </w:pPr>
      <w:r>
        <w:t xml:space="preserve">GST calculation and return generation must be deterministic and versioned — no reliance on a language model for the tax computation itself.</w:t>
      </w:r>
    </w:p>
    <w:p>
      <w:pPr>
        <w:pStyle w:val="ListParagraph"/>
        <w:numPr>
          <w:ilvl w:val="0"/>
          <w:numId w:val="1"/>
        </w:numPr>
        <w:spacing w:after="80"/>
      </w:pPr>
      <w:r>
        <w:t xml:space="preserve">The system must never file a statutory return or make an irreversible government submission without explicit user approval.</w:t>
      </w:r>
    </w:p>
    <w:p>
      <w:pPr>
        <w:pStyle w:val="ListParagraph"/>
        <w:numPr>
          <w:ilvl w:val="0"/>
          <w:numId w:val="1"/>
        </w:numPr>
        <w:spacing w:after="80"/>
      </w:pPr>
      <w:r>
        <w:t xml:space="preserve">Financial records, once posted, must be corrected via tracked adjustments, not silent edits or deletion.</w:t>
      </w:r>
    </w:p>
    <w:p>
      <w:pPr>
        <w:pStyle w:val="ListParagraph"/>
        <w:numPr>
          <w:ilvl w:val="0"/>
          <w:numId w:val="1"/>
        </w:numPr>
        <w:spacing w:after="80"/>
      </w:pPr>
      <w:r>
        <w:t xml:space="preserve">The platform must remain aligned with CBIC/GSTN rule changes on an ongoing basis; stale tax rules are a compliance risk, not just a bug.</w:t>
      </w:r>
    </w:p>
    <w:p>
      <w:pPr>
        <w:pStyle w:val="Heading1"/>
        <w:spacing w:after="160" w:before="360"/>
      </w:pPr>
      <w:r>
        <w:t xml:space="preserve">9. Risks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2650"/>
        <w:gridCol w:w="950"/>
        <w:gridCol w:w="4200"/>
      </w:tblGrid>
      <w:tr>
        <w:trPr>
          <w:tblHeader/>
        </w:trPr>
        <w:tc>
          <w:tcPr>
            <w:tcW w:type="dxa" w:w="1550"/>
            <w:shd w:fill="1F3A5F" w:color="auto" w:val="clear"/>
            <w:tcMar>
              <w:top w:type="dxa" w:w="80"/>
              <w:left w:type="dxa" w:w="100"/>
              <w:bottom w:type="dxa" w:w="80"/>
              <w:right w:type="dxa" w:w="100"/>
            </w:tcMar>
          </w:tcPr>
          <w:p>
            <w:r>
              <w:rPr>
                <w:b/>
                <w:bCs/>
                <w:color w:val="FFFFFF"/>
                <w:sz w:val="20"/>
                <w:szCs w:val="20"/>
              </w:rPr>
              <w:t xml:space="preserve">Risk</w:t>
            </w:r>
          </w:p>
        </w:tc>
        <w:tc>
          <w:tcPr>
            <w:tcW w:type="dxa" w:w="2650"/>
            <w:shd w:fill="1F3A5F" w:color="auto" w:val="clear"/>
            <w:tcMar>
              <w:top w:type="dxa" w:w="80"/>
              <w:left w:type="dxa" w:w="100"/>
              <w:bottom w:type="dxa" w:w="80"/>
              <w:right w:type="dxa" w:w="100"/>
            </w:tcMar>
          </w:tcPr>
          <w:p>
            <w:r>
              <w:rPr>
                <w:b/>
                <w:bCs/>
                <w:color w:val="FFFFFF"/>
                <w:sz w:val="20"/>
                <w:szCs w:val="20"/>
              </w:rPr>
              <w:t xml:space="preserve">Description</w:t>
            </w:r>
          </w:p>
        </w:tc>
        <w:tc>
          <w:tcPr>
            <w:tcW w:type="dxa" w:w="950"/>
            <w:shd w:fill="1F3A5F" w:color="auto" w:val="clear"/>
            <w:tcMar>
              <w:top w:type="dxa" w:w="80"/>
              <w:left w:type="dxa" w:w="100"/>
              <w:bottom w:type="dxa" w:w="80"/>
              <w:right w:type="dxa" w:w="100"/>
            </w:tcMar>
          </w:tcPr>
          <w:p>
            <w:r>
              <w:rPr>
                <w:b/>
                <w:bCs/>
                <w:color w:val="FFFFFF"/>
                <w:sz w:val="20"/>
                <w:szCs w:val="20"/>
              </w:rPr>
              <w:t xml:space="preserve">Impact</w:t>
            </w:r>
          </w:p>
        </w:tc>
        <w:tc>
          <w:tcPr>
            <w:tcW w:type="dxa" w:w="4200"/>
            <w:shd w:fill="1F3A5F" w:color="auto" w:val="clear"/>
            <w:tcMar>
              <w:top w:type="dxa" w:w="80"/>
              <w:left w:type="dxa" w:w="100"/>
              <w:bottom w:type="dxa" w:w="80"/>
              <w:right w:type="dxa" w:w="100"/>
            </w:tcMar>
          </w:tcPr>
          <w:p>
            <w:r>
              <w:rPr>
                <w:b/>
                <w:bCs/>
                <w:color w:val="FFFFFF"/>
                <w:sz w:val="20"/>
                <w:szCs w:val="20"/>
              </w:rPr>
              <w:t xml:space="preserve">Mitigation</w:t>
            </w:r>
          </w:p>
        </w:tc>
      </w:tr>
      <w:tr>
        <w:tc>
          <w:tcPr>
            <w:tcW w:type="dxa" w:w="1550"/>
            <w:shd w:fill="FFFFFF" w:color="auto" w:val="clear"/>
            <w:tcMar>
              <w:top w:type="dxa" w:w="70"/>
              <w:left w:type="dxa" w:w="100"/>
              <w:bottom w:type="dxa" w:w="70"/>
              <w:right w:type="dxa" w:w="100"/>
            </w:tcMar>
          </w:tcPr>
          <w:p>
            <w:r>
              <w:rPr>
                <w:sz w:val="20"/>
                <w:szCs w:val="20"/>
              </w:rPr>
              <w:t xml:space="preserve">GST rule changes</w:t>
            </w:r>
          </w:p>
        </w:tc>
        <w:tc>
          <w:tcPr>
            <w:tcW w:type="dxa" w:w="2650"/>
            <w:shd w:fill="FFFFFF" w:color="auto" w:val="clear"/>
            <w:tcMar>
              <w:top w:type="dxa" w:w="70"/>
              <w:left w:type="dxa" w:w="100"/>
              <w:bottom w:type="dxa" w:w="70"/>
              <w:right w:type="dxa" w:w="100"/>
            </w:tcMar>
          </w:tcPr>
          <w:p>
            <w:r>
              <w:rPr>
                <w:sz w:val="20"/>
                <w:szCs w:val="20"/>
              </w:rPr>
              <w:t xml:space="preserve">Tax rates, forms, or processes change; incorrect filings if not updated quickly.</w:t>
            </w:r>
          </w:p>
        </w:tc>
        <w:tc>
          <w:tcPr>
            <w:tcW w:type="dxa" w:w="950"/>
            <w:shd w:fill="FFFFFF" w:color="auto" w:val="clear"/>
            <w:tcMar>
              <w:top w:type="dxa" w:w="70"/>
              <w:left w:type="dxa" w:w="100"/>
              <w:bottom w:type="dxa" w:w="70"/>
              <w:right w:type="dxa" w:w="100"/>
            </w:tcMar>
          </w:tcPr>
          <w:p>
            <w:r>
              <w:rPr>
                <w:sz w:val="20"/>
                <w:szCs w:val="20"/>
              </w:rPr>
              <w:t xml:space="preserve">High</w:t>
            </w:r>
          </w:p>
        </w:tc>
        <w:tc>
          <w:tcPr>
            <w:tcW w:type="dxa" w:w="4200"/>
            <w:shd w:fill="FFFFFF" w:color="auto" w:val="clear"/>
            <w:tcMar>
              <w:top w:type="dxa" w:w="70"/>
              <w:left w:type="dxa" w:w="100"/>
              <w:bottom w:type="dxa" w:w="70"/>
              <w:right w:type="dxa" w:w="100"/>
            </w:tcMar>
          </w:tcPr>
          <w:p>
            <w:r>
              <w:rPr>
                <w:sz w:val="20"/>
                <w:szCs w:val="20"/>
              </w:rPr>
              <w:t xml:space="preserve">Maintain a versioned, centrally-updated tax rules master; subscribe to CBIC/GSTN change notifications.</w:t>
            </w:r>
          </w:p>
        </w:tc>
      </w:tr>
      <w:tr>
        <w:tc>
          <w:tcPr>
            <w:tcW w:type="dxa" w:w="1550"/>
            <w:shd w:fill="EAF1F4" w:color="auto" w:val="clear"/>
            <w:tcMar>
              <w:top w:type="dxa" w:w="70"/>
              <w:left w:type="dxa" w:w="100"/>
              <w:bottom w:type="dxa" w:w="70"/>
              <w:right w:type="dxa" w:w="100"/>
            </w:tcMar>
          </w:tcPr>
          <w:p>
            <w:r>
              <w:rPr>
                <w:sz w:val="20"/>
                <w:szCs w:val="20"/>
              </w:rPr>
              <w:t xml:space="preserve">OCR/AI extraction errors</w:t>
            </w:r>
          </w:p>
        </w:tc>
        <w:tc>
          <w:tcPr>
            <w:tcW w:type="dxa" w:w="2650"/>
            <w:shd w:fill="EAF1F4" w:color="auto" w:val="clear"/>
            <w:tcMar>
              <w:top w:type="dxa" w:w="70"/>
              <w:left w:type="dxa" w:w="100"/>
              <w:bottom w:type="dxa" w:w="70"/>
              <w:right w:type="dxa" w:w="100"/>
            </w:tcMar>
          </w:tcPr>
          <w:p>
            <w:r>
              <w:rPr>
                <w:sz w:val="20"/>
                <w:szCs w:val="20"/>
              </w:rPr>
              <w:t xml:space="preserve">Misread invoices lead to wrong accounting or tax entries.</w:t>
            </w:r>
          </w:p>
        </w:tc>
        <w:tc>
          <w:tcPr>
            <w:tcW w:type="dxa" w:w="950"/>
            <w:shd w:fill="EAF1F4" w:color="auto" w:val="clear"/>
            <w:tcMar>
              <w:top w:type="dxa" w:w="70"/>
              <w:left w:type="dxa" w:w="100"/>
              <w:bottom w:type="dxa" w:w="70"/>
              <w:right w:type="dxa" w:w="100"/>
            </w:tcMar>
          </w:tcPr>
          <w:p>
            <w:r>
              <w:rPr>
                <w:sz w:val="20"/>
                <w:szCs w:val="20"/>
              </w:rPr>
              <w:t xml:space="preserve">High</w:t>
            </w:r>
          </w:p>
        </w:tc>
        <w:tc>
          <w:tcPr>
            <w:tcW w:type="dxa" w:w="4200"/>
            <w:shd w:fill="EAF1F4" w:color="auto" w:val="clear"/>
            <w:tcMar>
              <w:top w:type="dxa" w:w="70"/>
              <w:left w:type="dxa" w:w="100"/>
              <w:bottom w:type="dxa" w:w="70"/>
              <w:right w:type="dxa" w:w="100"/>
            </w:tcMar>
          </w:tcPr>
          <w:p>
            <w:r>
              <w:rPr>
                <w:sz w:val="20"/>
                <w:szCs w:val="20"/>
              </w:rPr>
              <w:t xml:space="preserve">Confidence thresholds with mandatory user confirmation below threshold; continuous accuracy monitoring.</w:t>
            </w:r>
          </w:p>
        </w:tc>
      </w:tr>
      <w:tr>
        <w:tc>
          <w:tcPr>
            <w:tcW w:type="dxa" w:w="1550"/>
            <w:shd w:fill="FFFFFF" w:color="auto" w:val="clear"/>
            <w:tcMar>
              <w:top w:type="dxa" w:w="70"/>
              <w:left w:type="dxa" w:w="100"/>
              <w:bottom w:type="dxa" w:w="70"/>
              <w:right w:type="dxa" w:w="100"/>
            </w:tcMar>
          </w:tcPr>
          <w:p>
            <w:r>
              <w:rPr>
                <w:sz w:val="20"/>
                <w:szCs w:val="20"/>
              </w:rPr>
              <w:t xml:space="preserve">Incorrect autonomous filing</w:t>
            </w:r>
          </w:p>
        </w:tc>
        <w:tc>
          <w:tcPr>
            <w:tcW w:type="dxa" w:w="2650"/>
            <w:shd w:fill="FFFFFF" w:color="auto" w:val="clear"/>
            <w:tcMar>
              <w:top w:type="dxa" w:w="70"/>
              <w:left w:type="dxa" w:w="100"/>
              <w:bottom w:type="dxa" w:w="70"/>
              <w:right w:type="dxa" w:w="100"/>
            </w:tcMar>
          </w:tcPr>
          <w:p>
            <w:r>
              <w:rPr>
                <w:sz w:val="20"/>
                <w:szCs w:val="20"/>
              </w:rPr>
              <w:t xml:space="preserve">AI files a return without adequate review, creating legal liability.</w:t>
            </w:r>
          </w:p>
        </w:tc>
        <w:tc>
          <w:tcPr>
            <w:tcW w:type="dxa" w:w="950"/>
            <w:shd w:fill="FFFFFF" w:color="auto" w:val="clear"/>
            <w:tcMar>
              <w:top w:type="dxa" w:w="70"/>
              <w:left w:type="dxa" w:w="100"/>
              <w:bottom w:type="dxa" w:w="70"/>
              <w:right w:type="dxa" w:w="100"/>
            </w:tcMar>
          </w:tcPr>
          <w:p>
            <w:r>
              <w:rPr>
                <w:sz w:val="20"/>
                <w:szCs w:val="20"/>
              </w:rPr>
              <w:t xml:space="preserve">Critical</w:t>
            </w:r>
          </w:p>
        </w:tc>
        <w:tc>
          <w:tcPr>
            <w:tcW w:type="dxa" w:w="4200"/>
            <w:shd w:fill="FFFFFF" w:color="auto" w:val="clear"/>
            <w:tcMar>
              <w:top w:type="dxa" w:w="70"/>
              <w:left w:type="dxa" w:w="100"/>
              <w:bottom w:type="dxa" w:w="70"/>
              <w:right w:type="dxa" w:w="100"/>
            </w:tcMar>
          </w:tcPr>
          <w:p>
            <w:r>
              <w:rPr>
                <w:sz w:val="20"/>
                <w:szCs w:val="20"/>
              </w:rPr>
              <w:t xml:space="preserve">Hard requirement: user approval gate before any filing action; no autonomous filing permitted.</w:t>
            </w:r>
          </w:p>
        </w:tc>
      </w:tr>
      <w:tr>
        <w:tc>
          <w:tcPr>
            <w:tcW w:type="dxa" w:w="1550"/>
            <w:shd w:fill="EAF1F4" w:color="auto" w:val="clear"/>
            <w:tcMar>
              <w:top w:type="dxa" w:w="70"/>
              <w:left w:type="dxa" w:w="100"/>
              <w:bottom w:type="dxa" w:w="70"/>
              <w:right w:type="dxa" w:w="100"/>
            </w:tcMar>
          </w:tcPr>
          <w:p>
            <w:r>
              <w:rPr>
                <w:sz w:val="20"/>
                <w:szCs w:val="20"/>
              </w:rPr>
              <w:t xml:space="preserve">GSP/API dependency</w:t>
            </w:r>
          </w:p>
        </w:tc>
        <w:tc>
          <w:tcPr>
            <w:tcW w:type="dxa" w:w="2650"/>
            <w:shd w:fill="EAF1F4" w:color="auto" w:val="clear"/>
            <w:tcMar>
              <w:top w:type="dxa" w:w="70"/>
              <w:left w:type="dxa" w:w="100"/>
              <w:bottom w:type="dxa" w:w="70"/>
              <w:right w:type="dxa" w:w="100"/>
            </w:tcMar>
          </w:tcPr>
          <w:p>
            <w:r>
              <w:rPr>
                <w:sz w:val="20"/>
                <w:szCs w:val="20"/>
              </w:rPr>
              <w:t xml:space="preserve">Reliance on a third-party GST Suvidha Provider for core compliance features.</w:t>
            </w:r>
          </w:p>
        </w:tc>
        <w:tc>
          <w:tcPr>
            <w:tcW w:type="dxa" w:w="950"/>
            <w:shd w:fill="EAF1F4" w:color="auto" w:val="clear"/>
            <w:tcMar>
              <w:top w:type="dxa" w:w="70"/>
              <w:left w:type="dxa" w:w="100"/>
              <w:bottom w:type="dxa" w:w="70"/>
              <w:right w:type="dxa" w:w="100"/>
            </w:tcMar>
          </w:tcPr>
          <w:p>
            <w:r>
              <w:rPr>
                <w:sz w:val="20"/>
                <w:szCs w:val="20"/>
              </w:rPr>
              <w:t xml:space="preserve">Medium</w:t>
            </w:r>
          </w:p>
        </w:tc>
        <w:tc>
          <w:tcPr>
            <w:tcW w:type="dxa" w:w="4200"/>
            <w:shd w:fill="EAF1F4" w:color="auto" w:val="clear"/>
            <w:tcMar>
              <w:top w:type="dxa" w:w="70"/>
              <w:left w:type="dxa" w:w="100"/>
              <w:bottom w:type="dxa" w:w="70"/>
              <w:right w:type="dxa" w:w="100"/>
            </w:tcMar>
          </w:tcPr>
          <w:p>
            <w:r>
              <w:rPr>
                <w:sz w:val="20"/>
                <w:szCs w:val="20"/>
              </w:rPr>
              <w:t xml:space="preserve">Select a reputable, GSTN-authorised GSP; design an abstraction layer to allow provider switching.</w:t>
            </w:r>
          </w:p>
        </w:tc>
      </w:tr>
      <w:tr>
        <w:tc>
          <w:tcPr>
            <w:tcW w:type="dxa" w:w="1550"/>
            <w:shd w:fill="FFFFFF" w:color="auto" w:val="clear"/>
            <w:tcMar>
              <w:top w:type="dxa" w:w="70"/>
              <w:left w:type="dxa" w:w="100"/>
              <w:bottom w:type="dxa" w:w="70"/>
              <w:right w:type="dxa" w:w="100"/>
            </w:tcMar>
          </w:tcPr>
          <w:p>
            <w:r>
              <w:rPr>
                <w:sz w:val="20"/>
                <w:szCs w:val="20"/>
              </w:rPr>
              <w:t xml:space="preserve">Data security &amp; privacy</w:t>
            </w:r>
          </w:p>
        </w:tc>
        <w:tc>
          <w:tcPr>
            <w:tcW w:type="dxa" w:w="2650"/>
            <w:shd w:fill="FFFFFF" w:color="auto" w:val="clear"/>
            <w:tcMar>
              <w:top w:type="dxa" w:w="70"/>
              <w:left w:type="dxa" w:w="100"/>
              <w:bottom w:type="dxa" w:w="70"/>
              <w:right w:type="dxa" w:w="100"/>
            </w:tcMar>
          </w:tcPr>
          <w:p>
            <w:r>
              <w:rPr>
                <w:sz w:val="20"/>
                <w:szCs w:val="20"/>
              </w:rPr>
              <w:t xml:space="preserve">Financial and GSTIN data is highly sensitive.</w:t>
            </w:r>
          </w:p>
        </w:tc>
        <w:tc>
          <w:tcPr>
            <w:tcW w:type="dxa" w:w="950"/>
            <w:shd w:fill="FFFFFF" w:color="auto" w:val="clear"/>
            <w:tcMar>
              <w:top w:type="dxa" w:w="70"/>
              <w:left w:type="dxa" w:w="100"/>
              <w:bottom w:type="dxa" w:w="70"/>
              <w:right w:type="dxa" w:w="100"/>
            </w:tcMar>
          </w:tcPr>
          <w:p>
            <w:r>
              <w:rPr>
                <w:sz w:val="20"/>
                <w:szCs w:val="20"/>
              </w:rPr>
              <w:t xml:space="preserve">High</w:t>
            </w:r>
          </w:p>
        </w:tc>
        <w:tc>
          <w:tcPr>
            <w:tcW w:type="dxa" w:w="4200"/>
            <w:shd w:fill="FFFFFF" w:color="auto" w:val="clear"/>
            <w:tcMar>
              <w:top w:type="dxa" w:w="70"/>
              <w:left w:type="dxa" w:w="100"/>
              <w:bottom w:type="dxa" w:w="70"/>
              <w:right w:type="dxa" w:w="100"/>
            </w:tcMar>
          </w:tcPr>
          <w:p>
            <w:r>
              <w:rPr>
                <w:sz w:val="20"/>
                <w:szCs w:val="20"/>
              </w:rPr>
              <w:t xml:space="preserve">Encryption at rest/in transit, role-based access, audit logging, compliance with applicable data protection law.</w:t>
            </w:r>
          </w:p>
        </w:tc>
      </w:tr>
      <w:tr>
        <w:tc>
          <w:tcPr>
            <w:tcW w:type="dxa" w:w="1550"/>
            <w:shd w:fill="EAF1F4" w:color="auto" w:val="clear"/>
            <w:tcMar>
              <w:top w:type="dxa" w:w="70"/>
              <w:left w:type="dxa" w:w="100"/>
              <w:bottom w:type="dxa" w:w="70"/>
              <w:right w:type="dxa" w:w="100"/>
            </w:tcMar>
          </w:tcPr>
          <w:p>
            <w:r>
              <w:rPr>
                <w:sz w:val="20"/>
                <w:szCs w:val="20"/>
              </w:rPr>
              <w:t xml:space="preserve">User trust / adoption</w:t>
            </w:r>
          </w:p>
        </w:tc>
        <w:tc>
          <w:tcPr>
            <w:tcW w:type="dxa" w:w="2650"/>
            <w:shd w:fill="EAF1F4" w:color="auto" w:val="clear"/>
            <w:tcMar>
              <w:top w:type="dxa" w:w="70"/>
              <w:left w:type="dxa" w:w="100"/>
              <w:bottom w:type="dxa" w:w="70"/>
              <w:right w:type="dxa" w:w="100"/>
            </w:tcMar>
          </w:tcPr>
          <w:p>
            <w:r>
              <w:rPr>
                <w:sz w:val="20"/>
                <w:szCs w:val="20"/>
              </w:rPr>
              <w:t xml:space="preserve">Non-accountant users may distrust automated postings.</w:t>
            </w:r>
          </w:p>
        </w:tc>
        <w:tc>
          <w:tcPr>
            <w:tcW w:type="dxa" w:w="950"/>
            <w:shd w:fill="EAF1F4" w:color="auto" w:val="clear"/>
            <w:tcMar>
              <w:top w:type="dxa" w:w="70"/>
              <w:left w:type="dxa" w:w="100"/>
              <w:bottom w:type="dxa" w:w="70"/>
              <w:right w:type="dxa" w:w="100"/>
            </w:tcMar>
          </w:tcPr>
          <w:p>
            <w:r>
              <w:rPr>
                <w:sz w:val="20"/>
                <w:szCs w:val="20"/>
              </w:rPr>
              <w:t xml:space="preserve">Medium</w:t>
            </w:r>
          </w:p>
        </w:tc>
        <w:tc>
          <w:tcPr>
            <w:tcW w:type="dxa" w:w="4200"/>
            <w:shd w:fill="EAF1F4" w:color="auto" w:val="clear"/>
            <w:tcMar>
              <w:top w:type="dxa" w:w="70"/>
              <w:left w:type="dxa" w:w="100"/>
              <w:bottom w:type="dxa" w:w="70"/>
              <w:right w:type="dxa" w:w="100"/>
            </w:tcMar>
          </w:tcPr>
          <w:p>
            <w:r>
              <w:rPr>
                <w:sz w:val="20"/>
                <w:szCs w:val="20"/>
              </w:rPr>
              <w:t xml:space="preserve">Transparent, explainable entries; easy review/edit; audit trail visible to the user.</w:t>
            </w:r>
          </w:p>
        </w:tc>
      </w:tr>
      <w:tr>
        <w:tc>
          <w:tcPr>
            <w:tcW w:type="dxa" w:w="1550"/>
            <w:shd w:fill="FFFFFF" w:color="auto" w:val="clear"/>
            <w:tcMar>
              <w:top w:type="dxa" w:w="70"/>
              <w:left w:type="dxa" w:w="100"/>
              <w:bottom w:type="dxa" w:w="70"/>
              <w:right w:type="dxa" w:w="100"/>
            </w:tcMar>
          </w:tcPr>
          <w:p>
            <w:r>
              <w:rPr>
                <w:sz w:val="20"/>
                <w:szCs w:val="20"/>
              </w:rPr>
              <w:t xml:space="preserve">Scale of Indian GST complexity</w:t>
            </w:r>
          </w:p>
        </w:tc>
        <w:tc>
          <w:tcPr>
            <w:tcW w:type="dxa" w:w="2650"/>
            <w:shd w:fill="FFFFFF" w:color="auto" w:val="clear"/>
            <w:tcMar>
              <w:top w:type="dxa" w:w="70"/>
              <w:left w:type="dxa" w:w="100"/>
              <w:bottom w:type="dxa" w:w="70"/>
              <w:right w:type="dxa" w:w="100"/>
            </w:tcMar>
          </w:tcPr>
          <w:p>
            <w:r>
              <w:rPr>
                <w:sz w:val="20"/>
                <w:szCs w:val="20"/>
              </w:rPr>
              <w:t xml:space="preserve">Composition scheme, RCM, exports, e-commerce operators, and sector-specific rules add complexity.</w:t>
            </w:r>
          </w:p>
        </w:tc>
        <w:tc>
          <w:tcPr>
            <w:tcW w:type="dxa" w:w="950"/>
            <w:shd w:fill="FFFFFF" w:color="auto" w:val="clear"/>
            <w:tcMar>
              <w:top w:type="dxa" w:w="70"/>
              <w:left w:type="dxa" w:w="100"/>
              <w:bottom w:type="dxa" w:w="70"/>
              <w:right w:type="dxa" w:w="100"/>
            </w:tcMar>
          </w:tcPr>
          <w:p>
            <w:r>
              <w:rPr>
                <w:sz w:val="20"/>
                <w:szCs w:val="20"/>
              </w:rPr>
              <w:t xml:space="preserve">Medium</w:t>
            </w:r>
          </w:p>
        </w:tc>
        <w:tc>
          <w:tcPr>
            <w:tcW w:type="dxa" w:w="4200"/>
            <w:shd w:fill="FFFFFF" w:color="auto" w:val="clear"/>
            <w:tcMar>
              <w:top w:type="dxa" w:w="70"/>
              <w:left w:type="dxa" w:w="100"/>
              <w:bottom w:type="dxa" w:w="70"/>
              <w:right w:type="dxa" w:w="100"/>
            </w:tcMar>
          </w:tcPr>
          <w:p>
            <w:r>
              <w:rPr>
                <w:sz w:val="20"/>
                <w:szCs w:val="20"/>
              </w:rPr>
              <w:t xml:space="preserve">Phase rollout — start with the most common business profile, expand rule coverage over time.</w:t>
            </w:r>
          </w:p>
        </w:tc>
      </w:tr>
    </w:tbl>
    <w:p>
      <w:pPr>
        <w:pStyle w:val="Heading1"/>
        <w:spacing w:after="160" w:before="360"/>
      </w:pPr>
      <w:r>
        <w:t xml:space="preserve">10. Success Metrics</w:t>
      </w:r>
    </w:p>
    <w:p>
      <w:pPr>
        <w:pStyle w:val="ListParagraph"/>
        <w:numPr>
          <w:ilvl w:val="0"/>
          <w:numId w:val="1"/>
        </w:numPr>
        <w:spacing w:after="80"/>
      </w:pPr>
      <w:r>
        <w:t xml:space="preserve">Reduction in average time spent per week on bookkeeping/data entry by target users (baseline vs post-adoption).</w:t>
      </w:r>
    </w:p>
    <w:p>
      <w:pPr>
        <w:pStyle w:val="ListParagraph"/>
        <w:numPr>
          <w:ilvl w:val="0"/>
          <w:numId w:val="1"/>
        </w:numPr>
        <w:spacing w:after="80"/>
      </w:pPr>
      <w:r>
        <w:t xml:space="preserve">Percentage of transactions captured via non-manual channels (voice/photo/PDF/Excel) vs typed manual entry.</w:t>
      </w:r>
    </w:p>
    <w:p>
      <w:pPr>
        <w:pStyle w:val="ListParagraph"/>
        <w:numPr>
          <w:ilvl w:val="0"/>
          <w:numId w:val="1"/>
        </w:numPr>
        <w:spacing w:after="80"/>
      </w:pPr>
      <w:r>
        <w:t xml:space="preserve">GST reconciliation match rate against GSTR-2B, and reduction in unresolved mismatches at filing time.</w:t>
      </w:r>
    </w:p>
    <w:p>
      <w:pPr>
        <w:pStyle w:val="ListParagraph"/>
        <w:numPr>
          <w:ilvl w:val="0"/>
          <w:numId w:val="1"/>
        </w:numPr>
        <w:spacing w:after="80"/>
      </w:pPr>
      <w:r>
        <w:t xml:space="preserve">Reduction in GST notices/penalties for users compared to their prior filing method.</w:t>
      </w:r>
    </w:p>
    <w:p>
      <w:pPr>
        <w:pStyle w:val="ListParagraph"/>
        <w:numPr>
          <w:ilvl w:val="0"/>
          <w:numId w:val="1"/>
        </w:numPr>
        <w:spacing w:after="80"/>
      </w:pPr>
      <w:r>
        <w:t xml:space="preserve">User trust indicator: proportion of AI-suggested HSN/SAC and journal entries accepted without correction.</w:t>
      </w:r>
    </w:p>
    <w:p>
      <w:pPr>
        <w:pStyle w:val="ListParagraph"/>
        <w:numPr>
          <w:ilvl w:val="0"/>
          <w:numId w:val="1"/>
        </w:numPr>
        <w:spacing w:after="80"/>
      </w:pPr>
      <w:r>
        <w:t xml:space="preserve">On-time filing rate for GSTR-1/3B among active users.</w:t>
      </w:r>
    </w:p>
    <w:p>
      <w:pPr>
        <w:pStyle w:val="Heading1"/>
        <w:spacing w:after="160" w:before="360"/>
      </w:pPr>
      <w:r>
        <w:t xml:space="preserve">11. MVP vs. Future Phases</w:t>
      </w:r>
    </w:p>
    <w:p>
      <w:pPr>
        <w:pStyle w:val="Heading2"/>
        <w:spacing w:after="120" w:before="260"/>
      </w:pPr>
      <w:r>
        <w:t xml:space="preserve">11.1 MVP (Phase 1)</w:t>
      </w:r>
    </w:p>
    <w:p>
      <w:pPr>
        <w:spacing w:after="160"/>
      </w:pPr>
      <w:r>
        <w:t xml:space="preserve">AI input capture → invoice/purchase/expense recognition → HSN/GST classification → double-entry accounting → inventory → AR/AP → GST reports → basic reconciliation → audit trail → core reporting.</w:t>
      </w:r>
    </w:p>
    <w:p>
      <w:pPr>
        <w:pStyle w:val="Heading2"/>
        <w:spacing w:after="120" w:before="260"/>
      </w:pPr>
      <w:r>
        <w:t xml:space="preserve">11.2 Phase 2</w:t>
      </w:r>
    </w:p>
    <w:p>
      <w:pPr>
        <w:spacing w:after="160"/>
      </w:pPr>
      <w:r>
        <w:t xml:space="preserve">GSTR-1/3B filing workflow → GSTR-2B reconciliation → e-invoice → e-way bill → banking integration → TDS engine → advanced AI copilot and anomaly detection → payroll → third-party integrations.</w:t>
      </w:r>
    </w:p>
    <w:p>
      <w:pPr>
        <w:spacing w:after="160"/>
      </w:pPr>
      <w:r>
        <w:t xml:space="preserve">The Transaction Object and the Accounting Engine are the foundational components referenced throughout this document and the accompanying PRD; all other modules are designed to plug into them.</w:t>
      </w:r>
    </w:p>
    <w:sectPr>
      <w:headerReference w:type="default" r:id="rId9"/>
      <w:footerReference w:type="default" r:id="rId10"/>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8"/>
        <w:szCs w:val="18"/>
      </w:rPr>
      <w:t xml:space="preserve">Page </w:t>
    </w:r>
    <w:r>
      <w:rPr>
        <w:color w:val="5B6770"/>
        <w:sz w:val="18"/>
        <w:szCs w:val="18"/>
      </w:rPr>
      <w:fldChar w:fldCharType="begin"/>
      <w:instrText xml:space="preserve">PAGE</w:instrText>
      <w:fldChar w:fldCharType="separate"/>
      <w:fldChar w:fldCharType="end"/>
    </w:r>
    <w:r>
      <w:rPr>
        <w:color w:val="5B6770"/>
        <w:sz w:val="18"/>
        <w:szCs w:val="18"/>
      </w:rPr>
      <w:t xml:space="preserve"> of </w:t>
    </w:r>
    <w:r>
      <w:rPr>
        <w:color w:val="5B6770"/>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8"/>
        <w:szCs w:val="18"/>
      </w:rPr>
      <w:t xml:space="preserve">Page </w:t>
    </w:r>
    <w:r>
      <w:rPr>
        <w:color w:val="5B6770"/>
        <w:sz w:val="18"/>
        <w:szCs w:val="18"/>
      </w:rPr>
      <w:fldChar w:fldCharType="begin"/>
      <w:instrText xml:space="preserve">PAGE</w:instrText>
      <w:fldChar w:fldCharType="separate"/>
      <w:fldChar w:fldCharType="end"/>
    </w:r>
    <w:r>
      <w:rPr>
        <w:color w:val="5B6770"/>
        <w:sz w:val="18"/>
        <w:szCs w:val="18"/>
      </w:rPr>
      <w:t xml:space="preserve"> of </w:t>
    </w:r>
    <w:r>
      <w:rPr>
        <w:color w:val="5B67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6"/>
        <w:szCs w:val="16"/>
      </w:rPr>
      <w:t xml:space="preserve">Business Requirements Document — AI Accounting &amp; GST Platform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6"/>
        <w:szCs w:val="16"/>
      </w:rPr>
      <w:t xml:space="preserve">Business Requirements Document — AI Accounting &amp; GST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F3A5F"/>
      <w:sz w:val="56"/>
      <w:szCs w:val="56"/>
    </w:rPr>
  </w:style>
  <w:style w:type="paragraph" w:styleId="Heading1">
    <w:name w:val="Heading 1"/>
    <w:basedOn w:val="Normal"/>
    <w:next w:val="Normal"/>
    <w:qFormat/>
    <w:pPr>
      <w:pBdr>
        <w:bottom w:val="single" w:color="2E6F7E" w:sz="6" w:space="4"/>
      </w:pBdr>
      <w:spacing w:after="160" w:before="360"/>
    </w:pPr>
    <w:rPr>
      <w:rFonts w:ascii="Calibri" w:cs="Calibri" w:eastAsia="Calibri" w:hAnsi="Calibri"/>
      <w:b/>
      <w:bCs/>
      <w:color w:val="1F3A5F"/>
      <w:sz w:val="30"/>
      <w:szCs w:val="30"/>
    </w:rPr>
  </w:style>
  <w:style w:type="paragraph" w:styleId="Heading2">
    <w:name w:val="Heading 2"/>
    <w:basedOn w:val="Normal"/>
    <w:next w:val="Normal"/>
    <w:qFormat/>
    <w:pPr>
      <w:spacing w:after="120" w:before="260"/>
    </w:pPr>
    <w:rPr>
      <w:rFonts w:ascii="Calibri" w:cs="Calibri" w:eastAsia="Calibri" w:hAnsi="Calibri"/>
      <w:b/>
      <w:bCs/>
      <w:color w:val="2E6F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2026-09-08T11:54:32.762Z</dcterms:created>
  <dcterms:modified xsi:type="dcterms:W3CDTF">2026-09-08T11:54:32.776Z</dcterms:modified>
</cp:coreProperties>
</file>

<file path=docProps/custom.xml><?xml version="1.0" encoding="utf-8"?>
<Properties xmlns="http://schemas.openxmlformats.org/officeDocument/2006/custom-properties" xmlns:vt="http://schemas.openxmlformats.org/officeDocument/2006/docPropsVTypes"/>
</file>