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 (PRD)</w:t>
      </w:r>
    </w:p>
    <w:p>
      <w:pPr>
        <w:spacing w:after="400"/>
      </w:pPr>
      <w:r>
        <w:rPr>
          <w:color w:val="2E6F7E"/>
          <w:sz w:val="26"/>
          <w:szCs w:val="26"/>
        </w:rPr>
        <w:t xml:space="preserve">AI-Powered Tally / GST Accounting Platform for Indian Businesses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30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September 2026</w:t>
            </w:r>
          </w:p>
        </w:tc>
      </w:tr>
      <w:tr>
        <w:tc>
          <w:tcPr>
            <w:tcW w:type="dxa" w:w="30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 — for engineering &amp; design review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Requirements Document (BRD); User Stories Backlog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Product Vision</w:t>
      </w:r>
    </w:p>
    <w:p>
      <w:pPr>
        <w:spacing w:after="160"/>
      </w:pPr>
      <w:r>
        <w:t xml:space="preserve">A business owner gives the software any financial information in natural language, voice, photo, PDF, Excel, or bank data. AI understands it; deterministic accounting and GST engines convert it into legally structured financial records; reconciliation catches errors; compliance prepares the returns; and the user approves the final filing.</w:t>
      </w:r>
    </w:p>
    <w:p>
      <w:pPr>
        <w:spacing w:after="160"/>
      </w:pPr>
      <w:r>
        <w:t xml:space="preserve">The product should feel less like accounting software and more like describing your day to a very competent assistant who happens to also be a chartered accountant.</w:t>
      </w:r>
    </w:p>
    <w:p>
      <w:pPr>
        <w:pStyle w:val="Heading1"/>
        <w:spacing w:after="160" w:before="360"/>
      </w:pPr>
      <w:r>
        <w:t xml:space="preserve">2.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 any user record a transaction by typing, speaking, photographing, or uploading a document — with no accounting knowledge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Guarantee that everything the AI produces is checked against deterministic accounting and GST rule engines before it becomes a book entry.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the user (or their accountant) full visibility and edit control over every AI-generated record, with a complete audit trail.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 GST reconciliation and return preparation while keeping filing itself a human-approved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a natural-language copilot over the business's own data once records exist.</w:t>
      </w:r>
    </w:p>
    <w:p>
      <w:pPr>
        <w:pStyle w:val="Heading2"/>
        <w:spacing w:after="120" w:before="260"/>
      </w:pPr>
      <w:r>
        <w:t xml:space="preserve">2.1 Non-Goals (for this 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Replacing a qualified accountant's professional judgment on complex or ambiguous tax positions.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Autonomous statutory filing without user approval.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payroll and HR management (tracked as a later phase).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custom government-API infrastructure in-house rather than via a licensed GSP.</w:t>
      </w:r>
    </w:p>
    <w:p>
      <w:pPr>
        <w:pStyle w:val="Heading1"/>
        <w:spacing w:after="160" w:before="360"/>
      </w:pPr>
      <w:r>
        <w:t xml:space="preserve">3. Target Users /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5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7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Priya — Retail Shop Owner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a small retail business, no accounting background, uses WhatsApp voice notes for everything.</w:t>
            </w:r>
          </w:p>
        </w:tc>
        <w:tc>
          <w:tcPr>
            <w:tcW w:type="dxa" w:w="3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Wants to just say what happened and trust the books are correct; fears GST notices.</w:t>
            </w:r>
          </w:p>
        </w:tc>
      </w:tr>
      <w:tr>
        <w:tc>
          <w:tcPr>
            <w:tcW w:type="dxa" w:w="23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Ramesh — Trading Business Owner</w:t>
            </w:r>
          </w:p>
        </w:tc>
        <w:tc>
          <w:tcPr>
            <w:tcW w:type="dxa" w:w="33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Buys and sells in bulk, deals with 50+ suppliers, currently uses Tally via an accountant.</w:t>
            </w:r>
          </w:p>
        </w:tc>
        <w:tc>
          <w:tcPr>
            <w:tcW w:type="dxa" w:w="37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Wants real-time stock and payable visibility without waiting for the monthly accountant visit.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Anita — Outsourced Accountant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Manages books for 15-20 small business clients.</w:t>
            </w:r>
          </w:p>
        </w:tc>
        <w:tc>
          <w:tcPr>
            <w:tcW w:type="dxa" w:w="37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Wants fast bulk data entry, reliable GST reconciliation, and an audit trail she can defend.</w:t>
            </w:r>
          </w:p>
        </w:tc>
      </w:tr>
      <w:tr>
        <w:tc>
          <w:tcPr>
            <w:tcW w:type="dxa" w:w="23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Vikram — CA / Auditor</w:t>
            </w:r>
          </w:p>
        </w:tc>
        <w:tc>
          <w:tcPr>
            <w:tcW w:type="dxa" w:w="33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Reviews client books periodically and signs off on filings.</w:t>
            </w:r>
          </w:p>
        </w:tc>
        <w:tc>
          <w:tcPr>
            <w:tcW w:type="dxa" w:w="37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Wants read-only access, a complete audit trail, and confidence nothing was silently altered.</w:t>
            </w:r>
          </w:p>
        </w:tc>
      </w:tr>
    </w:tbl>
    <w:p>
      <w:pPr>
        <w:pStyle w:val="Heading1"/>
        <w:spacing w:after="160" w:before="360"/>
      </w:pPr>
      <w:r>
        <w:t xml:space="preserve">4. Product Architecture (Summary)</w:t>
      </w:r>
    </w:p>
    <w:p>
      <w:pPr>
        <w:spacing w:after="160"/>
      </w:pPr>
      <w:r>
        <w:t xml:space="preserve">Input channels (text, voice, photo, PDF, Excel, bank feed) all pass through an AI/OCR layer that produces a single standardised Transaction Object. This object flows through a validation step into three core engines — Accounting, GST, and Inventory — which post to a Master Ledger. From there, AR/AP tracking, bank reconciliation, and reporting are derived. A Reconciliation layer compares books against GST authority data, and a Compliance Engine prepares returns for e-invoice/e-way bill/GSTR filing, gated by mandatory user review and approval before submission through the GSTN/IRP systems. An AI Review and Business Copilot layer sits on top of the resulting structured data for natural-language interaction and anomaly explanation.</w:t>
      </w:r>
    </w:p>
    <w:p>
      <w:pPr>
        <w:spacing w:after="160"/>
      </w:pPr>
      <w:r>
        <w:t xml:space="preserve">The Transaction Object and the Accounting Engine are the two components every other module depends on, and should be designed and built first.</w:t>
      </w:r>
    </w:p>
    <w:p>
      <w:pPr>
        <w:pStyle w:val="Heading1"/>
        <w:spacing w:after="160" w:before="360"/>
      </w:pPr>
      <w:r>
        <w:t xml:space="preserve">5. Functional Requirements by Module</w:t>
      </w:r>
    </w:p>
    <w:p>
      <w:pPr>
        <w:pStyle w:val="Heading2"/>
        <w:spacing w:after="120" w:before="260"/>
      </w:pPr>
      <w:r>
        <w:t xml:space="preserve">5.1 Multi-Modal Input Capture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Description</w:t>
      </w:r>
    </w:p>
    <w:p>
      <w:pPr>
        <w:spacing w:after="160"/>
      </w:pPr>
      <w:r>
        <w:t xml:space="preserve">Users can create a transaction from typed text, voice, a photo, an uploaded PDF, or an Excel file. Bank statements can also be uploaded for reconciliation.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Key behaviors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Voice input is transcribed to text, then parsed the same way as typed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Photo/PDF invoices go through OCR, then invoice-understanding extraction (supplier, customer, GSTIN, invoice number, date, line items, HSN/SAC, GST, total).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Excel/CSV uploads are mapped to the standard Transaction Object per row, with a column-mapping step if headers are non-standard.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a clear photo of a typical GST invoice, the system extracts all required fields with a visible confidence score per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a spoken sentence describing a sale or payment, the system produces a draft transaction the user can confirm or edit before posting.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Low-confidence fields are visually flagged and cannot be silently auto-posted without user confirmation.</w:t>
      </w:r>
    </w:p>
    <w:p>
      <w:pPr>
        <w:pStyle w:val="Heading2"/>
        <w:spacing w:after="120" w:before="260"/>
      </w:pPr>
      <w:r>
        <w:t xml:space="preserve">5.2 Transaction Object &amp; Validation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Description</w:t>
      </w:r>
    </w:p>
    <w:p>
      <w:pPr>
        <w:spacing w:after="160"/>
      </w:pPr>
      <w:r>
        <w:t xml:space="preserve">Every input, regardless of channel, is converted into one standard structured transaction (type, parties, items, quantities, rates, taxable value, GST breakdown, totals, references, dates, supporting document link).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transaction created via voice and an equivalent one created via photo upload produce structurally identical Transaction Objects.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transaction failing validation (e.g. missing mandatory field, unbalanced entry) is held in a draft/pending state, never silently posted.</w:t>
      </w:r>
    </w:p>
    <w:p>
      <w:pPr>
        <w:pStyle w:val="Heading2"/>
        <w:spacing w:after="120" w:before="260"/>
      </w:pPr>
      <w:r>
        <w:t xml:space="preserve">5.3 Master Data (Customers, Suppliers, Products, Services)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customers/suppliers/products encountered in a transaction can be created inline without leaving the transaction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master stores confirmed HSN and GST rate, reused automatically on subsequent transactions.</w:t>
      </w:r>
    </w:p>
    <w:p>
      <w:pPr>
        <w:pStyle w:val="Heading2"/>
        <w:spacing w:after="120" w:before="260"/>
      </w:pPr>
      <w:r>
        <w:t xml:space="preserve">5.4 HSN / SAC Classification Assistant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Description</w:t>
      </w:r>
    </w:p>
    <w:p>
      <w:pPr>
        <w:spacing w:after="160"/>
      </w:pPr>
      <w:r>
        <w:t xml:space="preserve">Given a plain-language product or service description, the system searches an official HSN/SAC master and suggests the most likely code and GST rate, requiring user confirmation before saving.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suggested HSN/SAC and GST rate are shown with a short plain-language justification.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Once confirmed, the mapping is saved to the Product/Service Master and reused without re-prompting.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user can override any suggestion; overrides are logged.</w:t>
      </w:r>
    </w:p>
    <w:p>
      <w:pPr>
        <w:pStyle w:val="Heading2"/>
        <w:spacing w:after="120" w:before="260"/>
      </w:pPr>
      <w:r>
        <w:t xml:space="preserve">5.5 GST Tax Engine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Description</w:t>
      </w:r>
    </w:p>
    <w:p>
      <w:pPr>
        <w:spacing w:after="160"/>
      </w:pPr>
      <w:r>
        <w:t xml:space="preserve">A deterministic, versioned rules engine — not a language model — that computes CGST/SGST/IGST/Cess, RCM applicability, place of supply, exemptions, and ITC treatment for every transaction.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identical inputs and the same rule version, the engine always produces identical tax output (deterministic and testable).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Intra-state transactions split tax into CGST+SGST; inter-state transactions apply IGST; both reconcile to the same total tax amount for equal taxable value and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 changes are versioned; historical transactions remain calculated under the rules that were in force on their transaction date.</w:t>
      </w:r>
    </w:p>
    <w:p>
      <w:pPr>
        <w:pStyle w:val="Heading2"/>
        <w:spacing w:after="120" w:before="260"/>
      </w:pPr>
      <w:r>
        <w:t xml:space="preserve">5.6 Accounting Engine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Description</w:t>
      </w:r>
    </w:p>
    <w:p>
      <w:pPr>
        <w:spacing w:after="160"/>
      </w:pPr>
      <w:r>
        <w:t xml:space="preserve">Converts every validated Transaction Object into correct double-entry postings (journals, ledgers) without requiring the user to specify debit/credit.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posted transaction results in balanced double-entry postings (total debits = total credits).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transaction types (purchase, sale, expense, payment, receipt, journal) have pre-defined, testable posting templates.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without accounting knowledge never need to select a debit/credit side manually for standard transaction types.</w:t>
      </w:r>
    </w:p>
    <w:p>
      <w:pPr>
        <w:pStyle w:val="Heading2"/>
        <w:spacing w:after="120" w:before="260"/>
      </w:pPr>
      <w:r>
        <w:t xml:space="preserve">5.7 Inventory Engine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purchase/sale transactions automatically adjust stock quantity for the relevant product and warehouse.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 levels below a configured threshold trigger a low-stock alert.</w:t>
      </w:r>
    </w:p>
    <w:p>
      <w:pPr>
        <w:pStyle w:val="Heading2"/>
        <w:spacing w:after="120" w:before="260"/>
      </w:pPr>
      <w:r>
        <w:t xml:space="preserve">5.8 Accounts Receivable / Payable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invoice's outstanding balance updates immediately when a payment/receipt is recorded against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Ageing reports can be generated at any time reflecting bill-wise outstanding amounts.</w:t>
      </w:r>
    </w:p>
    <w:p>
      <w:pPr>
        <w:pStyle w:val="Heading2"/>
        <w:spacing w:after="120" w:before="260"/>
      </w:pPr>
      <w:r>
        <w:t xml:space="preserve">5.9 Banking &amp; Reconciliation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Uploaded bank statement lines are automatically matched to book entries where amount, party, and date align within a configurable tolerance.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Unmatched lines on either side are listed for manual review and resolution.</w:t>
      </w:r>
    </w:p>
    <w:p>
      <w:pPr>
        <w:pStyle w:val="Heading2"/>
        <w:spacing w:after="120" w:before="260"/>
      </w:pPr>
      <w:r>
        <w:t xml:space="preserve">5.10 GST Reconciliation (GSTR-2B)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purchase record is classified as Matched, Timing Difference, Review Required, or High Risk against retrieved GSTR-2B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non-matched item includes a plain-language, AI-generated explanation of the likely cause (e.g. supplier hasn't filed, GSTIN mismatch, rate difference).</w:t>
      </w:r>
    </w:p>
    <w:p>
      <w:pPr>
        <w:pStyle w:val="Heading2"/>
        <w:spacing w:after="120" w:before="260"/>
      </w:pPr>
      <w:r>
        <w:t xml:space="preserve">5.11 E-Invoice &amp; E-Way Bill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businesses flagged as e-invoice-applicable, invoices are automatically submitted to the IRP and the returned IRN/QR is stored against the invoice before it is considered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E-way bills can be generated from an invoice plus transport details where applicable, without re-keying invoice data.</w:t>
      </w:r>
    </w:p>
    <w:p>
      <w:pPr>
        <w:pStyle w:val="Heading2"/>
        <w:spacing w:after="120" w:before="260"/>
      </w:pPr>
      <w:r>
        <w:t xml:space="preserve">5.12 GST Returns (GSTR-1 / 2B / 3B)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GSTR-1 is generated entirely from existing sales records for the period, with no manual re-entry.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GSTR-3B liability figures are derived from the same underlying ledger data used in reports, ensuring consistency.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return can be transmitted to GSTN until the user has explicitly reviewed and clicked an 'Approve &amp; File' action.</w:t>
      </w:r>
    </w:p>
    <w:p>
      <w:pPr>
        <w:pStyle w:val="Heading2"/>
        <w:spacing w:after="120" w:before="260"/>
      </w:pPr>
      <w:r>
        <w:t xml:space="preserve">5.13 Compliance / GST Health Check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period close, the system surfaces a summary (sales, output GST, eligible ITC, net liability) plus a count and list of open issues requiring attention.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Filing cannot be marked complete while critical (e.g. GSTIN error, missing mandatory HSN) issues remain unresolved, though the user can consciously override with a logged justification.</w:t>
      </w:r>
    </w:p>
    <w:p>
      <w:pPr>
        <w:pStyle w:val="Heading2"/>
        <w:spacing w:after="120" w:before="260"/>
      </w:pPr>
      <w:r>
        <w:t xml:space="preserve">5.14 Audit Trail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edit to a posted financial record creates an audit entry capturing user, timestamp, field-level before/after values, and reason if provided.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Posted records cannot be hard-deleted; corrections are represented as tracked adjustments.</w:t>
      </w:r>
    </w:p>
    <w:p>
      <w:pPr>
        <w:pStyle w:val="Heading2"/>
        <w:spacing w:after="120" w:before="260"/>
      </w:pPr>
      <w:r>
        <w:t xml:space="preserve">5.15 Users &amp; Permissions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minimum, Owner, Accountant, Sales, Inventory Manager, and Auditor (read-only) roles are available out of the box.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Permission changes are themselves audit-logged.</w:t>
      </w:r>
    </w:p>
    <w:p>
      <w:pPr>
        <w:pStyle w:val="Heading2"/>
        <w:spacing w:after="120" w:before="260"/>
      </w:pPr>
      <w:r>
        <w:t xml:space="preserve">5.16 Reporting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P&amp;L, Balance Sheet, Trial Balance, General/Day/Cash/Bank Books can be generated for any closed or open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reports are derived live from ledger data — no separately maintained reporting copy that can drift out of sync.</w:t>
      </w:r>
    </w:p>
    <w:p>
      <w:pPr>
        <w:pStyle w:val="Heading2"/>
        <w:spacing w:after="120" w:before="260"/>
      </w:pPr>
      <w:r>
        <w:t xml:space="preserve">5.17 AI Business Copilot &amp; Anomaly Detection</w:t>
      </w:r>
    </w:p>
    <w:p>
      <w:pPr>
        <w:spacing w:after="80" w:before="180"/>
      </w:pPr>
      <w:r>
        <w:rPr>
          <w:b/>
          <w:bCs/>
          <w:i/>
          <w:iCs/>
          <w:color w:val="334155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copilot answers natural-language questions (e.g. 'who owes me money') using only the business's own structured data, with numbers traceable back to source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flags (duplicate invoice, unusual expense, suspicious journal, etc.) are generated by rule/statistical detection, with the AI layer used only to explain the flag in plain language, not to decide it.</w:t>
      </w:r>
    </w:p>
    <w:p>
      <w:pPr>
        <w:pStyle w:val="Heading1"/>
        <w:spacing w:after="160" w:before="360"/>
      </w:pPr>
      <w:r>
        <w:t xml:space="preserve">6.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financial and GSTIN data encrypted in transit (TLS) and at rest; role-based access control on every module; secrets never exposed to the AI/OCR layer beyond what's required for the task.</w:t>
            </w:r>
          </w:p>
        </w:tc>
      </w:tr>
      <w:tr>
        <w:tc>
          <w:tcPr>
            <w:tcW w:type="dxa" w:w="22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71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source documents and their derived accounting/GST records retained for the statutory minimum period (currently 6+ years for GST records) even if the user account is later downgraded.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Accuracy / Determinism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and accounting calculations must be produced by versioned, testable rule engines, not by a generative model, so results are reproducible and explainable on audit.</w:t>
            </w:r>
          </w:p>
        </w:tc>
      </w:tr>
      <w:tr>
        <w:tc>
          <w:tcPr>
            <w:tcW w:type="dxa" w:w="22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1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create/edit/delete of a financial record produces an immutable audit log entry (who, what, when, before, after, why).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capture (text/photo/PDF entry) should degrade gracefully offline or on poor connectivity, syncing once connectivity resumes.</w:t>
            </w:r>
          </w:p>
        </w:tc>
      </w:tr>
      <w:tr>
        <w:tc>
          <w:tcPr>
            <w:tcW w:type="dxa" w:w="22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OCR/voice transcription and transaction structuring should return a reviewable draft within a few seconds for a single document; bulk Excel imports should process asynchronously with progress feedback.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Multi-language voice and text input support for major Indian languages, given the target user base.</w:t>
            </w:r>
          </w:p>
        </w:tc>
      </w:tr>
      <w:tr>
        <w:tc>
          <w:tcPr>
            <w:tcW w:type="dxa" w:w="220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currency</w:t>
            </w:r>
          </w:p>
        </w:tc>
        <w:tc>
          <w:tcPr>
            <w:tcW w:type="dxa" w:w="7150"/>
            <w:shd w:fill="EA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rule master must be updated within a defined SLA of any CBIC/GSTN notification, with versioning so historical transactions are unaffected.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statutory filing, and no destructive edit to posted financial records, may occur without an explicit user approval step.</w:t>
            </w:r>
          </w:p>
        </w:tc>
      </w:tr>
    </w:tbl>
    <w:p>
      <w:pPr>
        <w:pStyle w:val="Heading1"/>
        <w:spacing w:after="160" w:before="360"/>
      </w:pPr>
      <w:r>
        <w:t xml:space="preserve">7. MVP Scope</w:t>
      </w:r>
    </w:p>
    <w:p>
      <w:pPr>
        <w:spacing w:after="160"/>
      </w:pPr>
      <w:r>
        <w:t xml:space="preserve">AI input capture → invoice/purchase/expense recognition → HSN/GST classification → double-entry accounting → inventory → AR/AP → GST reports → basic bank/GST reconciliation → audit trail → core reporting.</w:t>
      </w:r>
    </w:p>
    <w:p>
      <w:pPr>
        <w:pStyle w:val="Heading2"/>
        <w:spacing w:after="120" w:before="260"/>
      </w:pPr>
      <w:r>
        <w:t xml:space="preserve">7.1 Roadmap Beyond MVP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2: GSTR-1/3B filing workflow, GSTR-2B reconciliation depth, e-invoice, e-way bill, banking integration, TDS engine.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3: Advanced AI copilot and anomaly detection, payroll, fixed assets, third-party integrations, automation/alerting rules.</w:t>
      </w:r>
    </w:p>
    <w:p>
      <w:pPr>
        <w:pStyle w:val="Heading1"/>
        <w:spacing w:after="160" w:before="360"/>
      </w:pPr>
      <w:r>
        <w:t xml:space="preserve">8.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GSTN-authorised GST Suvidha Provider (GSP) or equivalent API partner for GSTIN verification, GSTR filings, GSTR-2B retrieval, IRP e-invoicing, and e-way bill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OCR/document-understanding provider capable of Indian invoice layouts and regional languages.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speech-to-text provider supporting relevant Indian languages/dialects.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officially sourced, maintainable HSN/SAC master dataset with a change-update process.</w:t>
      </w:r>
    </w:p>
    <w:p>
      <w:pPr>
        <w:pStyle w:val="Heading1"/>
        <w:spacing w:after="160" w:before="360"/>
      </w:pPr>
      <w:r>
        <w:t xml:space="preserve">9.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GSP/API partner will be evaluated and selected first, and what are the cost implications per filing/transaction?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initial target business segment — retail/trading, services, or both — for tuning OCR and HSN suggestions?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minimum viable set of Indian languages for voice input at launch?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composition-scheme and RCM-heavy businesses be supported, and in which phase?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data retention and hosting strategy given the sensitivity of financial/GSTIN data (data residency considerations)?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Product Requirements Document — AI Accounting &amp; GST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6F7E" w:sz="6" w:space="4"/>
      </w:pBdr>
      <w:spacing w:after="160" w:before="36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6F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2026-09-08T11:55:47.271Z</dcterms:created>
  <dcterms:modified xsi:type="dcterms:W3CDTF">2026-09-08T11:55:47.272Z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