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bCs/>
          <w:sz w:val="24"/>
          <w:szCs w:val="24"/>
        </w:rPr>
        <w:t>Context dependent selection as the keystone in the somatic evolution of cancer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Abstract:</w:t>
      </w:r>
    </w:p>
    <w:p>
      <w:pPr>
        <w:pStyle w:val="Normal"/>
        <w:rPr/>
      </w:pPr>
      <w:r>
        <w:rPr>
          <w:rFonts w:cs="Times New Roman" w:ascii="Times New Roman" w:hAnsi="Times New Roman"/>
          <w:sz w:val="24"/>
          <w:szCs w:val="24"/>
        </w:rPr>
        <w:t xml:space="preserve">Somatic evolution of cancer involves a series of mutations and accompanying genomic, epigenomic and physiological changes in one or more clones of cells. Whether the mutations accumulate by chance alone (bad luck hypothesis) or owing to selection of intermediate mutants leading to clonal expansion is an unresolved question. An implicit assumption in clonal expansion is that any mutation leading to partial loss of regulation of cell proliferation will give a selective advantage to the mutant. However, a number of experiments show that an intermediate precancer mutant has only a conditional selective advantage. Accordingly the selective advantage to a mutant will be different in every individual depending upon the genetic, developmental, dietary, behavioural, habitual and physiological background. Thus the selective advantage to a mutant will be widely distributed across individuals in the population. We comparatively evaluate the three models namely bad luck, context independent selection and context dependent selection with respect to their ability to predict patterns in total incidence, age specific incidence, </w:t>
      </w:r>
      <w:r>
        <w:rPr>
          <w:rFonts w:cs="Times New Roman" w:ascii="Times New Roman" w:hAnsi="Times New Roman"/>
          <w:sz w:val="24"/>
          <w:szCs w:val="24"/>
          <w:highlight w:val="yellow"/>
        </w:rPr>
        <w:t>tissue specific incidence</w:t>
      </w:r>
      <w:r>
        <w:rPr>
          <w:rFonts w:cs="Times New Roman" w:ascii="Times New Roman" w:hAnsi="Times New Roman"/>
          <w:sz w:val="24"/>
          <w:szCs w:val="24"/>
        </w:rPr>
        <w:t xml:space="preserve"> and their ability to explain </w:t>
      </w:r>
      <w:r>
        <w:rPr>
          <w:rFonts w:cs="Times New Roman" w:ascii="Times New Roman" w:hAnsi="Times New Roman"/>
          <w:sz w:val="24"/>
          <w:szCs w:val="24"/>
          <w:highlight w:val="yellow"/>
        </w:rPr>
        <w:t>Peto’s paradox</w:t>
      </w:r>
      <w:r>
        <w:rPr>
          <w:rFonts w:cs="Times New Roman" w:ascii="Times New Roman" w:hAnsi="Times New Roman"/>
          <w:sz w:val="24"/>
          <w:szCs w:val="24"/>
        </w:rPr>
        <w:t xml:space="preserve"> and related paradoxes. Results show that context dependence is </w:t>
      </w:r>
      <w:r>
        <w:rPr>
          <w:rFonts w:cs="Times New Roman" w:ascii="Times New Roman" w:hAnsi="Times New Roman"/>
          <w:sz w:val="24"/>
          <w:szCs w:val="24"/>
          <w:highlight w:val="yellow"/>
        </w:rPr>
        <w:t>necessary and sufficient</w:t>
      </w:r>
      <w:r>
        <w:rPr>
          <w:rFonts w:cs="Times New Roman" w:ascii="Times New Roman" w:hAnsi="Times New Roman"/>
          <w:sz w:val="24"/>
          <w:szCs w:val="24"/>
        </w:rPr>
        <w:t xml:space="preserve"> to explain all the observed patterns whereas the number of cells and </w:t>
      </w:r>
      <w:r>
        <w:rPr>
          <w:rFonts w:cs="Times New Roman" w:ascii="Times New Roman" w:hAnsi="Times New Roman"/>
          <w:sz w:val="24"/>
          <w:szCs w:val="24"/>
          <w:highlight w:val="yellow"/>
        </w:rPr>
        <w:t>mutation rates are not necessarily rate limiting</w:t>
      </w:r>
      <w:r>
        <w:rPr>
          <w:rFonts w:cs="Times New Roman" w:ascii="Times New Roman" w:hAnsi="Times New Roman"/>
          <w:sz w:val="24"/>
          <w:szCs w:val="24"/>
        </w:rPr>
        <w:t>. This implies that the susceptibility to cancer can be substantially different across individuals and cancer is not sheer bad luck. This has important implications for the prevention of cancer by identifying and targeting the micro-environmental factors that influence the dynamics of selection.</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360"/>
        <w:jc w:val="center"/>
        <w:rPr/>
      </w:pPr>
      <w:r>
        <w:rPr>
          <w:rFonts w:cs="Times New Roman" w:ascii="Times New Roman" w:hAnsi="Times New Roman"/>
          <w:b/>
          <w:bCs/>
          <w:sz w:val="24"/>
          <w:szCs w:val="24"/>
        </w:rPr>
        <w:t>Context dependent selection as the keystone in the somatic evolution of cancer</w:t>
      </w:r>
    </w:p>
    <w:p>
      <w:pPr>
        <w:pStyle w:val="Normal"/>
        <w:spacing w:lineRule="auto" w:line="360"/>
        <w:jc w:val="both"/>
        <w:rPr/>
      </w:pPr>
      <w:r>
        <w:rPr>
          <w:rFonts w:cs="Times New Roman" w:ascii="Times New Roman" w:hAnsi="Times New Roman"/>
          <w:sz w:val="24"/>
          <w:szCs w:val="24"/>
        </w:rPr>
        <w:t xml:space="preserve">An old debate in the theory of evolution is how the simple process of random mutations and natural selection can lead to complex structures such as the eye that needs coordinated action of several genes. This problem is often perceived as a monkey on a typewriter paradox (1-4). How probable it is that a monkey sitting on a typewriter and hitting keys at random would end up typing a meaningful sentence? The problem of cancer is qualitatively similar to this but quantitatively even more difficult. No single mutation is known to make a cell cancerous. All cancers are necessarily a combination of different types of genomic changes including point mutations, aneuploidy and other chromosomal aberrations. The cancer phenotype has a large number of distinguishing characters that include independence from growth factor signalling, insensitivity to growth suppressing signals, evading apoptosis, telomere maintenance, sustained angiogenesis, evasion of contact inhibition, genomic instability, inflammation, altered glucose metabolism, co-option of other cell types, tissue invasion and metastasis (5). It is astonishing that so many alterations in cell properties come together in cancers. Moreover, cancer has to evolve independently in each individual suffering from it. Since mutation accumulation is recognized to be central to carcinogenesis, increased rate of mutagenesis is said to be responsible for carcinogenesis. </w:t>
      </w:r>
    </w:p>
    <w:p>
      <w:pPr>
        <w:pStyle w:val="Normal"/>
        <w:spacing w:lineRule="auto" w:line="360"/>
        <w:jc w:val="both"/>
        <w:rPr/>
      </w:pPr>
      <w:r>
        <w:rPr>
          <w:rFonts w:cs="Times New Roman" w:ascii="Times New Roman" w:hAnsi="Times New Roman"/>
          <w:sz w:val="24"/>
          <w:szCs w:val="24"/>
        </w:rPr>
        <w:t xml:space="preserve">A population level process implicated in carcinogenesis is clonal expansion. After every component mutation in the cancer process the mutant clone expands and as the mutant population increases, the probability of second component mutation increases proportionately. Implicit in this theory is the assumption that every component mutation has a selective advantage over the normal cell. Since most changes involved in carcinogenesis are about evading the growth regulation mechanisms, it is considered logical that any such mutant will have a selective advantage within a tissue. </w:t>
      </w:r>
    </w:p>
    <w:p>
      <w:pPr>
        <w:pStyle w:val="Normal"/>
        <w:spacing w:lineRule="auto" w:line="360"/>
        <w:jc w:val="both"/>
        <w:rPr/>
      </w:pPr>
      <w:r>
        <w:rPr>
          <w:rFonts w:cs="Times New Roman" w:ascii="Times New Roman" w:hAnsi="Times New Roman"/>
          <w:sz w:val="24"/>
          <w:szCs w:val="24"/>
        </w:rPr>
        <w:t xml:space="preserve">However, not all experiments support the view that cells with component mutations are always at an advantage. ------. It is possible therefore that the fitness advantage to a mutant is largely dependent on the tissue microenvironment and therefore selective forces can vary considerably across different individuals. </w:t>
      </w:r>
    </w:p>
    <w:p>
      <w:pPr>
        <w:pStyle w:val="Normal"/>
        <w:spacing w:lineRule="auto" w:line="360"/>
        <w:jc w:val="both"/>
        <w:rPr/>
      </w:pPr>
      <w:r>
        <w:rPr>
          <w:rFonts w:cs="Times New Roman" w:ascii="Times New Roman" w:hAnsi="Times New Roman"/>
          <w:sz w:val="24"/>
          <w:szCs w:val="24"/>
        </w:rPr>
        <w:t xml:space="preserve">We examine the three models namely (i) chance accumulation of mutations or the bad luck hypothesis, (ii) unconditional or context independent clonal selection and (iii) context dependent clonal selection to see whether they predict the epidemiological picture of cancer observed in human population. In addition we will also examine how the different models possibly explain the well-known Peto’s paradox (6-9), the red cell paradox () and the observed relationships with stem cell number () and mutation rates (). </w:t>
      </w:r>
    </w:p>
    <w:p>
      <w:pPr>
        <w:pStyle w:val="Normal"/>
        <w:spacing w:lineRule="auto" w:line="360"/>
        <w:jc w:val="both"/>
        <w:rPr/>
      </w:pPr>
      <w:r>
        <w:rPr>
          <w:rFonts w:cs="Times New Roman" w:ascii="Times New Roman" w:hAnsi="Times New Roman"/>
          <w:sz w:val="24"/>
          <w:szCs w:val="24"/>
        </w:rPr>
        <w:t xml:space="preserve">It is also important that while undergoing a series of genomic alterations, the cell should not experience a lethal or deleterious mutation. Since a greater proportion of mutations would be deleterious to the cell, it is highly unlikely that a cell would acquire the specific combination of alterations that make it neoplastic without undergoing any deleterious mutation. In addition an evolving cancer cell would also be subject to Muller’s ratchet and thereby progressively reduce its fitness. We examine how the three models can incorporate these phenomenon. </w:t>
      </w:r>
    </w:p>
    <w:p>
      <w:pPr>
        <w:pStyle w:val="Normal"/>
        <w:spacing w:lineRule="auto" w:line="360"/>
        <w:jc w:val="both"/>
        <w:rPr/>
      </w:pPr>
      <w:r>
        <w:rPr>
          <w:rFonts w:cs="Times New Roman" w:ascii="Times New Roman" w:hAnsi="Times New Roman"/>
          <w:b/>
          <w:bCs/>
          <w:sz w:val="24"/>
          <w:szCs w:val="24"/>
        </w:rPr>
        <w:t>A. The bad luck model</w:t>
      </w:r>
      <w:r>
        <w:rPr>
          <w:rFonts w:cs="Times New Roman" w:ascii="Times New Roman" w:hAnsi="Times New Roman"/>
          <w:sz w:val="24"/>
          <w:szCs w:val="24"/>
        </w:rPr>
        <w:t>: This hypothesis assumes that the set of driver mutations accumulate in a cell by chance alone. This may happen over a time course or in one go as in chromothripsis.</w:t>
      </w:r>
    </w:p>
    <w:p>
      <w:pPr>
        <w:pStyle w:val="Normal"/>
        <w:spacing w:lineRule="auto" w:line="360"/>
        <w:jc w:val="both"/>
        <w:rPr/>
      </w:pPr>
      <w:r>
        <w:rPr>
          <w:rFonts w:cs="Times New Roman" w:ascii="Times New Roman" w:hAnsi="Times New Roman"/>
          <w:sz w:val="24"/>
          <w:szCs w:val="24"/>
        </w:rPr>
        <w:t xml:space="preserve">Consider an organism with a population of ‘n’ stem cells, each with a mutation rate per generation per genome, ‘p’. The probability that at least one cell acquires one mutation at a given point of time can be given as 1-(1-p)^n. If ‘k’ such mutations are required for caner onset, the probability of cancer, according to bad luck model, can be expressed as (1-(1-p)^n)^k [ref-algebraic model]. For the sake of simplicity, we have ignored the cost of lethal and/or passenger mutations; although they change some of the predictions for some model variables, we see that our inferences are largely unaffected by this assumption (SI-including lethal mutations in bad luck). On the whole, the algebraic form of the bad luck model predicts a strong threshold relationship of the probability of cancer with both cell number and mutation rate (Fig 1). For suitably large values of ‘n’ and ‘p’, ‘pmut’ increases to one rapidly, and this increase is more rapid when the number of required mutations for cancer is larger.  Although this prediction can be understood in terms of the second equation above, </w:t>
      </w:r>
      <w:r>
        <w:rPr>
          <w:rFonts w:cs="Times New Roman" w:ascii="Times New Roman" w:hAnsi="Times New Roman"/>
          <w:sz w:val="24"/>
          <w:szCs w:val="24"/>
          <w:highlight w:val="yellow"/>
        </w:rPr>
        <w:t>it is clear from epidemiological data that it does not hold water as cancer risk does not have such threshold relationships with mutation rate and cell number [ref and figures].</w:t>
      </w:r>
      <w:r>
        <w:rPr>
          <w:rFonts w:cs="Times New Roman" w:ascii="Times New Roman" w:hAnsi="Times New Roman"/>
          <w:sz w:val="24"/>
          <w:szCs w:val="24"/>
        </w:rPr>
        <w:t xml:space="preserve"> Moreover, this model does not include time-dependent factors that affect mutation accumulation. The quantity, ‘pmut’ is not time-dependent, in that it is the same at every point over the lifespan of the organism, as the basal mutation rates and cell numbers do not change for a given organism over extended periods of time in a deterministic way following well-understood phenomena. In that sense, ‘pmut’ is the mutation accumulation probability per cell divison, and the probability of cancer summed over the lifetime of an organism would simply be the cumulative sum of this constant instantaneous mutation accumulation rate. This cumulative probability would exceed one very quickly when ‘pmut’ is greater than zero, and would never increase when ‘pmut’=0. At the population level, this leads to a very strong threshold of cancer incidence; either the entire population acquires all the oncogenic mutations (when ‘pmut’&gt;0), or the entire population remains cancer-free (‘pmut’=0).  </w:t>
      </w:r>
    </w:p>
    <w:p>
      <w:pPr>
        <w:pStyle w:val="Normal"/>
        <w:spacing w:lineRule="auto" w:line="36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793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793240"/>
                    </a:xfrm>
                    <a:prstGeom prst="rect">
                      <a:avLst/>
                    </a:prstGeom>
                  </pic:spPr>
                </pic:pic>
              </a:graphicData>
            </a:graphic>
          </wp:anchor>
        </w:drawing>
      </w:r>
      <w:r>
        <w:rPr>
          <w:rFonts w:cs="Times New Roman" w:ascii="Times New Roman" w:hAnsi="Times New Roman"/>
          <w:sz w:val="21"/>
          <w:szCs w:val="21"/>
        </w:rPr>
        <w:t>F</w:t>
      </w:r>
      <w:r>
        <w:rPr>
          <w:rFonts w:cs="Times New Roman" w:ascii="Times New Roman" w:hAnsi="Times New Roman"/>
          <w:sz w:val="21"/>
          <w:szCs w:val="21"/>
        </w:rPr>
        <w:t xml:space="preserve">igure 1: Algebraic form of the bad luck model-predictions for ‘p’ and ‘n’; threshold relationship with ‘p’ and ‘n’ seemingly gets stronger for larger numbers of required mutations for cancer.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pPr>
      <w:r>
        <w:rPr>
          <w:rFonts w:cs="Times New Roman" w:ascii="Times New Roman" w:hAnsi="Times New Roman"/>
          <w:b w:val="false"/>
          <w:bCs w:val="false"/>
          <w:sz w:val="24"/>
          <w:szCs w:val="24"/>
        </w:rPr>
        <w:t>As phenomenological models that led to the multi-stage hypothesis, the equations from Nordling, Armitage-Doll and many others since [ref], can be used to describe the temporal dynamics of mutation accumulation more realistically, as they include time explicitly as an independent variable. It is well-known that this class of empirical models predicts a power law relationship of mutation accumulation probability with age (time), in which probability of cancer increases exponentially with age. However, it is being recognised for some time now that cancer incidence itself does not increase as monotonously, and the pronounced decrease in late-life incidence of cancer seems like it is here to stay even after accounting for various demographic biases and risk factors [ref]. This inconsistency remains to be reconciled, although attempts to evaluate alternative models comparatively have been sparse.</w:t>
      </w:r>
    </w:p>
    <w:p>
      <w:pPr>
        <w:pStyle w:val="Normal"/>
        <w:spacing w:lineRule="auto" w:line="360"/>
        <w:jc w:val="both"/>
        <w:rPr/>
      </w:pPr>
      <w:r>
        <w:rPr>
          <w:rFonts w:cs="Times New Roman" w:ascii="Times New Roman" w:hAnsi="Times New Roman"/>
          <w:b w:val="false"/>
          <w:bCs w:val="false"/>
          <w:sz w:val="24"/>
          <w:szCs w:val="24"/>
        </w:rPr>
        <w:t>Fundamentally, Armitage-Doll and other statistical models are empirically-derived, and therefore rely on stochastic processes whose average behaviour can be described. It is this property that leads to include this class of models in the “bad luck” category, as their predictions do not involve other deterministic factors.</w:t>
      </w:r>
    </w:p>
    <w:p>
      <w:pPr>
        <w:pStyle w:val="Normal"/>
        <w:spacing w:lineRule="auto" w:line="360"/>
        <w:jc w:val="both"/>
        <w:rPr/>
      </w:pPr>
      <w:r>
        <w:rPr>
          <w:rFonts w:cs="Times New Roman" w:ascii="Times New Roman" w:hAnsi="Times New Roman"/>
          <w:b w:val="false"/>
          <w:bCs w:val="false"/>
          <w:sz w:val="24"/>
          <w:szCs w:val="24"/>
        </w:rPr>
        <w:t>The bad luck model predicts a threshold relationship with both mutation rate and cell number at the level of an organism, and predicts a binary outcome for cancer onset at the population level, where either all organisms accumulate all the oncogenic mutations, or none at all. Taken together, regardless of whether accumulation of oncogenic mutations is instantaneous or distributed in time, bad luck or random chance is an insufficient explanation for mutagenesis in cancer, in terms of total incidence, age dependence, and the effect of the mutation rate and cell number.</w:t>
      </w:r>
    </w:p>
    <w:p>
      <w:pPr>
        <w:pStyle w:val="Normal"/>
        <w:spacing w:lineRule="auto" w:line="360"/>
        <w:jc w:val="both"/>
        <w:rPr/>
      </w:pPr>
      <w:r>
        <w:rPr>
          <w:rFonts w:cs="Times New Roman" w:ascii="Times New Roman" w:hAnsi="Times New Roman"/>
          <w:b/>
          <w:bCs/>
          <w:sz w:val="24"/>
          <w:szCs w:val="24"/>
        </w:rPr>
        <w:t>B: The context-independent selection model</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 xml:space="preserve">We noted earlier that the bad luck model does not include any time-variant factors in its explanation of mutation accumulation. </w:t>
      </w:r>
      <w:r>
        <w:rPr>
          <w:rFonts w:cs="Times New Roman" w:ascii="Times New Roman" w:hAnsi="Times New Roman"/>
          <w:sz w:val="24"/>
          <w:szCs w:val="24"/>
          <w:lang w:val="en-GB"/>
        </w:rPr>
        <w:t>The multi-stage hypothesis of carcinogenesis introduced the idea of clonal expansion, by which a mutation provides a selective advantage to the cell, and the mutant cell grows and competitively excludes non-mutant cells. As with cell growth in general, clonal expansion of mutants is a time course-dependent process, and the accumulation of subsequent mutations is determined to a large extent by the selective advantage of the previous mutation. To some extent, deterministic multi-stage models by Frank [ref] have incorporated the effect of clonal expansion on cancer progression, but these models nevertheless do not provide simple access to parameters of progression like the mutation rate and cell number. We therefore explore these parameters using a simulation model instead.</w:t>
      </w:r>
    </w:p>
    <w:p>
      <w:pPr>
        <w:pStyle w:val="Normal"/>
        <w:spacing w:lineRule="auto" w:line="360"/>
        <w:jc w:val="both"/>
        <w:rPr/>
      </w:pPr>
      <w:r>
        <w:rPr>
          <w:rFonts w:cs="Times New Roman" w:ascii="Times New Roman" w:hAnsi="Times New Roman"/>
          <w:sz w:val="24"/>
          <w:szCs w:val="24"/>
        </w:rPr>
        <w:t>We begin by considering an organism starting from one stem cell with a mutation rate per divison per genome, ‘p’, growing logistically to a carrying capacity of ‘n’, following the equation below:</w:t>
      </w:r>
    </w:p>
    <w:p>
      <w:pPr>
        <w:pStyle w:val="Normal"/>
        <w:spacing w:lineRule="auto" w:line="360"/>
        <w:jc w:val="center"/>
        <w:rPr/>
      </w:pPr>
      <w:r>
        <w:rPr>
          <w:rFonts w:cs="Times New Roman" w:ascii="Times New Roman" w:hAnsi="Times New Roman"/>
          <w:sz w:val="24"/>
          <w:szCs w:val="24"/>
        </w:rPr>
        <w:t xml:space="preserve">m(i, t) = m(i, t-1)*g(i)*(n – </w:t>
      </w:r>
      <w:r>
        <w:rPr>
          <w:rFonts w:eastAsia="Calibri" w:cs="Times New Roman" w:ascii="Ubuntu" w:hAnsi="Ubuntu"/>
          <w:sz w:val="24"/>
          <w:szCs w:val="24"/>
        </w:rPr>
        <w:t>Σ</w:t>
      </w:r>
      <w:r>
        <w:rPr>
          <w:rFonts w:eastAsia="Calibri" w:cs="Times New Roman" w:ascii="Times New Roman" w:hAnsi="Times New Roman"/>
          <w:sz w:val="24"/>
          <w:szCs w:val="24"/>
        </w:rPr>
        <w:t>m</w:t>
      </w:r>
      <w:r>
        <w:rPr>
          <w:rFonts w:cs="Times New Roman" w:ascii="Times New Roman" w:hAnsi="Times New Roman"/>
          <w:sz w:val="24"/>
          <w:szCs w:val="24"/>
        </w:rPr>
        <w:t>)/n,</w:t>
      </w:r>
    </w:p>
    <w:p>
      <w:pPr>
        <w:pStyle w:val="Normal"/>
        <w:spacing w:lineRule="auto" w:line="360"/>
        <w:jc w:val="center"/>
        <w:rPr/>
      </w:pPr>
      <w:r>
        <w:rPr>
          <w:rFonts w:cs="Times New Roman" w:ascii="Times New Roman" w:hAnsi="Times New Roman"/>
          <w:sz w:val="22"/>
          <w:szCs w:val="22"/>
        </w:rPr>
        <w:t xml:space="preserve">where, m(i, t) = size of the ‘i’th mutant population, with i = 0 being the non-mutant cell population, </w:t>
      </w:r>
    </w:p>
    <w:p>
      <w:pPr>
        <w:pStyle w:val="Normal"/>
        <w:spacing w:lineRule="auto" w:line="360"/>
        <w:jc w:val="center"/>
        <w:rPr/>
      </w:pPr>
      <w:r>
        <w:rPr>
          <w:rFonts w:cs="Times New Roman" w:ascii="Times New Roman" w:hAnsi="Times New Roman"/>
          <w:sz w:val="22"/>
          <w:szCs w:val="22"/>
        </w:rPr>
        <w:t xml:space="preserve">g(i) = growth rate of the ‘i’the cell population, </w:t>
      </w:r>
    </w:p>
    <w:p>
      <w:pPr>
        <w:pStyle w:val="Normal"/>
        <w:spacing w:lineRule="auto" w:line="360"/>
        <w:jc w:val="center"/>
        <w:rPr/>
      </w:pPr>
      <w:r>
        <w:rPr>
          <w:rFonts w:eastAsia="Calibri" w:cs="Times New Roman" w:ascii="Ubuntu" w:hAnsi="Ubuntu"/>
          <w:sz w:val="22"/>
          <w:szCs w:val="22"/>
        </w:rPr>
        <w:t>Σ</w:t>
      </w:r>
      <w:r>
        <w:rPr>
          <w:rFonts w:eastAsia="Calibri" w:cs="Times New Roman" w:ascii="Times New Roman" w:hAnsi="Times New Roman"/>
          <w:sz w:val="22"/>
          <w:szCs w:val="22"/>
        </w:rPr>
        <w:t>m</w:t>
      </w:r>
      <w:r>
        <w:rPr>
          <w:rFonts w:cs="Times New Roman" w:ascii="Times New Roman" w:hAnsi="Times New Roman"/>
          <w:sz w:val="22"/>
          <w:szCs w:val="22"/>
        </w:rPr>
        <w:t xml:space="preserve"> = sum of m(i), for i = 0, ..., threshold, and</w:t>
      </w:r>
    </w:p>
    <w:p>
      <w:pPr>
        <w:pStyle w:val="Normal"/>
        <w:spacing w:lineRule="auto" w:line="360"/>
        <w:jc w:val="center"/>
        <w:rPr/>
      </w:pPr>
      <w:r>
        <w:rPr>
          <w:rFonts w:cs="Times New Roman" w:ascii="Times New Roman" w:hAnsi="Times New Roman"/>
          <w:sz w:val="22"/>
          <w:szCs w:val="22"/>
        </w:rPr>
        <w:t>threshold refers to the number of oncogenic mutations required for cancer onset. This is set to 5 arbitrarily in all further simulations.</w:t>
      </w:r>
    </w:p>
    <w:p>
      <w:pPr>
        <w:pStyle w:val="Normal"/>
        <w:spacing w:lineRule="auto" w:line="360"/>
        <w:jc w:val="center"/>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360"/>
        <w:jc w:val="both"/>
        <w:rPr/>
      </w:pPr>
      <w:r>
        <w:rPr>
          <w:rFonts w:cs="Times New Roman" w:ascii="Times New Roman" w:hAnsi="Times New Roman"/>
          <w:sz w:val="24"/>
          <w:szCs w:val="24"/>
        </w:rPr>
        <w:t>As the equation above shows, growth of every cell population is regulated by its own population size, and that of the other mutants or non-mutants in the system. Based on a development time of roughly ten years, we estimate the non-mutant growth rate, g(0) to be 0.007, and use this to standardize the time scale of the logistic growth process (SI). This leads to each step of logistic growth being equivalent to one day, with a lifespan of 100 years. For a given cell population, the probability that at least one cell acquires a mutation is given by 1-(1-p)^m(i), where ‘i’ is  the index of the most recent cell population. Mutation events are simulated in the most recent cell population stochastically; if the above probability exceeds a randomly generated number between 0 and 1, a mutation event is considered to have occurred, m(i+1, t) is set to one, and m(i, t) is reduced by one. The mutation probability then tracks m(i+1) in time for the next mutation. This model therefore describes a linear form of somatic evolution in which pre-oncogenic cells accumulate mutations sequentially interspersed by periods of clonal expansion, with only one lineage evolving at any given point of time [ref]. This simulation is carried out for a population of 10,000 organisms, and organism death in the simulation occurs either at the end of the stipulated 100-year lifespan, or upon accumulation of all five oncogenic mutations. This model can then be used to get a count of cancer onset in the population against age, which enables comparison of age-related predictions across the different models.</w:t>
      </w:r>
    </w:p>
    <w:p>
      <w:pPr>
        <w:pStyle w:val="Normal"/>
        <w:spacing w:lineRule="auto" w:line="360"/>
        <w:jc w:val="both"/>
        <w:rPr/>
      </w:pPr>
      <w:r>
        <w:drawing>
          <wp:anchor behindDoc="0" distT="0" distB="0" distL="0" distR="0" simplePos="0" locked="0" layoutInCell="1" allowOverlap="1" relativeHeight="4">
            <wp:simplePos x="0" y="0"/>
            <wp:positionH relativeFrom="column">
              <wp:posOffset>3190240</wp:posOffset>
            </wp:positionH>
            <wp:positionV relativeFrom="paragraph">
              <wp:posOffset>2175510</wp:posOffset>
            </wp:positionV>
            <wp:extent cx="2794000" cy="19030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794000" cy="1903095"/>
                    </a:xfrm>
                    <a:prstGeom prst="rect">
                      <a:avLst/>
                    </a:prstGeom>
                  </pic:spPr>
                </pic:pic>
              </a:graphicData>
            </a:graphic>
          </wp:anchor>
        </w:drawing>
      </w:r>
      <w:r>
        <w:rPr>
          <w:rFonts w:cs="Times New Roman" w:ascii="Times New Roman" w:hAnsi="Times New Roman"/>
          <w:sz w:val="24"/>
          <w:szCs w:val="24"/>
        </w:rPr>
        <w:t>O</w:t>
      </w:r>
      <w:r>
        <w:rPr>
          <w:rFonts w:cs="Times New Roman" w:ascii="Times New Roman" w:hAnsi="Times New Roman"/>
          <w:sz w:val="24"/>
          <w:szCs w:val="24"/>
        </w:rPr>
        <w:t>ncogenicity of a mutation is defined based on the logistic growth rate associated with it, as the growth rate drives the accumulation of the next mutation through clonal expansion. Starting from 0.007 for the non-mutant cells, growth rate increases linearly with each subsequent mutation in multiples of 0.007. In the absence of hard data on trends in the selective advantages of oncogenic mutations, a linearly-increasing advantage seems like an intuitive assumption to make, and slightly different trends in the growth rate still produce qualitatively similar predictions. For the context-independent model, this progression in mutant growth rates remains the same for all organisms in the population.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3">
            <wp:simplePos x="0" y="0"/>
            <wp:positionH relativeFrom="column">
              <wp:posOffset>-131445</wp:posOffset>
            </wp:positionH>
            <wp:positionV relativeFrom="paragraph">
              <wp:posOffset>-88900</wp:posOffset>
            </wp:positionV>
            <wp:extent cx="2901315" cy="18853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01315" cy="1885315"/>
                    </a:xfrm>
                    <a:prstGeom prst="rect">
                      <a:avLst/>
                    </a:prstGeom>
                  </pic:spPr>
                </pic:pic>
              </a:graphicData>
            </a:graphic>
          </wp:anchor>
        </w:drawing>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pPr>
      <w:r>
        <w:rPr/>
      </w:r>
    </w:p>
    <w:p>
      <w:pPr>
        <w:pStyle w:val="Normal"/>
        <w:spacing w:lineRule="auto" w:line="360"/>
        <w:jc w:val="center"/>
        <w:rPr>
          <w:b w:val="false"/>
          <w:b w:val="false"/>
          <w:bCs w:val="false"/>
          <w:sz w:val="20"/>
          <w:szCs w:val="20"/>
        </w:rPr>
      </w:pPr>
      <w:r>
        <w:rPr>
          <w:b w:val="false"/>
          <w:bCs w:val="false"/>
          <w:sz w:val="20"/>
          <w:szCs w:val="20"/>
        </w:rPr>
      </w:r>
    </w:p>
    <w:p>
      <w:pPr>
        <w:pStyle w:val="Normal"/>
        <w:spacing w:lineRule="auto" w:line="360"/>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5">
            <wp:simplePos x="0" y="0"/>
            <wp:positionH relativeFrom="column">
              <wp:posOffset>36195</wp:posOffset>
            </wp:positionH>
            <wp:positionV relativeFrom="paragraph">
              <wp:posOffset>45720</wp:posOffset>
            </wp:positionV>
            <wp:extent cx="2779395" cy="19729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79395" cy="197294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3145790</wp:posOffset>
            </wp:positionH>
            <wp:positionV relativeFrom="paragraph">
              <wp:posOffset>99060</wp:posOffset>
            </wp:positionV>
            <wp:extent cx="2779395" cy="1972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79395" cy="1972945"/>
                    </a:xfrm>
                    <a:prstGeom prst="rect">
                      <a:avLst/>
                    </a:prstGeom>
                  </pic:spPr>
                </pic:pic>
              </a:graphicData>
            </a:graphic>
          </wp:anchor>
        </w:drawing>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pPr>
      <w:r>
        <w:rPr>
          <w:rFonts w:cs="Times New Roman" w:ascii="Times New Roman" w:hAnsi="Times New Roman"/>
          <w:b w:val="false"/>
          <w:bCs w:val="false"/>
          <w:sz w:val="20"/>
          <w:szCs w:val="20"/>
        </w:rPr>
        <w:t>Fig 2: Cumulative incidence, and crude incidence per 100,000 for the context-independent model, as a function of mutation rate and cell number (log</w:t>
      </w:r>
      <w:r>
        <w:rPr>
          <w:rFonts w:cs="Times New Roman" w:ascii="Times New Roman" w:hAnsi="Times New Roman"/>
          <w:b w:val="false"/>
          <w:bCs w:val="false"/>
          <w:sz w:val="20"/>
          <w:szCs w:val="20"/>
          <w:vertAlign w:val="subscript"/>
        </w:rPr>
        <w:t>10</w:t>
      </w:r>
      <w:r>
        <w:rPr>
          <w:rFonts w:cs="Times New Roman" w:ascii="Times New Roman" w:hAnsi="Times New Roman"/>
          <w:b w:val="false"/>
          <w:bCs w:val="false"/>
          <w:sz w:val="20"/>
          <w:szCs w:val="20"/>
        </w:rPr>
        <w:t xml:space="preserve"> values in the corresponding legends).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b w:val="false"/>
          <w:bCs w:val="false"/>
          <w:sz w:val="24"/>
          <w:szCs w:val="24"/>
        </w:rPr>
        <w:t>The first point of divergence of the context-independent model is that the total probability of cancer, as estimated from the maximum cumulative incidence can lie in the realistic range of between 20 and 30% for sufficiently small values of ‘p’ and ‘n’. This temporal pattern in progression arises from the clonal expansion of intermediate mutants on the way to cancer onset. The acquisition of the next mutation is limited strongly by the expansion of the previous mutation, which in turn is a function of the selection acting on it as given by the progression of growth rates across mutations within an organism. However, the predicted cancer probability is realistic only in the lower end of the parameter space of ‘p’ and ‘n’, and in the higher end of the ranges of both parameters, the context-independent model predicts 100% cancer incidence. By extension, it can be seen that the lower incidence predicted for lower values of ‘p’ and ‘n’ is only an effect of the limitation of time. Given enough time, the cumulative incidence curves rises to 100%, albeit at lower rates, in the lower range of ‘p’ and ‘n’. This is because all organisms in the population share the same growth rate progression for mutants, and accumulation of mutations is therefore identical across the entire population. No other parameter in the model precludes the accumulation of all five oncogenic mutations in some organisms, and the dynamics of accumulation is entirely a function of ‘p’ and ‘n’.</w:t>
      </w:r>
    </w:p>
    <w:p>
      <w:pPr>
        <w:pStyle w:val="Normal"/>
        <w:spacing w:lineRule="auto" w:line="360"/>
        <w:jc w:val="both"/>
        <w:rPr/>
      </w:pPr>
      <w:r>
        <w:rPr>
          <w:rFonts w:cs="Times New Roman" w:ascii="Times New Roman" w:hAnsi="Times New Roman"/>
          <w:b w:val="false"/>
          <w:bCs w:val="false"/>
          <w:sz w:val="24"/>
          <w:szCs w:val="24"/>
        </w:rPr>
        <w:t xml:space="preserve">The simulation model framework so far has shown that while clonal expansion can produce some realistic predictions of cancer incidence, its explanation of cancer progression and mutation accumulation is inherently incomplete, and </w:t>
      </w:r>
      <w:r>
        <w:rPr>
          <w:rFonts w:cs="Times New Roman" w:ascii="Times New Roman" w:hAnsi="Times New Roman"/>
          <w:b w:val="false"/>
          <w:bCs w:val="false"/>
          <w:sz w:val="24"/>
          <w:szCs w:val="24"/>
          <w:highlight w:val="yellow"/>
        </w:rPr>
        <w:t>produces several inconsistencies with observed trends, including the late-life decline in cancer incidence noted earlier</w:t>
      </w:r>
      <w:r>
        <w:rPr>
          <w:rFonts w:cs="Times New Roman" w:ascii="Times New Roman" w:hAnsi="Times New Roman"/>
          <w:b w:val="false"/>
          <w:bCs w:val="false"/>
          <w:sz w:val="24"/>
          <w:szCs w:val="24"/>
        </w:rPr>
        <w:t>.</w:t>
      </w:r>
    </w:p>
    <w:p>
      <w:pPr>
        <w:pStyle w:val="Normal"/>
        <w:spacing w:lineRule="auto" w:line="360"/>
        <w:jc w:val="both"/>
        <w:rPr/>
      </w:pPr>
      <w:r>
        <w:rPr>
          <w:rFonts w:cs="Times New Roman" w:ascii="Times New Roman" w:hAnsi="Times New Roman"/>
          <w:b/>
          <w:bCs/>
          <w:sz w:val="24"/>
          <w:szCs w:val="24"/>
        </w:rPr>
        <w:t>C: The context-dependent selection model</w:t>
      </w:r>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 xml:space="preserve">The bad luck model dealt with parameters at the level of the genome and the cell, while clonal expansion in the context-independent model extended the picture to competitive progression of cancer at the organismal level. A possible addition to this framework could be at the population level, in terms of heterogeneity among organisms in susceptability to cancer progression. There are sufficient indications from empirical observations that such heterogeneity is a normal feature in populations of organisms; selection on identical mutants is not identical acorss organisms, and can instead stem from various micro- and macro-environmental factors. This context dependence of the selection on somatic mutations can be captured through the slope of the linear progression of growth rates of mutants within an organism; </w:t>
      </w:r>
      <w:r>
        <w:rPr>
          <w:rFonts w:cs="Times New Roman" w:ascii="Times New Roman" w:hAnsi="Times New Roman"/>
          <w:sz w:val="24"/>
          <w:szCs w:val="24"/>
          <w:highlight w:val="yellow"/>
        </w:rPr>
        <w:t>low slope leads to slow clonal expansion, while a steep slope of progression leads to rapid clonal expansion. This slope then becomes an indicator of the susceptibility of that organism to accumulate the requried number of oncogenic mutations.</w:t>
      </w:r>
      <w:r>
        <w:rPr>
          <w:rFonts w:cs="Times New Roman" w:ascii="Times New Roman" w:hAnsi="Times New Roman"/>
          <w:sz w:val="24"/>
          <w:szCs w:val="24"/>
        </w:rPr>
        <w:t xml:space="preserve"> To that end, we randomize the slope of the growth rate progression, while keeping the growth rate of the non-mutant cell population constant.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posOffset>212725</wp:posOffset>
            </wp:positionH>
            <wp:positionV relativeFrom="paragraph">
              <wp:posOffset>635</wp:posOffset>
            </wp:positionV>
            <wp:extent cx="2785745" cy="16186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85745" cy="16186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3257550</wp:posOffset>
            </wp:positionH>
            <wp:positionV relativeFrom="paragraph">
              <wp:posOffset>-8255</wp:posOffset>
            </wp:positionV>
            <wp:extent cx="2785745" cy="16186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85745" cy="1618615"/>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
            <wp:simplePos x="0" y="0"/>
            <wp:positionH relativeFrom="column">
              <wp:posOffset>198120</wp:posOffset>
            </wp:positionH>
            <wp:positionV relativeFrom="paragraph">
              <wp:posOffset>-104775</wp:posOffset>
            </wp:positionV>
            <wp:extent cx="2785745" cy="16186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85745" cy="161861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3175000</wp:posOffset>
            </wp:positionH>
            <wp:positionV relativeFrom="paragraph">
              <wp:posOffset>-139700</wp:posOffset>
            </wp:positionV>
            <wp:extent cx="2785745" cy="16186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85745" cy="1618615"/>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bookmarkStart w:id="0" w:name="__DdeLink__714_2076399144"/>
      <w:r>
        <w:rPr>
          <w:rFonts w:cs="Times New Roman" w:ascii="Times New Roman" w:hAnsi="Times New Roman"/>
          <w:b w:val="false"/>
          <w:bCs w:val="false"/>
          <w:sz w:val="20"/>
          <w:szCs w:val="20"/>
        </w:rPr>
        <w:t>Fig 3: Cumulative incidence, and crude incidence per 100,000 for the context-dependent model, as a function of mutation rate and cell number (log</w:t>
      </w:r>
      <w:r>
        <w:rPr>
          <w:rFonts w:cs="Times New Roman" w:ascii="Times New Roman" w:hAnsi="Times New Roman"/>
          <w:b w:val="false"/>
          <w:bCs w:val="false"/>
          <w:sz w:val="20"/>
          <w:szCs w:val="20"/>
          <w:vertAlign w:val="subscript"/>
        </w:rPr>
        <w:t>10</w:t>
      </w:r>
      <w:r>
        <w:rPr>
          <w:rFonts w:cs="Times New Roman" w:ascii="Times New Roman" w:hAnsi="Times New Roman"/>
          <w:b w:val="false"/>
          <w:bCs w:val="false"/>
          <w:sz w:val="20"/>
          <w:szCs w:val="20"/>
        </w:rPr>
        <w:t xml:space="preserve"> values in the corresponding legends).</w:t>
      </w:r>
      <w:bookmarkEnd w:id="0"/>
      <w:r>
        <w:rPr>
          <w:rFonts w:cs="Times New Roman" w:ascii="Times New Roman" w:hAnsi="Times New Roman"/>
          <w:b w:val="false"/>
          <w:bCs w:val="false"/>
          <w:sz w:val="20"/>
          <w:szCs w:val="20"/>
        </w:rPr>
        <w:t xml:space="preserve"> Note that cancer onset is spread across all age groups, and shows distinct declines in late life stages, as opposed to the context-independent model, in which cancer onset increases up to a partciular age as a function of ‘p’ and ‘n’, and then drops sharply to zero beyond that 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 xml:space="preserve">As opposed to the context-independent model, the context-dependent model produces a saturating trend in cumulative incidence that begins to saturate much lower than 100%. As Fig 3, the saturation limit for many values of ‘n’ and ‘p’ is quite close to the </w:t>
      </w:r>
      <w:r>
        <w:rPr>
          <w:rFonts w:cs="Times New Roman" w:ascii="Times New Roman" w:hAnsi="Times New Roman"/>
          <w:sz w:val="24"/>
          <w:szCs w:val="24"/>
          <w:highlight w:val="yellow"/>
        </w:rPr>
        <w:t>epidemiological estimate of cancer risk (20-30%) [ref]</w:t>
      </w:r>
      <w:r>
        <w:rPr>
          <w:rFonts w:cs="Times New Roman" w:ascii="Times New Roman" w:hAnsi="Times New Roman"/>
          <w:sz w:val="24"/>
          <w:szCs w:val="24"/>
        </w:rPr>
        <w:t>. It is possible to say that this saturation is definite because the randomization exercise leaves some organisms with a negative slope of growth rate progression, which rules out cancer onset in those organisms as their mutations never undergo clonal expansion.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1">
            <wp:simplePos x="0" y="0"/>
            <wp:positionH relativeFrom="column">
              <wp:posOffset>570865</wp:posOffset>
            </wp:positionH>
            <wp:positionV relativeFrom="paragraph">
              <wp:posOffset>-43815</wp:posOffset>
            </wp:positionV>
            <wp:extent cx="2419350" cy="16129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419350" cy="161290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3119120</wp:posOffset>
            </wp:positionH>
            <wp:positionV relativeFrom="paragraph">
              <wp:posOffset>-69215</wp:posOffset>
            </wp:positionV>
            <wp:extent cx="2419350" cy="16129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419350" cy="1612900"/>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drawing>
          <wp:anchor behindDoc="0" distT="0" distB="0" distL="0" distR="0" simplePos="0" locked="0" layoutInCell="1" allowOverlap="1" relativeHeight="13">
            <wp:simplePos x="0" y="0"/>
            <wp:positionH relativeFrom="column">
              <wp:posOffset>750570</wp:posOffset>
            </wp:positionH>
            <wp:positionV relativeFrom="paragraph">
              <wp:posOffset>-143510</wp:posOffset>
            </wp:positionV>
            <wp:extent cx="2254885" cy="15062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254885" cy="150622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3004820</wp:posOffset>
            </wp:positionH>
            <wp:positionV relativeFrom="paragraph">
              <wp:posOffset>-189230</wp:posOffset>
            </wp:positionV>
            <wp:extent cx="2614930" cy="15411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614930" cy="1541145"/>
                    </a:xfrm>
                    <a:prstGeom prst="rect">
                      <a:avLst/>
                    </a:prstGeom>
                  </pic:spPr>
                </pic:pic>
              </a:graphicData>
            </a:graphic>
          </wp:anchor>
        </w:drawing>
      </w:r>
      <w:r>
        <w:rPr>
          <w:rFonts w:cs="Times New Roman" w:ascii="Times New Roman" w:hAnsi="Times New Roman"/>
          <w:b w:val="false"/>
          <w:bCs w:val="false"/>
          <w:sz w:val="20"/>
          <w:szCs w:val="20"/>
        </w:rPr>
        <w:t>F</w:t>
      </w:r>
      <w:r>
        <w:rPr>
          <w:rFonts w:cs="Times New Roman" w:ascii="Times New Roman" w:hAnsi="Times New Roman"/>
          <w:b w:val="false"/>
          <w:bCs w:val="false"/>
          <w:sz w:val="20"/>
          <w:szCs w:val="20"/>
        </w:rPr>
        <w:t xml:space="preserve">ig 4: Maximum cumulative incidence from the context-independent (top) and -dependent (bottom) models, against log(p) (right) and log(n) (left). As opposed to the context-independent model that only reaches saturation at 100% incidence, the context-dependent model produces a </w:t>
      </w:r>
      <w:r>
        <w:rPr>
          <w:rFonts w:cs="Times New Roman" w:ascii="Times New Roman" w:hAnsi="Times New Roman"/>
          <w:b w:val="false"/>
          <w:bCs w:val="false"/>
          <w:sz w:val="20"/>
          <w:szCs w:val="20"/>
          <w:highlight w:val="yellow"/>
        </w:rPr>
        <w:t>more realistic relationship between maximum cumulative incidence, and ‘p’ and ‘n’</w:t>
      </w:r>
      <w:r>
        <w:rPr>
          <w:rFonts w:cs="Times New Roman" w:ascii="Times New Roman" w:hAnsi="Times New Roman"/>
          <w:b w:val="false"/>
          <w:bCs w:val="false"/>
          <w:sz w:val="20"/>
          <w:szCs w:val="20"/>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 xml:space="preserve">Testing predictions of the three models: </w:t>
      </w:r>
    </w:p>
    <w:p>
      <w:pPr>
        <w:pStyle w:val="ListParagraph"/>
        <w:numPr>
          <w:ilvl w:val="0"/>
          <w:numId w:val="2"/>
        </w:numPr>
        <w:spacing w:lineRule="auto" w:line="360"/>
        <w:jc w:val="both"/>
        <w:rPr/>
      </w:pPr>
      <w:r>
        <w:rPr>
          <w:rFonts w:cs="Times New Roman" w:ascii="Times New Roman" w:hAnsi="Times New Roman"/>
          <w:sz w:val="24"/>
          <w:szCs w:val="24"/>
        </w:rPr>
        <w:t xml:space="preserve">total incidence in the realistic range? </w:t>
      </w:r>
    </w:p>
    <w:p>
      <w:pPr>
        <w:pStyle w:val="ListParagraph"/>
        <w:numPr>
          <w:ilvl w:val="0"/>
          <w:numId w:val="2"/>
        </w:numPr>
        <w:spacing w:lineRule="auto" w:line="360"/>
        <w:jc w:val="both"/>
        <w:rPr/>
      </w:pPr>
      <w:r>
        <w:rPr>
          <w:rFonts w:cs="Times New Roman" w:ascii="Times New Roman" w:hAnsi="Times New Roman"/>
          <w:sz w:val="24"/>
          <w:szCs w:val="24"/>
        </w:rPr>
        <w:t xml:space="preserve">age incidence pattern </w:t>
      </w:r>
    </w:p>
    <w:p>
      <w:pPr>
        <w:pStyle w:val="ListParagraph"/>
        <w:numPr>
          <w:ilvl w:val="0"/>
          <w:numId w:val="2"/>
        </w:numPr>
        <w:spacing w:lineRule="auto" w:line="360"/>
        <w:jc w:val="both"/>
        <w:rPr/>
      </w:pPr>
      <w:r>
        <w:rPr>
          <w:rFonts w:cs="Times New Roman" w:ascii="Times New Roman" w:hAnsi="Times New Roman"/>
          <w:sz w:val="24"/>
          <w:szCs w:val="24"/>
        </w:rPr>
        <w:t xml:space="preserve">relationship with cell number, </w:t>
      </w:r>
    </w:p>
    <w:p>
      <w:pPr>
        <w:pStyle w:val="ListParagraph"/>
        <w:numPr>
          <w:ilvl w:val="0"/>
          <w:numId w:val="2"/>
        </w:numPr>
        <w:spacing w:lineRule="auto" w:line="360"/>
        <w:jc w:val="both"/>
        <w:rPr/>
      </w:pPr>
      <w:r>
        <w:rPr>
          <w:rFonts w:cs="Times New Roman" w:ascii="Times New Roman" w:hAnsi="Times New Roman"/>
          <w:sz w:val="24"/>
          <w:szCs w:val="24"/>
        </w:rPr>
        <w:t xml:space="preserve">relationship with mutation rates </w:t>
      </w:r>
    </w:p>
    <w:p>
      <w:pPr>
        <w:pStyle w:val="ListParagraph"/>
        <w:numPr>
          <w:ilvl w:val="0"/>
          <w:numId w:val="2"/>
        </w:numPr>
        <w:spacing w:lineRule="auto" w:line="360"/>
        <w:jc w:val="both"/>
        <w:rPr/>
      </w:pPr>
      <w:r>
        <w:rPr>
          <w:rFonts w:cs="Times New Roman" w:ascii="Times New Roman" w:hAnsi="Times New Roman"/>
          <w:sz w:val="24"/>
          <w:szCs w:val="24"/>
          <w:highlight w:val="yellow"/>
        </w:rPr>
        <w:t>explaining non-mutagenic carcinogens</w:t>
      </w:r>
      <w:r>
        <w:rPr>
          <w:rFonts w:cs="Times New Roman" w:ascii="Times New Roman" w:hAnsi="Times New Roman"/>
          <w:sz w:val="24"/>
          <w:szCs w:val="24"/>
        </w:rPr>
        <w:t xml:space="preserve"> </w:t>
      </w:r>
    </w:p>
    <w:p>
      <w:pPr>
        <w:pStyle w:val="ListParagraph"/>
        <w:numPr>
          <w:ilvl w:val="0"/>
          <w:numId w:val="2"/>
        </w:numPr>
        <w:spacing w:lineRule="auto" w:line="360"/>
        <w:jc w:val="both"/>
        <w:rPr/>
      </w:pPr>
      <w:r>
        <w:rPr>
          <w:rFonts w:cs="Times New Roman" w:ascii="Times New Roman" w:hAnsi="Times New Roman"/>
          <w:sz w:val="24"/>
          <w:szCs w:val="24"/>
          <w:highlight w:val="yellow"/>
        </w:rPr>
        <w:t>Peto’s paradox and other paradoxes</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 xml:space="preserve">Compatibility with branched evolution, polyclonality, clonal synergies: We used a linear evolution model for examining the predictions of context independent and context-dependent selection. The models can incorporate branched evolution, polyclonality or clonal synergies. </w:t>
      </w:r>
      <w:r>
        <w:rPr>
          <w:rFonts w:cs="Times New Roman" w:ascii="Times New Roman" w:hAnsi="Times New Roman"/>
          <w:sz w:val="24"/>
          <w:szCs w:val="24"/>
          <w:highlight w:val="yellow"/>
        </w:rPr>
        <w:t>But this incorporation does not change the mainstream predictions of the models.</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Implications for cancer control: Identifying the microenvironmental factors that influence the selection dynamics and study</w:t>
      </w:r>
      <w:bookmarkStart w:id="1" w:name="_GoBack"/>
      <w:bookmarkEnd w:id="1"/>
      <w:r>
        <w:rPr>
          <w:rFonts w:cs="Times New Roman" w:ascii="Times New Roman" w:hAnsi="Times New Roman"/>
          <w:sz w:val="24"/>
          <w:szCs w:val="24"/>
        </w:rPr>
        <w:t xml:space="preserve">ing their regulation should be the main focus of translational cancer research. If we can maintain a microenvironment that gives a selective advantage to the normal cell over an intermediate pre-cancer mutant, cancer is unlikely to develop. By this strategy cancer should be largely preventable.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360"/>
        <w:jc w:val="both"/>
        <w:rPr/>
      </w:pPr>
      <w:r>
        <w:rPr>
          <w:rFonts w:cs="Times New Roman" w:ascii="Times New Roman" w:hAnsi="Times New Roman"/>
          <w:b/>
          <w:sz w:val="24"/>
          <w:szCs w:val="24"/>
        </w:rPr>
        <w:t>References:</w:t>
      </w:r>
    </w:p>
    <w:p>
      <w:pPr>
        <w:pStyle w:val="Bibliography"/>
        <w:numPr>
          <w:ilvl w:val="0"/>
          <w:numId w:val="1"/>
        </w:numPr>
        <w:spacing w:lineRule="auto" w:line="480" w:before="240" w:after="0"/>
        <w:rPr/>
      </w:pPr>
      <w:r>
        <w:rPr>
          <w:rFonts w:cs="Times New Roman" w:ascii="Times New Roman" w:hAnsi="Times New Roman"/>
          <w:sz w:val="24"/>
          <w:szCs w:val="24"/>
        </w:rPr>
        <w:t xml:space="preserve">Behe, M.J., and Snoke, D.W. Simulating evolution by gene duplication of protein features that require multiple amino acid residues. Protein Sci. (2004). </w:t>
      </w:r>
      <w:r>
        <w:rPr>
          <w:rFonts w:cs="Times New Roman" w:ascii="Times New Roman" w:hAnsi="Times New Roman"/>
          <w:i/>
          <w:iCs/>
          <w:sz w:val="24"/>
          <w:szCs w:val="24"/>
        </w:rPr>
        <w:t>13</w:t>
      </w:r>
      <w:r>
        <w:rPr>
          <w:rFonts w:cs="Times New Roman" w:ascii="Times New Roman" w:hAnsi="Times New Roman"/>
          <w:sz w:val="24"/>
          <w:szCs w:val="24"/>
        </w:rPr>
        <w:t>, 2651–2664.</w:t>
      </w:r>
    </w:p>
    <w:p>
      <w:pPr>
        <w:pStyle w:val="Bibliography"/>
        <w:numPr>
          <w:ilvl w:val="0"/>
          <w:numId w:val="1"/>
        </w:numPr>
        <w:spacing w:lineRule="auto" w:line="480" w:before="240" w:after="0"/>
        <w:rPr/>
      </w:pPr>
      <w:r>
        <w:rPr>
          <w:rFonts w:cs="Times New Roman" w:ascii="Times New Roman" w:hAnsi="Times New Roman"/>
          <w:sz w:val="24"/>
          <w:szCs w:val="24"/>
        </w:rPr>
        <w:t>Johnson, P.E., and Behe, M.J. Darwin on trial (InterVarsity Press). (2010).</w:t>
      </w:r>
    </w:p>
    <w:p>
      <w:pPr>
        <w:pStyle w:val="Bibliography"/>
        <w:numPr>
          <w:ilvl w:val="0"/>
          <w:numId w:val="1"/>
        </w:numPr>
        <w:spacing w:lineRule="auto" w:line="480" w:before="240" w:after="0"/>
        <w:rPr/>
      </w:pPr>
      <w:r>
        <w:rPr>
          <w:rFonts w:cs="Times New Roman" w:ascii="Times New Roman" w:hAnsi="Times New Roman"/>
          <w:sz w:val="24"/>
          <w:szCs w:val="24"/>
        </w:rPr>
        <w:t xml:space="preserve">Borel, É. La mécanique statique et l’irréversibilité. J Phys Theor Appl (1913). </w:t>
      </w:r>
      <w:r>
        <w:rPr>
          <w:rFonts w:cs="Times New Roman" w:ascii="Times New Roman" w:hAnsi="Times New Roman"/>
          <w:i/>
          <w:iCs/>
          <w:sz w:val="24"/>
          <w:szCs w:val="24"/>
        </w:rPr>
        <w:t>3</w:t>
      </w:r>
      <w:r>
        <w:rPr>
          <w:rFonts w:cs="Times New Roman" w:ascii="Times New Roman" w:hAnsi="Times New Roman"/>
          <w:sz w:val="24"/>
          <w:szCs w:val="24"/>
        </w:rPr>
        <w:t>, 189–196.</w:t>
      </w:r>
    </w:p>
    <w:p>
      <w:pPr>
        <w:pStyle w:val="Bibliography"/>
        <w:numPr>
          <w:ilvl w:val="0"/>
          <w:numId w:val="1"/>
        </w:numPr>
        <w:spacing w:lineRule="auto" w:line="480" w:before="240" w:after="0"/>
        <w:rPr/>
      </w:pPr>
      <w:r>
        <w:rPr>
          <w:rFonts w:cs="Times New Roman" w:ascii="Times New Roman" w:hAnsi="Times New Roman"/>
          <w:sz w:val="24"/>
          <w:szCs w:val="24"/>
        </w:rPr>
        <w:t>Dawkins, R. The blind watchmaker: Why the evidence of evolution reveals a universe without design (WW Norton &amp; Company). (1986).</w:t>
      </w:r>
    </w:p>
    <w:p>
      <w:pPr>
        <w:pStyle w:val="Bibliography"/>
        <w:numPr>
          <w:ilvl w:val="0"/>
          <w:numId w:val="1"/>
        </w:numPr>
        <w:spacing w:lineRule="auto" w:line="480" w:before="240" w:after="0"/>
        <w:rPr/>
      </w:pPr>
      <w:r>
        <w:rPr>
          <w:rFonts w:cs="Times New Roman" w:ascii="Times New Roman" w:hAnsi="Times New Roman"/>
          <w:sz w:val="24"/>
          <w:szCs w:val="24"/>
        </w:rPr>
        <w:t xml:space="preserve">Schäfer, M., and Werner, S. Cancer as an overhealing wound: an old hypothesis revisited. Nat. Rev. Mol. Cell Biol. (2008). </w:t>
      </w:r>
      <w:r>
        <w:rPr>
          <w:rFonts w:cs="Times New Roman" w:ascii="Times New Roman" w:hAnsi="Times New Roman"/>
          <w:i/>
          <w:iCs/>
          <w:sz w:val="24"/>
          <w:szCs w:val="24"/>
        </w:rPr>
        <w:t>9</w:t>
      </w:r>
      <w:r>
        <w:rPr>
          <w:rFonts w:cs="Times New Roman" w:ascii="Times New Roman" w:hAnsi="Times New Roman"/>
          <w:sz w:val="24"/>
          <w:szCs w:val="24"/>
        </w:rPr>
        <w:t>, 628–638.</w:t>
      </w:r>
    </w:p>
    <w:p>
      <w:pPr>
        <w:pStyle w:val="Bibliography"/>
        <w:numPr>
          <w:ilvl w:val="0"/>
          <w:numId w:val="1"/>
        </w:numPr>
        <w:spacing w:lineRule="auto" w:line="480" w:before="240" w:after="0"/>
        <w:rPr/>
      </w:pPr>
      <w:r>
        <w:rPr>
          <w:rFonts w:cs="Times New Roman" w:ascii="Times New Roman" w:hAnsi="Times New Roman"/>
          <w:sz w:val="24"/>
          <w:szCs w:val="24"/>
        </w:rPr>
        <w:t xml:space="preserve">Caulin, A.F., and Maley, C.C. Peto’s Paradox: evolution’s prescription for cancer prevention. Trends Ecol. Evol. (2011). </w:t>
      </w:r>
      <w:r>
        <w:rPr>
          <w:rFonts w:cs="Times New Roman" w:ascii="Times New Roman" w:hAnsi="Times New Roman"/>
          <w:i/>
          <w:iCs/>
          <w:sz w:val="24"/>
          <w:szCs w:val="24"/>
        </w:rPr>
        <w:t>26</w:t>
      </w:r>
      <w:r>
        <w:rPr>
          <w:rFonts w:cs="Times New Roman" w:ascii="Times New Roman" w:hAnsi="Times New Roman"/>
          <w:sz w:val="24"/>
          <w:szCs w:val="24"/>
        </w:rPr>
        <w:t>, 175–182.</w:t>
      </w:r>
    </w:p>
    <w:p>
      <w:pPr>
        <w:pStyle w:val="Bibliography"/>
        <w:numPr>
          <w:ilvl w:val="0"/>
          <w:numId w:val="1"/>
        </w:numPr>
        <w:spacing w:lineRule="auto" w:line="480" w:before="240" w:after="0"/>
        <w:rPr/>
      </w:pPr>
      <w:r>
        <w:rPr>
          <w:rFonts w:cs="Times New Roman" w:ascii="Times New Roman" w:hAnsi="Times New Roman"/>
          <w:sz w:val="24"/>
          <w:szCs w:val="24"/>
        </w:rPr>
        <w:t xml:space="preserve">Caulin, A.F., Graham, T.A., Wang, L.-S., and Maley, C.C. Solutions to Peto’s paradox revealed by mathematical modelling and cross-species cancer gene analysis. Phil Trans R Soc B (2015). </w:t>
      </w:r>
      <w:r>
        <w:rPr>
          <w:rFonts w:cs="Times New Roman" w:ascii="Times New Roman" w:hAnsi="Times New Roman"/>
          <w:i/>
          <w:iCs/>
          <w:sz w:val="24"/>
          <w:szCs w:val="24"/>
        </w:rPr>
        <w:t>370</w:t>
      </w:r>
      <w:r>
        <w:rPr>
          <w:rFonts w:cs="Times New Roman" w:ascii="Times New Roman" w:hAnsi="Times New Roman"/>
          <w:sz w:val="24"/>
          <w:szCs w:val="24"/>
        </w:rPr>
        <w:t>, 20140222.</w:t>
      </w:r>
    </w:p>
    <w:p>
      <w:pPr>
        <w:pStyle w:val="Bibliography"/>
        <w:numPr>
          <w:ilvl w:val="0"/>
          <w:numId w:val="1"/>
        </w:numPr>
        <w:spacing w:lineRule="auto" w:line="480" w:before="240" w:after="0"/>
        <w:rPr/>
      </w:pPr>
      <w:r>
        <w:rPr>
          <w:rFonts w:cs="Times New Roman" w:ascii="Times New Roman" w:hAnsi="Times New Roman"/>
          <w:sz w:val="24"/>
          <w:szCs w:val="24"/>
        </w:rPr>
        <w:t xml:space="preserve">Nagy, J.D., Victor, E.M., and Cropper, J.H. Why don’t all whales have cancer? A novel hypothesis resolving Peto’s paradox. Integr. Comp. Biol. (2007). </w:t>
      </w:r>
      <w:r>
        <w:rPr>
          <w:rFonts w:cs="Times New Roman" w:ascii="Times New Roman" w:hAnsi="Times New Roman"/>
          <w:i/>
          <w:iCs/>
          <w:sz w:val="24"/>
          <w:szCs w:val="24"/>
        </w:rPr>
        <w:t>47</w:t>
      </w:r>
      <w:r>
        <w:rPr>
          <w:rFonts w:cs="Times New Roman" w:ascii="Times New Roman" w:hAnsi="Times New Roman"/>
          <w:sz w:val="24"/>
          <w:szCs w:val="24"/>
        </w:rPr>
        <w:t>, 317–328.</w:t>
      </w:r>
    </w:p>
    <w:p>
      <w:pPr>
        <w:pStyle w:val="Bibliography"/>
        <w:numPr>
          <w:ilvl w:val="0"/>
          <w:numId w:val="1"/>
        </w:numPr>
        <w:spacing w:lineRule="auto" w:line="480" w:before="240" w:after="0"/>
        <w:rPr/>
      </w:pPr>
      <w:r>
        <w:rPr>
          <w:rFonts w:cs="Times New Roman" w:ascii="Times New Roman" w:hAnsi="Times New Roman"/>
          <w:sz w:val="24"/>
          <w:szCs w:val="24"/>
        </w:rPr>
        <w:t xml:space="preserve">Roche, B., Hochberg, M.E., Caulin, A.F., Maley, C.C., Gatenby, R.A., Misse, D., and Thomas, F. Natural resistance to cancers: a Darwinian hypothesis to explain Peto’s paradox. Bmc Cancer (2012). </w:t>
      </w:r>
      <w:r>
        <w:rPr>
          <w:rFonts w:cs="Times New Roman" w:ascii="Times New Roman" w:hAnsi="Times New Roman"/>
          <w:i/>
          <w:iCs/>
          <w:sz w:val="24"/>
          <w:szCs w:val="24"/>
        </w:rPr>
        <w:t>12</w:t>
      </w:r>
      <w:r>
        <w:rPr>
          <w:rFonts w:cs="Times New Roman" w:ascii="Times New Roman" w:hAnsi="Times New Roman"/>
          <w:sz w:val="24"/>
          <w:szCs w:val="24"/>
        </w:rPr>
        <w:t>, 387.</w:t>
      </w:r>
    </w:p>
    <w:p>
      <w:pPr>
        <w:pStyle w:val="ListParagraph"/>
        <w:numPr>
          <w:ilvl w:val="0"/>
          <w:numId w:val="1"/>
        </w:numPr>
        <w:spacing w:lineRule="auto" w:line="480" w:before="240" w:after="0"/>
        <w:contextualSpacing/>
        <w:rPr/>
      </w:pPr>
      <w:r>
        <w:rPr>
          <w:rFonts w:cs="Times New Roman" w:ascii="Times New Roman" w:hAnsi="Times New Roman"/>
          <w:sz w:val="24"/>
          <w:szCs w:val="24"/>
        </w:rPr>
        <w:t xml:space="preserve">Klapper, L.N., Kirschbaum, M.H., Sela, M., and Yarden, Y. Bio chemical and clinical implications of the ErbB/HER signaling network of growth factors. Adv Cancer Res (2000). </w:t>
      </w:r>
      <w:r>
        <w:rPr>
          <w:rFonts w:cs="Times New Roman" w:ascii="Times New Roman" w:hAnsi="Times New Roman"/>
          <w:i/>
          <w:iCs/>
          <w:sz w:val="24"/>
          <w:szCs w:val="24"/>
        </w:rPr>
        <w:t>77</w:t>
      </w:r>
      <w:r>
        <w:rPr>
          <w:rFonts w:cs="Times New Roman" w:ascii="Times New Roman" w:hAnsi="Times New Roman"/>
          <w:sz w:val="24"/>
          <w:szCs w:val="24"/>
        </w:rPr>
        <w:t>, 25–78.</w:t>
      </w:r>
    </w:p>
    <w:p>
      <w:pPr>
        <w:pStyle w:val="Bibliography"/>
        <w:numPr>
          <w:ilvl w:val="0"/>
          <w:numId w:val="1"/>
        </w:numPr>
        <w:spacing w:lineRule="auto" w:line="480" w:before="240" w:after="0"/>
        <w:rPr/>
      </w:pPr>
      <w:r>
        <w:rPr>
          <w:rFonts w:cs="Times New Roman" w:ascii="Times New Roman" w:hAnsi="Times New Roman"/>
          <w:sz w:val="24"/>
          <w:szCs w:val="24"/>
        </w:rPr>
        <w:t xml:space="preserve">Mendelsohn, J., and Baselga, J. The EGF receptor family as targets for cancer therapy. Oncogene (2000). </w:t>
      </w:r>
      <w:r>
        <w:rPr>
          <w:rFonts w:cs="Times New Roman" w:ascii="Times New Roman" w:hAnsi="Times New Roman"/>
          <w:i/>
          <w:iCs/>
          <w:sz w:val="24"/>
          <w:szCs w:val="24"/>
        </w:rPr>
        <w:t>19</w:t>
      </w:r>
      <w:r>
        <w:rPr>
          <w:rFonts w:cs="Times New Roman" w:ascii="Times New Roman" w:hAnsi="Times New Roman"/>
          <w:sz w:val="24"/>
          <w:szCs w:val="24"/>
        </w:rPr>
        <w:t>, 6550–6565.</w:t>
      </w:r>
    </w:p>
    <w:p>
      <w:pPr>
        <w:pStyle w:val="Bibliography"/>
        <w:numPr>
          <w:ilvl w:val="0"/>
          <w:numId w:val="1"/>
        </w:numPr>
        <w:spacing w:lineRule="auto" w:line="480" w:before="240" w:after="0"/>
        <w:rPr/>
      </w:pPr>
      <w:r>
        <w:rPr>
          <w:rFonts w:cs="Times New Roman" w:ascii="Times New Roman" w:hAnsi="Times New Roman"/>
          <w:sz w:val="24"/>
          <w:szCs w:val="24"/>
        </w:rPr>
        <w:t xml:space="preserve">Olayioye, M.A., Neve, R.M., Lane, H.A., and Hynes, N.E. The ErbB signaling network: receptor heterodimerization in development and cancer. EMBO J. (2000). </w:t>
      </w:r>
      <w:r>
        <w:rPr>
          <w:rFonts w:cs="Times New Roman" w:ascii="Times New Roman" w:hAnsi="Times New Roman"/>
          <w:i/>
          <w:iCs/>
          <w:sz w:val="24"/>
          <w:szCs w:val="24"/>
        </w:rPr>
        <w:t>19</w:t>
      </w:r>
      <w:r>
        <w:rPr>
          <w:rFonts w:cs="Times New Roman" w:ascii="Times New Roman" w:hAnsi="Times New Roman"/>
          <w:sz w:val="24"/>
          <w:szCs w:val="24"/>
        </w:rPr>
        <w:t>, 3159–3167.</w:t>
      </w:r>
    </w:p>
    <w:p>
      <w:pPr>
        <w:pStyle w:val="Bibliography"/>
        <w:numPr>
          <w:ilvl w:val="0"/>
          <w:numId w:val="1"/>
        </w:numPr>
        <w:spacing w:lineRule="auto" w:line="480" w:before="240" w:after="0"/>
        <w:rPr/>
      </w:pPr>
      <w:r>
        <w:rPr>
          <w:rFonts w:cs="Times New Roman" w:ascii="Times New Roman" w:hAnsi="Times New Roman"/>
          <w:sz w:val="24"/>
          <w:szCs w:val="24"/>
        </w:rPr>
        <w:t xml:space="preserve">Witsch, E., Sela, M., and Yarden, Y. Roles for Growth Factors in Cancer Progression. Physiol. Bethesda Md (2010). </w:t>
      </w:r>
      <w:r>
        <w:rPr>
          <w:rFonts w:cs="Times New Roman" w:ascii="Times New Roman" w:hAnsi="Times New Roman"/>
          <w:i/>
          <w:iCs/>
          <w:sz w:val="24"/>
          <w:szCs w:val="24"/>
        </w:rPr>
        <w:t>25</w:t>
      </w:r>
      <w:r>
        <w:rPr>
          <w:rFonts w:cs="Times New Roman" w:ascii="Times New Roman" w:hAnsi="Times New Roman"/>
          <w:sz w:val="24"/>
          <w:szCs w:val="24"/>
        </w:rPr>
        <w:t>, 85–101.</w:t>
      </w:r>
    </w:p>
    <w:p>
      <w:pPr>
        <w:pStyle w:val="Bibliography"/>
        <w:numPr>
          <w:ilvl w:val="0"/>
          <w:numId w:val="1"/>
        </w:numPr>
        <w:spacing w:lineRule="auto" w:line="480" w:before="240" w:after="0"/>
        <w:rPr/>
      </w:pPr>
      <w:r>
        <w:rPr>
          <w:rFonts w:cs="Times New Roman" w:ascii="Times New Roman" w:hAnsi="Times New Roman"/>
          <w:sz w:val="24"/>
          <w:szCs w:val="24"/>
        </w:rPr>
        <w:t>Zhang, X., and Chang, A. Somatic mutations of the epidermal growth factor receptor and non</w:t>
      </w:r>
      <w:r>
        <w:rPr>
          <w:rFonts w:cs="Times New Roman" w:ascii="Cambria Math" w:hAnsi="Cambria Math"/>
          <w:sz w:val="24"/>
          <w:szCs w:val="24"/>
        </w:rPr>
        <w:t>‐</w:t>
      </w:r>
      <w:r>
        <w:rPr>
          <w:rFonts w:cs="Times New Roman" w:ascii="Times New Roman" w:hAnsi="Times New Roman"/>
          <w:sz w:val="24"/>
          <w:szCs w:val="24"/>
        </w:rPr>
        <w:t>small</w:t>
      </w:r>
      <w:r>
        <w:rPr>
          <w:rFonts w:cs="Times New Roman" w:ascii="Cambria Math" w:hAnsi="Cambria Math"/>
          <w:sz w:val="24"/>
          <w:szCs w:val="24"/>
        </w:rPr>
        <w:t>‐</w:t>
      </w:r>
      <w:r>
        <w:rPr>
          <w:rFonts w:cs="Times New Roman" w:ascii="Times New Roman" w:hAnsi="Times New Roman"/>
          <w:sz w:val="24"/>
          <w:szCs w:val="24"/>
        </w:rPr>
        <w:t xml:space="preserve">cell lung cancer. J. Med. Genet. (2007). </w:t>
      </w:r>
      <w:r>
        <w:rPr>
          <w:rFonts w:cs="Times New Roman" w:ascii="Times New Roman" w:hAnsi="Times New Roman"/>
          <w:i/>
          <w:iCs/>
          <w:sz w:val="24"/>
          <w:szCs w:val="24"/>
        </w:rPr>
        <w:t>44</w:t>
      </w:r>
      <w:r>
        <w:rPr>
          <w:rFonts w:cs="Times New Roman" w:ascii="Times New Roman" w:hAnsi="Times New Roman"/>
          <w:sz w:val="24"/>
          <w:szCs w:val="24"/>
        </w:rPr>
        <w:t>, 166–172.</w:t>
      </w:r>
    </w:p>
    <w:p>
      <w:pPr>
        <w:pStyle w:val="Bibliography"/>
        <w:numPr>
          <w:ilvl w:val="0"/>
          <w:numId w:val="1"/>
        </w:numPr>
        <w:spacing w:lineRule="auto" w:line="480" w:before="240" w:after="0"/>
        <w:rPr/>
      </w:pPr>
      <w:r>
        <w:rPr>
          <w:rFonts w:cs="Times New Roman" w:ascii="Times New Roman" w:hAnsi="Times New Roman"/>
          <w:sz w:val="24"/>
          <w:szCs w:val="24"/>
        </w:rPr>
        <w:t xml:space="preserve">Lemmon, M.A., and Schlessinger, J. Regulation of signal transduction and signal diversity by receptor oligomerization. Trends Biochem. Sci. (1994). </w:t>
      </w:r>
      <w:r>
        <w:rPr>
          <w:rFonts w:cs="Times New Roman" w:ascii="Times New Roman" w:hAnsi="Times New Roman"/>
          <w:i/>
          <w:iCs/>
          <w:sz w:val="24"/>
          <w:szCs w:val="24"/>
        </w:rPr>
        <w:t>19</w:t>
      </w:r>
      <w:r>
        <w:rPr>
          <w:rFonts w:cs="Times New Roman" w:ascii="Times New Roman" w:hAnsi="Times New Roman"/>
          <w:sz w:val="24"/>
          <w:szCs w:val="24"/>
        </w:rPr>
        <w:t>, 459–463.</w:t>
      </w:r>
    </w:p>
    <w:p>
      <w:pPr>
        <w:pStyle w:val="Bibliography"/>
        <w:numPr>
          <w:ilvl w:val="0"/>
          <w:numId w:val="1"/>
        </w:numPr>
        <w:spacing w:lineRule="auto" w:line="480" w:before="240" w:after="0"/>
        <w:rPr/>
      </w:pPr>
      <w:r>
        <w:rPr>
          <w:rFonts w:cs="Times New Roman" w:ascii="Times New Roman" w:hAnsi="Times New Roman"/>
          <w:sz w:val="24"/>
          <w:szCs w:val="24"/>
        </w:rPr>
        <w:t xml:space="preserve">Yu, J., Liu, X.-W., and Kim, H.-R.C. Platelet-derived growth factor (PDGF) receptor-α-activated c-Jun NH2-terminal kinase-1 is critical for PDGF-induced p21WAF1/CIP1 promoter activity independent of p53. J. Biol. Chem. (2003). </w:t>
      </w:r>
      <w:r>
        <w:rPr>
          <w:rFonts w:cs="Times New Roman" w:ascii="Times New Roman" w:hAnsi="Times New Roman"/>
          <w:i/>
          <w:iCs/>
          <w:sz w:val="24"/>
          <w:szCs w:val="24"/>
        </w:rPr>
        <w:t>278</w:t>
      </w:r>
      <w:r>
        <w:rPr>
          <w:rFonts w:cs="Times New Roman" w:ascii="Times New Roman" w:hAnsi="Times New Roman"/>
          <w:sz w:val="24"/>
          <w:szCs w:val="24"/>
        </w:rPr>
        <w:t>, 49582–49588.</w:t>
      </w:r>
    </w:p>
    <w:p>
      <w:pPr>
        <w:pStyle w:val="Bibliography"/>
        <w:numPr>
          <w:ilvl w:val="0"/>
          <w:numId w:val="1"/>
        </w:numPr>
        <w:spacing w:lineRule="auto" w:line="480" w:before="240" w:after="0"/>
        <w:rPr/>
      </w:pPr>
      <w:r>
        <w:rPr>
          <w:rFonts w:cs="Times New Roman" w:ascii="Times New Roman" w:hAnsi="Times New Roman"/>
          <w:sz w:val="24"/>
          <w:szCs w:val="24"/>
        </w:rPr>
        <w:t xml:space="preserve">Reis-Filho, J.S., Steele, D., Di Palma, S., Jones, R.L., Savage, K., James, M., Milanezi, F., Schmitt, F.C., and Ashworth, A. Distribution and significance of nerve growth factor receptor (NGFR/p75NTR) in normal, benign and malignant breast tissue. Mod. Pathol. (2006). </w:t>
      </w:r>
      <w:r>
        <w:rPr>
          <w:rFonts w:cs="Times New Roman" w:ascii="Times New Roman" w:hAnsi="Times New Roman"/>
          <w:i/>
          <w:iCs/>
          <w:sz w:val="24"/>
          <w:szCs w:val="24"/>
        </w:rPr>
        <w:t>19</w:t>
      </w:r>
      <w:r>
        <w:rPr>
          <w:rFonts w:cs="Times New Roman" w:ascii="Times New Roman" w:hAnsi="Times New Roman"/>
          <w:sz w:val="24"/>
          <w:szCs w:val="24"/>
        </w:rPr>
        <w:t>, 307–319.</w:t>
      </w:r>
    </w:p>
    <w:p>
      <w:pPr>
        <w:pStyle w:val="Bibliography"/>
        <w:numPr>
          <w:ilvl w:val="0"/>
          <w:numId w:val="1"/>
        </w:numPr>
        <w:spacing w:lineRule="auto" w:line="480" w:before="240" w:after="0"/>
        <w:rPr/>
      </w:pPr>
      <w:r>
        <w:rPr>
          <w:rFonts w:cs="Times New Roman" w:ascii="Times New Roman" w:hAnsi="Times New Roman"/>
          <w:sz w:val="24"/>
          <w:szCs w:val="24"/>
        </w:rPr>
        <w:t>Tsang, J.Y., Wong, K.H., Lai, M.W., Lacambra, M.D., Ko, C.-W., Chan, S.K., Lam, C.C., Alex, M., Tan, P.-H., and Gary, M.T. Nerve growth factor receptor (NGFR): a potential marker for specific molecular subtypes of breast cancer. J. Clin. Pathol. jclinpath (2012)..</w:t>
      </w:r>
    </w:p>
    <w:p>
      <w:pPr>
        <w:pStyle w:val="Bibliography"/>
        <w:numPr>
          <w:ilvl w:val="0"/>
          <w:numId w:val="1"/>
        </w:numPr>
        <w:spacing w:lineRule="auto" w:line="480" w:before="240" w:after="0"/>
        <w:rPr/>
      </w:pPr>
      <w:r>
        <w:rPr>
          <w:rFonts w:cs="Times New Roman" w:ascii="Times New Roman" w:hAnsi="Times New Roman"/>
          <w:sz w:val="24"/>
          <w:szCs w:val="24"/>
        </w:rPr>
        <w:t xml:space="preserve">Ahmad, I., Iwata, T., and Leung, H.Y. Mechanisms of FGFR-mediated carcinogenesis. Biochim. Biophys. Acta BBA-Mol. Cell Res. (2012). </w:t>
      </w:r>
      <w:r>
        <w:rPr>
          <w:rFonts w:cs="Times New Roman" w:ascii="Times New Roman" w:hAnsi="Times New Roman"/>
          <w:i/>
          <w:iCs/>
          <w:sz w:val="24"/>
          <w:szCs w:val="24"/>
        </w:rPr>
        <w:t>1823</w:t>
      </w:r>
      <w:r>
        <w:rPr>
          <w:rFonts w:cs="Times New Roman" w:ascii="Times New Roman" w:hAnsi="Times New Roman"/>
          <w:sz w:val="24"/>
          <w:szCs w:val="24"/>
        </w:rPr>
        <w:t>, 850–860.</w:t>
      </w:r>
    </w:p>
    <w:p>
      <w:pPr>
        <w:pStyle w:val="Bibliography"/>
        <w:numPr>
          <w:ilvl w:val="0"/>
          <w:numId w:val="1"/>
        </w:numPr>
        <w:spacing w:lineRule="auto" w:line="480" w:before="240" w:after="0"/>
        <w:rPr/>
      </w:pPr>
      <w:r>
        <w:rPr>
          <w:rFonts w:cs="Times New Roman" w:ascii="Times New Roman" w:hAnsi="Times New Roman"/>
          <w:sz w:val="24"/>
          <w:szCs w:val="24"/>
        </w:rPr>
        <w:t xml:space="preserve">Katoh, M., and Nakagama, H. FGF receptors: cancer biology and therapeutics. Med. Res. Rev. (2014). </w:t>
      </w:r>
      <w:r>
        <w:rPr>
          <w:rFonts w:cs="Times New Roman" w:ascii="Times New Roman" w:hAnsi="Times New Roman"/>
          <w:i/>
          <w:iCs/>
          <w:sz w:val="24"/>
          <w:szCs w:val="24"/>
        </w:rPr>
        <w:t>34</w:t>
      </w:r>
      <w:r>
        <w:rPr>
          <w:rFonts w:cs="Times New Roman" w:ascii="Times New Roman" w:hAnsi="Times New Roman"/>
          <w:sz w:val="24"/>
          <w:szCs w:val="24"/>
        </w:rPr>
        <w:t>, 280–300.</w:t>
      </w:r>
    </w:p>
    <w:p>
      <w:pPr>
        <w:pStyle w:val="Bibliography"/>
        <w:numPr>
          <w:ilvl w:val="0"/>
          <w:numId w:val="1"/>
        </w:numPr>
        <w:spacing w:lineRule="auto" w:line="480" w:before="240" w:after="0"/>
        <w:rPr/>
      </w:pPr>
      <w:r>
        <w:rPr>
          <w:rFonts w:cs="Times New Roman" w:ascii="Times New Roman" w:hAnsi="Times New Roman"/>
          <w:sz w:val="24"/>
          <w:szCs w:val="24"/>
        </w:rPr>
        <w:t xml:space="preserve">Koziczak, M., Holbro, T., and Hynes, N.E. Blocking of FGFR signaling inhibits breast cancer cell proliferation through downregulation of D-type cyclins. Oncogene (2004). </w:t>
      </w:r>
      <w:r>
        <w:rPr>
          <w:rFonts w:cs="Times New Roman" w:ascii="Times New Roman" w:hAnsi="Times New Roman"/>
          <w:i/>
          <w:iCs/>
          <w:sz w:val="24"/>
          <w:szCs w:val="24"/>
        </w:rPr>
        <w:t>23</w:t>
      </w:r>
      <w:r>
        <w:rPr>
          <w:rFonts w:cs="Times New Roman" w:ascii="Times New Roman" w:hAnsi="Times New Roman"/>
          <w:sz w:val="24"/>
          <w:szCs w:val="24"/>
        </w:rPr>
        <w:t>, 3501–3508.</w:t>
      </w:r>
    </w:p>
    <w:p>
      <w:pPr>
        <w:pStyle w:val="Bibliography"/>
        <w:numPr>
          <w:ilvl w:val="0"/>
          <w:numId w:val="1"/>
        </w:numPr>
        <w:spacing w:lineRule="auto" w:line="480" w:before="240" w:after="0"/>
        <w:rPr/>
      </w:pPr>
      <w:r>
        <w:rPr>
          <w:rFonts w:cs="Times New Roman" w:ascii="Times New Roman" w:hAnsi="Times New Roman"/>
          <w:sz w:val="24"/>
          <w:szCs w:val="24"/>
        </w:rPr>
        <w:t xml:space="preserve">Goel, H.L., and Mercurio, A.M. VEGF targets the tumour cell. Nat. Rev. Cancer (2013). </w:t>
      </w:r>
      <w:r>
        <w:rPr>
          <w:rFonts w:cs="Times New Roman" w:ascii="Times New Roman" w:hAnsi="Times New Roman"/>
          <w:i/>
          <w:iCs/>
          <w:sz w:val="24"/>
          <w:szCs w:val="24"/>
        </w:rPr>
        <w:t>13</w:t>
      </w:r>
      <w:r>
        <w:rPr>
          <w:rFonts w:cs="Times New Roman" w:ascii="Times New Roman" w:hAnsi="Times New Roman"/>
          <w:sz w:val="24"/>
          <w:szCs w:val="24"/>
        </w:rPr>
        <w:t>, 871–882.</w:t>
      </w:r>
    </w:p>
    <w:p>
      <w:pPr>
        <w:pStyle w:val="Bibliography"/>
        <w:numPr>
          <w:ilvl w:val="0"/>
          <w:numId w:val="1"/>
        </w:numPr>
        <w:spacing w:lineRule="auto" w:line="480" w:before="240" w:after="0"/>
        <w:rPr/>
      </w:pPr>
      <w:r>
        <w:rPr>
          <w:rFonts w:cs="Times New Roman" w:ascii="Times New Roman" w:hAnsi="Times New Roman"/>
          <w:sz w:val="24"/>
          <w:szCs w:val="24"/>
        </w:rPr>
        <w:t xml:space="preserve">Nexø, E., Hollenberg, M.D., and Bing, J. Aggressive behaviour in mice provokes a marked increase in both plasma epidermal growth factor and renin. Acta Physiol. Scand. (1981). </w:t>
      </w:r>
      <w:r>
        <w:rPr>
          <w:rFonts w:cs="Times New Roman" w:ascii="Times New Roman" w:hAnsi="Times New Roman"/>
          <w:i/>
          <w:iCs/>
          <w:sz w:val="24"/>
          <w:szCs w:val="24"/>
        </w:rPr>
        <w:t>111</w:t>
      </w:r>
      <w:r>
        <w:rPr>
          <w:rFonts w:cs="Times New Roman" w:ascii="Times New Roman" w:hAnsi="Times New Roman"/>
          <w:sz w:val="24"/>
          <w:szCs w:val="24"/>
        </w:rPr>
        <w:t>, 367–371.</w:t>
      </w:r>
    </w:p>
    <w:p>
      <w:pPr>
        <w:pStyle w:val="Bibliography"/>
        <w:numPr>
          <w:ilvl w:val="0"/>
          <w:numId w:val="1"/>
        </w:numPr>
        <w:spacing w:lineRule="auto" w:line="480" w:before="240" w:after="0"/>
        <w:rPr/>
      </w:pPr>
      <w:r>
        <w:rPr>
          <w:rFonts w:cs="Times New Roman" w:ascii="Times New Roman" w:hAnsi="Times New Roman"/>
          <w:sz w:val="24"/>
          <w:szCs w:val="24"/>
        </w:rPr>
        <w:t xml:space="preserve">Nexø, E., Olsen, P.S., and Poulsen, K. Exocrine and endocrine secretion of renin and epidermal growth factor from the mouse submandibular glands. Regul. Pept. (1984).  </w:t>
      </w:r>
      <w:r>
        <w:rPr>
          <w:rFonts w:cs="Times New Roman" w:ascii="Times New Roman" w:hAnsi="Times New Roman"/>
          <w:i/>
          <w:iCs/>
          <w:sz w:val="24"/>
          <w:szCs w:val="24"/>
        </w:rPr>
        <w:t>8</w:t>
      </w:r>
      <w:r>
        <w:rPr>
          <w:rFonts w:cs="Times New Roman" w:ascii="Times New Roman" w:hAnsi="Times New Roman"/>
          <w:sz w:val="24"/>
          <w:szCs w:val="24"/>
        </w:rPr>
        <w:t>, 327–334.</w:t>
      </w:r>
    </w:p>
    <w:p>
      <w:pPr>
        <w:pStyle w:val="Bibliography"/>
        <w:numPr>
          <w:ilvl w:val="0"/>
          <w:numId w:val="1"/>
        </w:numPr>
        <w:spacing w:lineRule="auto" w:line="480" w:before="240" w:after="0"/>
        <w:rPr/>
      </w:pPr>
      <w:r>
        <w:rPr>
          <w:rFonts w:cs="Times New Roman" w:ascii="Times New Roman" w:hAnsi="Times New Roman"/>
          <w:sz w:val="24"/>
          <w:szCs w:val="24"/>
        </w:rPr>
        <w:t xml:space="preserve">Roberts, M.L. Testosterone-induced accumulation of epidermal growth factor in the submandibular salivary glands of mice, assessed by radioimmunoassay. Biochem. Pharmacol. (1974). </w:t>
      </w:r>
      <w:r>
        <w:rPr>
          <w:rFonts w:cs="Times New Roman" w:ascii="Times New Roman" w:hAnsi="Times New Roman"/>
          <w:i/>
          <w:iCs/>
          <w:sz w:val="24"/>
          <w:szCs w:val="24"/>
        </w:rPr>
        <w:t>23</w:t>
      </w:r>
      <w:r>
        <w:rPr>
          <w:rFonts w:cs="Times New Roman" w:ascii="Times New Roman" w:hAnsi="Times New Roman"/>
          <w:sz w:val="24"/>
          <w:szCs w:val="24"/>
        </w:rPr>
        <w:t>, 3305–3308.</w:t>
      </w:r>
    </w:p>
    <w:p>
      <w:pPr>
        <w:pStyle w:val="Bibliography"/>
        <w:numPr>
          <w:ilvl w:val="0"/>
          <w:numId w:val="1"/>
        </w:numPr>
        <w:spacing w:lineRule="auto" w:line="480" w:before="240" w:after="0"/>
        <w:rPr/>
      </w:pPr>
      <w:r>
        <w:rPr>
          <w:rFonts w:cs="Times New Roman" w:ascii="Times New Roman" w:hAnsi="Times New Roman"/>
          <w:sz w:val="24"/>
          <w:szCs w:val="24"/>
        </w:rPr>
        <w:t xml:space="preserve">Davison, J., Befus, A., and Mathison, R. The cervical sympathetic trunk—submandibular gland neuro-endocrine axis: its role in immune regulation. Biomed Res (2003). </w:t>
      </w:r>
      <w:r>
        <w:rPr>
          <w:rFonts w:cs="Times New Roman" w:ascii="Times New Roman" w:hAnsi="Times New Roman"/>
          <w:i/>
          <w:iCs/>
          <w:sz w:val="24"/>
          <w:szCs w:val="24"/>
        </w:rPr>
        <w:t>14</w:t>
      </w:r>
      <w:r>
        <w:rPr>
          <w:rFonts w:cs="Times New Roman" w:ascii="Times New Roman" w:hAnsi="Times New Roman"/>
          <w:sz w:val="24"/>
          <w:szCs w:val="24"/>
        </w:rPr>
        <w:t>, 30–37.</w:t>
      </w:r>
    </w:p>
    <w:p>
      <w:pPr>
        <w:pStyle w:val="Bibliography"/>
        <w:numPr>
          <w:ilvl w:val="0"/>
          <w:numId w:val="1"/>
        </w:numPr>
        <w:spacing w:lineRule="auto" w:line="480" w:before="240" w:after="0"/>
        <w:rPr/>
      </w:pPr>
      <w:r>
        <w:rPr>
          <w:rFonts w:cs="Times New Roman" w:ascii="Times New Roman" w:hAnsi="Times New Roman"/>
          <w:sz w:val="24"/>
          <w:szCs w:val="24"/>
        </w:rPr>
        <w:t xml:space="preserve">Aloe, L., Bracci-Laudiero, L., Alleva, E., Lambiase, A., Micera, A., and Tirassa, P. Emotional stress induced by parachute jumping enhances blood nerve growth factor levels and the distribution of nerve growth factor receptors in lymphocytes. Proc. Natl. Acad. Sci. (1994). </w:t>
      </w:r>
      <w:r>
        <w:rPr>
          <w:rFonts w:cs="Times New Roman" w:ascii="Times New Roman" w:hAnsi="Times New Roman"/>
          <w:i/>
          <w:iCs/>
          <w:sz w:val="24"/>
          <w:szCs w:val="24"/>
        </w:rPr>
        <w:t>91</w:t>
      </w:r>
      <w:r>
        <w:rPr>
          <w:rFonts w:cs="Times New Roman" w:ascii="Times New Roman" w:hAnsi="Times New Roman"/>
          <w:sz w:val="24"/>
          <w:szCs w:val="24"/>
        </w:rPr>
        <w:t>, 10440–10444.</w:t>
      </w:r>
    </w:p>
    <w:p>
      <w:pPr>
        <w:pStyle w:val="Bibliography"/>
        <w:numPr>
          <w:ilvl w:val="0"/>
          <w:numId w:val="1"/>
        </w:numPr>
        <w:spacing w:lineRule="auto" w:line="480" w:before="240" w:after="0"/>
        <w:rPr/>
      </w:pPr>
      <w:r>
        <w:rPr>
          <w:rFonts w:cs="Times New Roman" w:ascii="Times New Roman" w:hAnsi="Times New Roman"/>
          <w:sz w:val="24"/>
          <w:szCs w:val="24"/>
        </w:rPr>
        <w:t xml:space="preserve">Wilson, S.E., Chen, L., Mohan, R.R., Liang, Q., and Liu, J. Expression of HGF, KGF, EGF and receptor messenger RNAs following corneal epithelial wounding. Exp. Eye Res. (1999). </w:t>
      </w:r>
      <w:r>
        <w:rPr>
          <w:rFonts w:cs="Times New Roman" w:ascii="Times New Roman" w:hAnsi="Times New Roman"/>
          <w:i/>
          <w:iCs/>
          <w:sz w:val="24"/>
          <w:szCs w:val="24"/>
        </w:rPr>
        <w:t>68</w:t>
      </w:r>
      <w:r>
        <w:rPr>
          <w:rFonts w:cs="Times New Roman" w:ascii="Times New Roman" w:hAnsi="Times New Roman"/>
          <w:sz w:val="24"/>
          <w:szCs w:val="24"/>
        </w:rPr>
        <w:t>, 377–397.</w:t>
      </w:r>
    </w:p>
    <w:p>
      <w:pPr>
        <w:pStyle w:val="Bibliography"/>
        <w:numPr>
          <w:ilvl w:val="0"/>
          <w:numId w:val="1"/>
        </w:numPr>
        <w:spacing w:lineRule="auto" w:line="480" w:before="240" w:after="0"/>
        <w:rPr/>
      </w:pPr>
      <w:r>
        <w:rPr>
          <w:rFonts w:cs="Times New Roman" w:ascii="Times New Roman" w:hAnsi="Times New Roman"/>
          <w:sz w:val="24"/>
          <w:szCs w:val="24"/>
        </w:rPr>
        <w:t xml:space="preserve">Berker, B., Emral, R., Demirel, C., Corapcioglu, D., Unlu, C., and Kose, K. Increased insulin-like growth factor-I levels in women with polycystic ovary syndrome, and beneficial effects of metformin therapy. Gynecol. Endocrinol. (2004). </w:t>
      </w:r>
      <w:r>
        <w:rPr>
          <w:rFonts w:cs="Times New Roman" w:ascii="Times New Roman" w:hAnsi="Times New Roman"/>
          <w:i/>
          <w:iCs/>
          <w:sz w:val="24"/>
          <w:szCs w:val="24"/>
        </w:rPr>
        <w:t>19</w:t>
      </w:r>
      <w:r>
        <w:rPr>
          <w:rFonts w:cs="Times New Roman" w:ascii="Times New Roman" w:hAnsi="Times New Roman"/>
          <w:sz w:val="24"/>
          <w:szCs w:val="24"/>
        </w:rPr>
        <w:t>, 125–133.</w:t>
      </w:r>
    </w:p>
    <w:p>
      <w:pPr>
        <w:pStyle w:val="Bibliography"/>
        <w:numPr>
          <w:ilvl w:val="0"/>
          <w:numId w:val="1"/>
        </w:numPr>
        <w:spacing w:lineRule="auto" w:line="480" w:before="240" w:after="0"/>
        <w:rPr/>
      </w:pPr>
      <w:r>
        <w:rPr>
          <w:rFonts w:cs="Times New Roman" w:ascii="Times New Roman" w:hAnsi="Times New Roman"/>
          <w:sz w:val="24"/>
          <w:szCs w:val="24"/>
        </w:rPr>
        <w:t xml:space="preserve">Bulló, M., Peeraully, M.R., Trayhurn, P., Folch, J., and Salas-Salvadó, J. Circulating nerve growth factor levels in relation to obesity and the metabolic syndrome in women. Eur. J. Endocrinol. (2007). </w:t>
      </w:r>
      <w:r>
        <w:rPr>
          <w:rFonts w:cs="Times New Roman" w:ascii="Times New Roman" w:hAnsi="Times New Roman"/>
          <w:i/>
          <w:iCs/>
          <w:sz w:val="24"/>
          <w:szCs w:val="24"/>
        </w:rPr>
        <w:t>157</w:t>
      </w:r>
      <w:r>
        <w:rPr>
          <w:rFonts w:cs="Times New Roman" w:ascii="Times New Roman" w:hAnsi="Times New Roman"/>
          <w:sz w:val="24"/>
          <w:szCs w:val="24"/>
        </w:rPr>
        <w:t>, 303–310.</w:t>
      </w:r>
    </w:p>
    <w:p>
      <w:pPr>
        <w:pStyle w:val="Bibliography"/>
        <w:numPr>
          <w:ilvl w:val="0"/>
          <w:numId w:val="1"/>
        </w:numPr>
        <w:spacing w:lineRule="auto" w:line="480" w:before="240" w:after="0"/>
        <w:rPr/>
      </w:pPr>
      <w:r>
        <w:rPr>
          <w:rFonts w:cs="Times New Roman" w:ascii="Times New Roman" w:hAnsi="Times New Roman"/>
          <w:sz w:val="24"/>
          <w:szCs w:val="24"/>
        </w:rPr>
        <w:t>Mraz, M., Bartlova, M., Lacinova, Z., Michalsky, D., Kasalicky, M., Haluzikova, D., Matoulek, M., Dostalova, I., Humenanska, V., and Haluzik, M. Serum concentrations and tissue expression of a novel endocrine regulator fibroblast growth factor</w:t>
      </w:r>
      <w:r>
        <w:rPr>
          <w:rFonts w:cs="Times New Roman" w:ascii="Cambria Math" w:hAnsi="Cambria Math"/>
          <w:sz w:val="24"/>
          <w:szCs w:val="24"/>
        </w:rPr>
        <w:t>‐</w:t>
      </w:r>
      <w:r>
        <w:rPr>
          <w:rFonts w:cs="Times New Roman" w:ascii="Times New Roman" w:hAnsi="Times New Roman"/>
          <w:sz w:val="24"/>
          <w:szCs w:val="24"/>
        </w:rPr>
        <w:t xml:space="preserve">21 in patients with type 2 diabetes and obesity. Clin. Endocrinol. (Oxf.) (2009). </w:t>
      </w:r>
      <w:r>
        <w:rPr>
          <w:rFonts w:cs="Times New Roman" w:ascii="Times New Roman" w:hAnsi="Times New Roman"/>
          <w:i/>
          <w:iCs/>
          <w:sz w:val="24"/>
          <w:szCs w:val="24"/>
        </w:rPr>
        <w:t>71</w:t>
      </w:r>
      <w:r>
        <w:rPr>
          <w:rFonts w:cs="Times New Roman" w:ascii="Times New Roman" w:hAnsi="Times New Roman"/>
          <w:sz w:val="24"/>
          <w:szCs w:val="24"/>
        </w:rPr>
        <w:t>, 369–375.</w:t>
      </w:r>
    </w:p>
    <w:p>
      <w:pPr>
        <w:pStyle w:val="Bibliography"/>
        <w:numPr>
          <w:ilvl w:val="0"/>
          <w:numId w:val="1"/>
        </w:numPr>
        <w:spacing w:lineRule="auto" w:line="480" w:before="240" w:after="0"/>
        <w:rPr/>
      </w:pPr>
      <w:r>
        <w:rPr>
          <w:rFonts w:cs="Times New Roman" w:ascii="Times New Roman" w:hAnsi="Times New Roman"/>
          <w:sz w:val="24"/>
          <w:szCs w:val="24"/>
        </w:rPr>
        <w:t xml:space="preserve">Rasmussen, M., Hvidberg, A., Juul, A., Main, K., Gotfredsen, A., Skakkebaek, N., Hilsted, J., and Skakkebae, N. Massive weight loss restores 24-hour growth hormone release profiles and serum insulin-like growth factor-I levels in obese subjects. J. Clin. Endocrinol. Metab. (1995). </w:t>
      </w:r>
      <w:r>
        <w:rPr>
          <w:rFonts w:cs="Times New Roman" w:ascii="Times New Roman" w:hAnsi="Times New Roman"/>
          <w:i/>
          <w:iCs/>
          <w:sz w:val="24"/>
          <w:szCs w:val="24"/>
        </w:rPr>
        <w:t>80</w:t>
      </w:r>
      <w:r>
        <w:rPr>
          <w:rFonts w:cs="Times New Roman" w:ascii="Times New Roman" w:hAnsi="Times New Roman"/>
          <w:sz w:val="24"/>
          <w:szCs w:val="24"/>
        </w:rPr>
        <w:t>, 1407–1415.</w:t>
      </w:r>
    </w:p>
    <w:p>
      <w:pPr>
        <w:pStyle w:val="Bibliography"/>
        <w:numPr>
          <w:ilvl w:val="0"/>
          <w:numId w:val="1"/>
        </w:numPr>
        <w:spacing w:lineRule="auto" w:line="480" w:before="240" w:after="0"/>
        <w:rPr/>
      </w:pPr>
      <w:r>
        <w:rPr>
          <w:rFonts w:cs="Times New Roman" w:ascii="Times New Roman" w:hAnsi="Times New Roman"/>
          <w:sz w:val="24"/>
          <w:szCs w:val="24"/>
        </w:rPr>
        <w:t xml:space="preserve">Morrison, S.J., Shah, N.M., and Anderson, D.J. Regulatory Mechanisms in Stem Cell Biology. Cell (1997). </w:t>
      </w:r>
      <w:r>
        <w:rPr>
          <w:rFonts w:cs="Times New Roman" w:ascii="Times New Roman" w:hAnsi="Times New Roman"/>
          <w:i/>
          <w:iCs/>
          <w:sz w:val="24"/>
          <w:szCs w:val="24"/>
        </w:rPr>
        <w:t>88</w:t>
      </w:r>
      <w:r>
        <w:rPr>
          <w:rFonts w:cs="Times New Roman" w:ascii="Times New Roman" w:hAnsi="Times New Roman"/>
          <w:sz w:val="24"/>
          <w:szCs w:val="24"/>
        </w:rPr>
        <w:t>, 287–298.</w:t>
      </w:r>
    </w:p>
    <w:p>
      <w:pPr>
        <w:pStyle w:val="Bibliography"/>
        <w:numPr>
          <w:ilvl w:val="0"/>
          <w:numId w:val="1"/>
        </w:numPr>
        <w:spacing w:lineRule="auto" w:line="480" w:before="240" w:after="0"/>
        <w:rPr/>
      </w:pPr>
      <w:r>
        <w:rPr>
          <w:rFonts w:cs="Times New Roman" w:ascii="Times New Roman" w:hAnsi="Times New Roman"/>
          <w:sz w:val="24"/>
          <w:szCs w:val="24"/>
        </w:rPr>
        <w:t xml:space="preserve">Reya, T., Morrison, S.J., Clarke, M.F., and Weissman, I.L. Stem cells, cancer, and cancer stem cells. Nature (2001). </w:t>
      </w:r>
      <w:r>
        <w:rPr>
          <w:rFonts w:cs="Times New Roman" w:ascii="Times New Roman" w:hAnsi="Times New Roman"/>
          <w:i/>
          <w:iCs/>
          <w:sz w:val="24"/>
          <w:szCs w:val="24"/>
        </w:rPr>
        <w:t>414</w:t>
      </w:r>
      <w:r>
        <w:rPr>
          <w:rFonts w:cs="Times New Roman" w:ascii="Times New Roman" w:hAnsi="Times New Roman"/>
          <w:sz w:val="24"/>
          <w:szCs w:val="24"/>
        </w:rPr>
        <w:t>, 105–111.</w:t>
      </w:r>
    </w:p>
    <w:p>
      <w:pPr>
        <w:pStyle w:val="Bibliography"/>
        <w:numPr>
          <w:ilvl w:val="0"/>
          <w:numId w:val="1"/>
        </w:numPr>
        <w:spacing w:lineRule="auto" w:line="480" w:before="240" w:after="0"/>
        <w:rPr/>
      </w:pPr>
      <w:r>
        <w:rPr>
          <w:rFonts w:cs="Times New Roman" w:ascii="Times New Roman" w:hAnsi="Times New Roman"/>
          <w:sz w:val="24"/>
          <w:szCs w:val="24"/>
        </w:rPr>
        <w:t xml:space="preserve">Sasaki, T., Hiroki, K., and Yamashita, Y. The Role of Epidermal Growth Factor Receptor in Cancer Metastasis and Microenvironment. BioMed Res. Int. (2013). </w:t>
      </w:r>
      <w:r>
        <w:rPr>
          <w:rFonts w:cs="Times New Roman" w:ascii="Times New Roman" w:hAnsi="Times New Roman"/>
          <w:i/>
          <w:iCs/>
          <w:sz w:val="24"/>
          <w:szCs w:val="24"/>
        </w:rPr>
        <w:t>2013</w:t>
      </w:r>
      <w:r>
        <w:rPr>
          <w:rFonts w:cs="Times New Roman" w:ascii="Times New Roman" w:hAnsi="Times New Roman"/>
          <w:sz w:val="24"/>
          <w:szCs w:val="24"/>
        </w:rPr>
        <w:t>, 546318.</w:t>
      </w:r>
    </w:p>
    <w:p>
      <w:pPr>
        <w:pStyle w:val="Bibliography"/>
        <w:numPr>
          <w:ilvl w:val="0"/>
          <w:numId w:val="1"/>
        </w:numPr>
        <w:spacing w:lineRule="auto" w:line="480" w:before="240" w:after="0"/>
        <w:rPr/>
      </w:pPr>
      <w:r>
        <w:rPr>
          <w:rFonts w:cs="Times New Roman" w:ascii="Times New Roman" w:hAnsi="Times New Roman"/>
          <w:sz w:val="24"/>
          <w:szCs w:val="24"/>
        </w:rPr>
        <w:t xml:space="preserve">Coutu, D.L., and Galipeau, J. Roles of FGF signaling in stem cell self-renewal, senescence and aging. Aging (2011). </w:t>
      </w:r>
      <w:r>
        <w:rPr>
          <w:rFonts w:cs="Times New Roman" w:ascii="Times New Roman" w:hAnsi="Times New Roman"/>
          <w:i/>
          <w:iCs/>
          <w:sz w:val="24"/>
          <w:szCs w:val="24"/>
        </w:rPr>
        <w:t>3</w:t>
      </w:r>
      <w:r>
        <w:rPr>
          <w:rFonts w:cs="Times New Roman" w:ascii="Times New Roman" w:hAnsi="Times New Roman"/>
          <w:sz w:val="24"/>
          <w:szCs w:val="24"/>
        </w:rPr>
        <w:t>, 920–933.</w:t>
      </w:r>
    </w:p>
    <w:p>
      <w:pPr>
        <w:pStyle w:val="Bibliography"/>
        <w:numPr>
          <w:ilvl w:val="0"/>
          <w:numId w:val="1"/>
        </w:numPr>
        <w:spacing w:lineRule="auto" w:line="480" w:before="240" w:after="0"/>
        <w:rPr/>
      </w:pPr>
      <w:r>
        <w:rPr>
          <w:rFonts w:cs="Times New Roman" w:ascii="Times New Roman" w:hAnsi="Times New Roman"/>
          <w:sz w:val="24"/>
          <w:szCs w:val="24"/>
        </w:rPr>
        <w:t xml:space="preserve">Discher, D.E., Mooney, D.J., and Zandstra, P.W. Growth factors, matrices, and forces combine and control stem cells. Science (2009). </w:t>
      </w:r>
      <w:r>
        <w:rPr>
          <w:rFonts w:cs="Times New Roman" w:ascii="Times New Roman" w:hAnsi="Times New Roman"/>
          <w:i/>
          <w:iCs/>
          <w:sz w:val="24"/>
          <w:szCs w:val="24"/>
        </w:rPr>
        <w:t>324</w:t>
      </w:r>
      <w:r>
        <w:rPr>
          <w:rFonts w:cs="Times New Roman" w:ascii="Times New Roman" w:hAnsi="Times New Roman"/>
          <w:sz w:val="24"/>
          <w:szCs w:val="24"/>
        </w:rPr>
        <w:t>, 1673–1677.</w:t>
      </w:r>
    </w:p>
    <w:p>
      <w:pPr>
        <w:pStyle w:val="Bibliography"/>
        <w:numPr>
          <w:ilvl w:val="0"/>
          <w:numId w:val="1"/>
        </w:numPr>
        <w:spacing w:lineRule="auto" w:line="480" w:before="240" w:after="0"/>
        <w:rPr/>
      </w:pPr>
      <w:r>
        <w:rPr>
          <w:rFonts w:cs="Times New Roman" w:ascii="Times New Roman" w:hAnsi="Times New Roman"/>
          <w:sz w:val="24"/>
          <w:szCs w:val="24"/>
        </w:rPr>
        <w:t xml:space="preserve">Shi, Y., Sun, G., Zhao, C., and Stewart, R. Neural Stem Cell Self-renewal. Crit. Rev. Oncol. Hematol. (2008). </w:t>
      </w:r>
      <w:r>
        <w:rPr>
          <w:rFonts w:cs="Times New Roman" w:ascii="Times New Roman" w:hAnsi="Times New Roman"/>
          <w:i/>
          <w:iCs/>
          <w:sz w:val="24"/>
          <w:szCs w:val="24"/>
        </w:rPr>
        <w:t>65</w:t>
      </w:r>
      <w:r>
        <w:rPr>
          <w:rFonts w:cs="Times New Roman" w:ascii="Times New Roman" w:hAnsi="Times New Roman"/>
          <w:sz w:val="24"/>
          <w:szCs w:val="24"/>
        </w:rPr>
        <w:t>, 43–53.</w:t>
      </w:r>
    </w:p>
    <w:p>
      <w:pPr>
        <w:pStyle w:val="Bibliography"/>
        <w:numPr>
          <w:ilvl w:val="0"/>
          <w:numId w:val="1"/>
        </w:numPr>
        <w:spacing w:lineRule="auto" w:line="480" w:before="240" w:after="0"/>
        <w:rPr/>
      </w:pPr>
      <w:r>
        <w:rPr>
          <w:rFonts w:cs="Times New Roman" w:ascii="Times New Roman" w:hAnsi="Times New Roman"/>
          <w:sz w:val="24"/>
          <w:szCs w:val="24"/>
        </w:rPr>
        <w:t xml:space="preserve">Tomellini, E., Touil, Y., Lagadec, C., Julien, S., Ostyn, P., Ziental-Gelus, N., Meignan, S., Lengrand, J., Adriaenssens, E., and Polakowska, R. Nerve Growth Factor and proNGF Simultaneously Promote Symmetric Self-Renewal, Quiescence, and Epithelial to Mesenchymal Transition to Enlarge the Breast Cancer Stem Cell Compartment. Stem Cells (2015). </w:t>
      </w:r>
      <w:r>
        <w:rPr>
          <w:rFonts w:cs="Times New Roman" w:ascii="Times New Roman" w:hAnsi="Times New Roman"/>
          <w:i/>
          <w:iCs/>
          <w:sz w:val="24"/>
          <w:szCs w:val="24"/>
        </w:rPr>
        <w:t>33</w:t>
      </w:r>
      <w:r>
        <w:rPr>
          <w:rFonts w:cs="Times New Roman" w:ascii="Times New Roman" w:hAnsi="Times New Roman"/>
          <w:sz w:val="24"/>
          <w:szCs w:val="24"/>
        </w:rPr>
        <w:t>, 342–353.</w:t>
      </w:r>
    </w:p>
    <w:p>
      <w:pPr>
        <w:pStyle w:val="Bibliography"/>
        <w:numPr>
          <w:ilvl w:val="0"/>
          <w:numId w:val="1"/>
        </w:numPr>
        <w:spacing w:lineRule="auto" w:line="480" w:before="240" w:after="0"/>
        <w:rPr/>
      </w:pPr>
      <w:r>
        <w:rPr>
          <w:rFonts w:cs="Times New Roman" w:ascii="Times New Roman" w:hAnsi="Times New Roman"/>
          <w:sz w:val="24"/>
          <w:szCs w:val="24"/>
        </w:rPr>
        <w:t xml:space="preserve">González-Suárez, E., Samper, E., Ramírez, A., Flores, J.M., Martín-Caballero, J., Jorcano, J.L., and Blasco, M.A. Increased epidermal tumors and increased skin wound healing in transgenic mice overexpressing the catalytic subunit of telomerase, mTERT, in basal keratinocytes. EMBO J. (2001). </w:t>
      </w:r>
      <w:r>
        <w:rPr>
          <w:rFonts w:cs="Times New Roman" w:ascii="Times New Roman" w:hAnsi="Times New Roman"/>
          <w:i/>
          <w:iCs/>
          <w:sz w:val="24"/>
          <w:szCs w:val="24"/>
        </w:rPr>
        <w:t>20</w:t>
      </w:r>
      <w:r>
        <w:rPr>
          <w:rFonts w:cs="Times New Roman" w:ascii="Times New Roman" w:hAnsi="Times New Roman"/>
          <w:sz w:val="24"/>
          <w:szCs w:val="24"/>
        </w:rPr>
        <w:t>, 2619–2630.</w:t>
      </w:r>
    </w:p>
    <w:p>
      <w:pPr>
        <w:pStyle w:val="Bibliography"/>
        <w:numPr>
          <w:ilvl w:val="0"/>
          <w:numId w:val="1"/>
        </w:numPr>
        <w:spacing w:lineRule="auto" w:line="480" w:before="240" w:after="0"/>
        <w:rPr/>
      </w:pPr>
      <w:r>
        <w:rPr>
          <w:rFonts w:cs="Times New Roman" w:ascii="Times New Roman" w:hAnsi="Times New Roman"/>
          <w:sz w:val="24"/>
          <w:szCs w:val="24"/>
        </w:rPr>
        <w:t xml:space="preserve">Osanai, M., Tamaki, T., Yonekawa, M., Kawamura, A., and Sawada, N. Transient increase in telomerase activity of proliferating fibroblasts and endothelial cells in granulation tissue of the human skin. Wound Repair Regen. (2002). </w:t>
      </w:r>
      <w:r>
        <w:rPr>
          <w:rFonts w:cs="Times New Roman" w:ascii="Times New Roman" w:hAnsi="Times New Roman"/>
          <w:i/>
          <w:iCs/>
          <w:sz w:val="24"/>
          <w:szCs w:val="24"/>
        </w:rPr>
        <w:t>10</w:t>
      </w:r>
      <w:r>
        <w:rPr>
          <w:rFonts w:cs="Times New Roman" w:ascii="Times New Roman" w:hAnsi="Times New Roman"/>
          <w:sz w:val="24"/>
          <w:szCs w:val="24"/>
        </w:rPr>
        <w:t>, 59–66.</w:t>
      </w:r>
    </w:p>
    <w:p>
      <w:pPr>
        <w:pStyle w:val="ListParagraph"/>
        <w:numPr>
          <w:ilvl w:val="0"/>
          <w:numId w:val="1"/>
        </w:numPr>
        <w:spacing w:lineRule="auto" w:line="480" w:before="240" w:after="0"/>
        <w:contextualSpacing/>
        <w:rPr/>
      </w:pPr>
      <w:r>
        <w:rPr>
          <w:rFonts w:cs="Times New Roman" w:ascii="Times New Roman" w:hAnsi="Times New Roman"/>
          <w:sz w:val="24"/>
          <w:szCs w:val="24"/>
        </w:rPr>
        <w:t>Hunt TK,</w:t>
      </w:r>
      <w:r>
        <w:rPr>
          <w:rStyle w:val="Appleconvertedspace"/>
          <w:rFonts w:cs="Times New Roman" w:ascii="Times New Roman" w:hAnsi="Times New Roman"/>
          <w:sz w:val="24"/>
          <w:szCs w:val="24"/>
        </w:rPr>
        <w:t> </w:t>
      </w:r>
      <w:r>
        <w:rPr>
          <w:rFonts w:cs="Times New Roman" w:ascii="Times New Roman" w:hAnsi="Times New Roman"/>
          <w:sz w:val="24"/>
          <w:szCs w:val="24"/>
        </w:rPr>
        <w:t>Conolly WB,</w:t>
      </w:r>
      <w:r>
        <w:rPr>
          <w:rStyle w:val="Appleconvertedspace"/>
          <w:rFonts w:cs="Times New Roman" w:ascii="Times New Roman" w:hAnsi="Times New Roman"/>
          <w:sz w:val="24"/>
          <w:szCs w:val="24"/>
        </w:rPr>
        <w:t> </w:t>
      </w:r>
      <w:r>
        <w:rPr>
          <w:rFonts w:cs="Times New Roman" w:ascii="Times New Roman" w:hAnsi="Times New Roman"/>
          <w:sz w:val="24"/>
          <w:szCs w:val="24"/>
        </w:rPr>
        <w:t>Aronson SB,</w:t>
      </w:r>
      <w:r>
        <w:rPr>
          <w:rStyle w:val="Appleconvertedspace"/>
          <w:rFonts w:cs="Times New Roman" w:ascii="Times New Roman" w:hAnsi="Times New Roman"/>
          <w:sz w:val="24"/>
          <w:szCs w:val="24"/>
        </w:rPr>
        <w:t> </w:t>
      </w:r>
      <w:r>
        <w:rPr>
          <w:rFonts w:cs="Times New Roman" w:ascii="Times New Roman" w:hAnsi="Times New Roman"/>
          <w:sz w:val="24"/>
          <w:szCs w:val="24"/>
        </w:rPr>
        <w:t>Goldstein P Anaerobic metabolism and wound healing: an hypothesis for the initiation and cessation of collagen synthesis in wounds. Am J Surg. (1978).</w:t>
      </w:r>
      <w:r>
        <w:rPr>
          <w:rStyle w:val="Appleconvertedspace"/>
          <w:rFonts w:cs="Times New Roman" w:ascii="Times New Roman" w:hAnsi="Times New Roman"/>
          <w:sz w:val="24"/>
          <w:szCs w:val="24"/>
        </w:rPr>
        <w:t xml:space="preserve"> </w:t>
      </w:r>
      <w:r>
        <w:rPr>
          <w:rFonts w:cs="Times New Roman" w:ascii="Times New Roman" w:hAnsi="Times New Roman"/>
          <w:sz w:val="24"/>
          <w:szCs w:val="24"/>
        </w:rPr>
        <w:t>135 (3):328-32.</w:t>
      </w:r>
    </w:p>
    <w:p>
      <w:pPr>
        <w:pStyle w:val="Bibliography"/>
        <w:numPr>
          <w:ilvl w:val="0"/>
          <w:numId w:val="1"/>
        </w:numPr>
        <w:spacing w:lineRule="auto" w:line="480" w:before="240" w:after="0"/>
        <w:rPr/>
      </w:pPr>
      <w:r>
        <w:rPr>
          <w:rFonts w:cs="Times New Roman" w:ascii="Times New Roman" w:hAnsi="Times New Roman"/>
          <w:sz w:val="24"/>
          <w:szCs w:val="24"/>
        </w:rPr>
        <w:t xml:space="preserve">Hunt, T.K. The physiology of wound healing. Ann. Emerg. Med. (1988). </w:t>
      </w:r>
      <w:r>
        <w:rPr>
          <w:rFonts w:cs="Times New Roman" w:ascii="Times New Roman" w:hAnsi="Times New Roman"/>
          <w:i/>
          <w:iCs/>
          <w:sz w:val="24"/>
          <w:szCs w:val="24"/>
        </w:rPr>
        <w:t>17</w:t>
      </w:r>
      <w:r>
        <w:rPr>
          <w:rFonts w:cs="Times New Roman" w:ascii="Times New Roman" w:hAnsi="Times New Roman"/>
          <w:sz w:val="24"/>
          <w:szCs w:val="24"/>
        </w:rPr>
        <w:t>, 1265–1273.</w:t>
      </w:r>
    </w:p>
    <w:p>
      <w:pPr>
        <w:pStyle w:val="Bibliography"/>
        <w:numPr>
          <w:ilvl w:val="0"/>
          <w:numId w:val="1"/>
        </w:numPr>
        <w:spacing w:lineRule="auto" w:line="480" w:before="240" w:after="0"/>
        <w:rPr/>
      </w:pPr>
      <w:r>
        <w:rPr>
          <w:rFonts w:cs="Times New Roman" w:ascii="Times New Roman" w:hAnsi="Times New Roman"/>
          <w:sz w:val="24"/>
          <w:szCs w:val="24"/>
        </w:rPr>
        <w:t xml:space="preserve">Gurtner, G.C., Werner, S., Barrandon, Y., and Longaker, M.T. Wound repair and regeneration. Nature (2008). </w:t>
      </w:r>
      <w:r>
        <w:rPr>
          <w:rFonts w:cs="Times New Roman" w:ascii="Times New Roman" w:hAnsi="Times New Roman"/>
          <w:i/>
          <w:iCs/>
          <w:sz w:val="24"/>
          <w:szCs w:val="24"/>
        </w:rPr>
        <w:t>453</w:t>
      </w:r>
      <w:r>
        <w:rPr>
          <w:rFonts w:cs="Times New Roman" w:ascii="Times New Roman" w:hAnsi="Times New Roman"/>
          <w:sz w:val="24"/>
          <w:szCs w:val="24"/>
        </w:rPr>
        <w:t>, 314–321.</w:t>
      </w:r>
    </w:p>
    <w:p>
      <w:pPr>
        <w:pStyle w:val="Bibliography"/>
        <w:numPr>
          <w:ilvl w:val="0"/>
          <w:numId w:val="1"/>
        </w:numPr>
        <w:spacing w:lineRule="auto" w:line="480" w:before="240" w:after="0"/>
        <w:rPr/>
      </w:pPr>
      <w:r>
        <w:rPr>
          <w:rFonts w:cs="Times New Roman" w:ascii="Times New Roman" w:hAnsi="Times New Roman"/>
          <w:sz w:val="24"/>
          <w:szCs w:val="24"/>
        </w:rPr>
        <w:t>Tonnesen, M.G., Feng, X., and Clark, R.A. Angiogenesis in wound healing. (Nature Publishing Group), (2000). pp. 40–46.</w:t>
      </w:r>
    </w:p>
    <w:p>
      <w:pPr>
        <w:pStyle w:val="Bibliography"/>
        <w:numPr>
          <w:ilvl w:val="0"/>
          <w:numId w:val="1"/>
        </w:numPr>
        <w:spacing w:lineRule="auto" w:line="480" w:before="240" w:after="0"/>
        <w:rPr/>
      </w:pPr>
      <w:r>
        <w:rPr>
          <w:rFonts w:cs="Times New Roman" w:ascii="Times New Roman" w:hAnsi="Times New Roman"/>
          <w:sz w:val="24"/>
          <w:szCs w:val="24"/>
        </w:rPr>
        <w:t xml:space="preserve">Mardin, B.R., Isokane, M., Cosenza, M.R., Krämer, A., Ellenberg, J., Fry, A.M., and Schiebel, E. EGF-induced centrosome separation promotes mitotic progression and cell survival. Dev. Cell (2013). </w:t>
      </w:r>
      <w:r>
        <w:rPr>
          <w:rFonts w:cs="Times New Roman" w:ascii="Times New Roman" w:hAnsi="Times New Roman"/>
          <w:i/>
          <w:iCs/>
          <w:sz w:val="24"/>
          <w:szCs w:val="24"/>
        </w:rPr>
        <w:t>25</w:t>
      </w:r>
      <w:r>
        <w:rPr>
          <w:rFonts w:cs="Times New Roman" w:ascii="Times New Roman" w:hAnsi="Times New Roman"/>
          <w:sz w:val="24"/>
          <w:szCs w:val="24"/>
        </w:rPr>
        <w:t>, 229–240.</w:t>
      </w:r>
    </w:p>
    <w:p>
      <w:pPr>
        <w:pStyle w:val="Bibliography"/>
        <w:numPr>
          <w:ilvl w:val="0"/>
          <w:numId w:val="1"/>
        </w:numPr>
        <w:spacing w:lineRule="auto" w:line="480" w:before="240" w:after="0"/>
        <w:rPr/>
      </w:pPr>
      <w:r>
        <w:rPr>
          <w:rFonts w:cs="Times New Roman" w:ascii="Times New Roman" w:hAnsi="Times New Roman"/>
          <w:sz w:val="24"/>
          <w:szCs w:val="24"/>
        </w:rPr>
        <w:t xml:space="preserve">Schrevel, M., Gorter, A., Kolkman-Uljee, S.M., Trimbos, J.B.M., Fleuren, G.J., and Jordanova, E.S. Molecular mechanisms of epidermal growth factor receptor overexpression in patients with cervical cancer. Mod. Pathol. (2011). </w:t>
      </w:r>
      <w:r>
        <w:rPr>
          <w:rFonts w:cs="Times New Roman" w:ascii="Times New Roman" w:hAnsi="Times New Roman"/>
          <w:i/>
          <w:iCs/>
          <w:sz w:val="24"/>
          <w:szCs w:val="24"/>
        </w:rPr>
        <w:t>24</w:t>
      </w:r>
      <w:r>
        <w:rPr>
          <w:rFonts w:cs="Times New Roman" w:ascii="Times New Roman" w:hAnsi="Times New Roman"/>
          <w:sz w:val="24"/>
          <w:szCs w:val="24"/>
        </w:rPr>
        <w:t>, 720–728.</w:t>
      </w:r>
    </w:p>
    <w:p>
      <w:pPr>
        <w:pStyle w:val="Bibliography"/>
        <w:numPr>
          <w:ilvl w:val="0"/>
          <w:numId w:val="1"/>
        </w:numPr>
        <w:spacing w:lineRule="auto" w:line="480" w:before="240" w:after="0"/>
        <w:rPr/>
      </w:pPr>
      <w:r>
        <w:rPr>
          <w:rFonts w:cs="Times New Roman" w:ascii="Times New Roman" w:hAnsi="Times New Roman"/>
          <w:sz w:val="24"/>
          <w:szCs w:val="24"/>
        </w:rPr>
        <w:t xml:space="preserve">Cao, L., Liu, X., Lin, E.-J.D., Wang, C., Choi, E.Y., Riban, V., Lin, B., and During, M.J. Environmental and Genetic Activation of a Brain-Adipocyte BDNF/Leptin Axis Causes Cancer Remission and Inhibition. Cell (2010). </w:t>
      </w:r>
      <w:r>
        <w:rPr>
          <w:rFonts w:cs="Times New Roman" w:ascii="Times New Roman" w:hAnsi="Times New Roman"/>
          <w:i/>
          <w:iCs/>
          <w:sz w:val="24"/>
          <w:szCs w:val="24"/>
        </w:rPr>
        <w:t>142</w:t>
      </w:r>
      <w:r>
        <w:rPr>
          <w:rFonts w:cs="Times New Roman" w:ascii="Times New Roman" w:hAnsi="Times New Roman"/>
          <w:sz w:val="24"/>
          <w:szCs w:val="24"/>
        </w:rPr>
        <w:t>, 52–64.</w:t>
      </w:r>
    </w:p>
    <w:p>
      <w:pPr>
        <w:pStyle w:val="Bibliography"/>
        <w:numPr>
          <w:ilvl w:val="0"/>
          <w:numId w:val="1"/>
        </w:numPr>
        <w:spacing w:lineRule="auto" w:line="480" w:before="240" w:after="0"/>
        <w:rPr/>
      </w:pPr>
      <w:r>
        <w:rPr>
          <w:rFonts w:cs="Times New Roman" w:ascii="Times New Roman" w:hAnsi="Times New Roman"/>
          <w:sz w:val="24"/>
          <w:szCs w:val="24"/>
        </w:rPr>
        <w:t xml:space="preserve">Eysenck, H.J. Cancer, personality and stress: Prediction and prevention. Adv. Behav. Res. Ther. (1994). </w:t>
      </w:r>
      <w:r>
        <w:rPr>
          <w:rFonts w:cs="Times New Roman" w:ascii="Times New Roman" w:hAnsi="Times New Roman"/>
          <w:i/>
          <w:iCs/>
          <w:sz w:val="24"/>
          <w:szCs w:val="24"/>
        </w:rPr>
        <w:t>16</w:t>
      </w:r>
      <w:r>
        <w:rPr>
          <w:rFonts w:cs="Times New Roman" w:ascii="Times New Roman" w:hAnsi="Times New Roman"/>
          <w:sz w:val="24"/>
          <w:szCs w:val="24"/>
        </w:rPr>
        <w:t>, 167–215.</w:t>
      </w:r>
    </w:p>
    <w:p>
      <w:pPr>
        <w:pStyle w:val="Bibliography"/>
        <w:numPr>
          <w:ilvl w:val="0"/>
          <w:numId w:val="1"/>
        </w:numPr>
        <w:spacing w:lineRule="auto" w:line="480" w:before="240" w:after="0"/>
        <w:rPr/>
      </w:pPr>
      <w:r>
        <w:rPr>
          <w:rFonts w:cs="Times New Roman" w:ascii="Times New Roman" w:hAnsi="Times New Roman"/>
          <w:sz w:val="24"/>
          <w:szCs w:val="24"/>
        </w:rPr>
        <w:t xml:space="preserve">Kavan, M.G., Engdahl, B.E., and Kay, S. Colon cancer: personality factors predictive of onset and stage of presentation. J. Psychosom. Res. (1995). </w:t>
      </w:r>
      <w:r>
        <w:rPr>
          <w:rFonts w:cs="Times New Roman" w:ascii="Times New Roman" w:hAnsi="Times New Roman"/>
          <w:i/>
          <w:iCs/>
          <w:sz w:val="24"/>
          <w:szCs w:val="24"/>
        </w:rPr>
        <w:t>39</w:t>
      </w:r>
      <w:r>
        <w:rPr>
          <w:rFonts w:cs="Times New Roman" w:ascii="Times New Roman" w:hAnsi="Times New Roman"/>
          <w:sz w:val="24"/>
          <w:szCs w:val="24"/>
        </w:rPr>
        <w:t>, 1031–1039.</w:t>
      </w:r>
    </w:p>
    <w:p>
      <w:pPr>
        <w:pStyle w:val="Bibliography"/>
        <w:numPr>
          <w:ilvl w:val="0"/>
          <w:numId w:val="1"/>
        </w:numPr>
        <w:spacing w:lineRule="auto" w:line="480" w:before="240" w:after="0"/>
        <w:rPr/>
      </w:pPr>
      <w:r>
        <w:rPr>
          <w:rFonts w:cs="Times New Roman" w:ascii="Times New Roman" w:hAnsi="Times New Roman"/>
          <w:sz w:val="24"/>
          <w:szCs w:val="24"/>
        </w:rPr>
        <w:t xml:space="preserve">Kune, G.A., Kune, S., Watson, L.F., and Bahnson, C.B. Personality as a risk factor in large bowel cancer: data from the Melbourne Colorectal Cancer Study. Psychol. Med. (1991). </w:t>
      </w:r>
      <w:r>
        <w:rPr>
          <w:rFonts w:cs="Times New Roman" w:ascii="Times New Roman" w:hAnsi="Times New Roman"/>
          <w:i/>
          <w:iCs/>
          <w:sz w:val="24"/>
          <w:szCs w:val="24"/>
        </w:rPr>
        <w:t>21</w:t>
      </w:r>
      <w:r>
        <w:rPr>
          <w:rFonts w:cs="Times New Roman" w:ascii="Times New Roman" w:hAnsi="Times New Roman"/>
          <w:sz w:val="24"/>
          <w:szCs w:val="24"/>
        </w:rPr>
        <w:t>, 29–41.</w:t>
      </w:r>
    </w:p>
    <w:p>
      <w:pPr>
        <w:pStyle w:val="Bibliography"/>
        <w:numPr>
          <w:ilvl w:val="0"/>
          <w:numId w:val="1"/>
        </w:numPr>
        <w:spacing w:lineRule="auto" w:line="480" w:before="240" w:after="0"/>
        <w:rPr/>
      </w:pPr>
      <w:r>
        <w:rPr>
          <w:rFonts w:cs="Times New Roman" w:ascii="Times New Roman" w:hAnsi="Times New Roman"/>
          <w:sz w:val="24"/>
          <w:szCs w:val="24"/>
        </w:rPr>
        <w:t xml:space="preserve">Eysenck, H.J. Personality, stress and cancer: prediction and prophylaxis. Br. J. Med. Psychol. (1988). </w:t>
      </w:r>
      <w:r>
        <w:rPr>
          <w:rFonts w:cs="Times New Roman" w:ascii="Times New Roman" w:hAnsi="Times New Roman"/>
          <w:i/>
          <w:iCs/>
          <w:sz w:val="24"/>
          <w:szCs w:val="24"/>
        </w:rPr>
        <w:t>61</w:t>
      </w:r>
      <w:r>
        <w:rPr>
          <w:rFonts w:cs="Times New Roman" w:ascii="Times New Roman" w:hAnsi="Times New Roman"/>
          <w:sz w:val="24"/>
          <w:szCs w:val="24"/>
        </w:rPr>
        <w:t>, 57–75.</w:t>
      </w:r>
    </w:p>
    <w:p>
      <w:pPr>
        <w:pStyle w:val="Bibliography"/>
        <w:numPr>
          <w:ilvl w:val="0"/>
          <w:numId w:val="1"/>
        </w:numPr>
        <w:spacing w:lineRule="auto" w:line="480" w:before="240" w:after="0"/>
        <w:rPr/>
      </w:pPr>
      <w:r>
        <w:rPr>
          <w:rFonts w:cs="Times New Roman" w:ascii="Times New Roman" w:hAnsi="Times New Roman"/>
          <w:sz w:val="24"/>
          <w:szCs w:val="24"/>
        </w:rPr>
        <w:t xml:space="preserve">Temoshok, L. Personality, coping style, emotion and cancer: towards an integrative model. Cancer Surv. (1986). </w:t>
      </w:r>
      <w:r>
        <w:rPr>
          <w:rFonts w:cs="Times New Roman" w:ascii="Times New Roman" w:hAnsi="Times New Roman"/>
          <w:i/>
          <w:iCs/>
          <w:sz w:val="24"/>
          <w:szCs w:val="24"/>
        </w:rPr>
        <w:t>6</w:t>
      </w:r>
      <w:r>
        <w:rPr>
          <w:rFonts w:cs="Times New Roman" w:ascii="Times New Roman" w:hAnsi="Times New Roman"/>
          <w:sz w:val="24"/>
          <w:szCs w:val="24"/>
        </w:rPr>
        <w:t>, 545–567.</w:t>
      </w:r>
    </w:p>
    <w:p>
      <w:pPr>
        <w:pStyle w:val="Bibliography"/>
        <w:numPr>
          <w:ilvl w:val="0"/>
          <w:numId w:val="1"/>
        </w:numPr>
        <w:spacing w:lineRule="auto" w:line="480" w:before="240" w:after="0"/>
        <w:rPr/>
      </w:pPr>
      <w:r>
        <w:rPr>
          <w:rFonts w:cs="Times New Roman" w:ascii="Times New Roman" w:hAnsi="Times New Roman"/>
          <w:sz w:val="24"/>
          <w:szCs w:val="24"/>
        </w:rPr>
        <w:t>Watve, M. Behavioral Deficiencies and Behavioral Supplementation. In Doves, Diplomats, and Diabetes, (Springer), (2013). pp. 305–317.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left="0" w:right="0" w:firstLine="360"/>
        <w:jc w:val="both"/>
        <w:rPr>
          <w:rFonts w:ascii="Times New Roman" w:hAnsi="Times New Roman" w:cs="Times New Roman"/>
          <w:b/>
          <w:b/>
          <w:bCs/>
          <w:sz w:val="24"/>
          <w:szCs w:val="24"/>
        </w:rPr>
      </w:pPr>
      <w:r>
        <w:rPr/>
      </w:r>
    </w:p>
    <w:sectPr>
      <w:footerReference w:type="default" r:id="rId15"/>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9382818"/>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4"/>
        <w:rFonts w:ascii="Times New Roman" w:hAnsi="Times New Roman" w:eastAsia="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0148d6"/>
    <w:pPr>
      <w:spacing w:lineRule="auto" w:line="240" w:beforeAutospacing="1" w:afterAutospacing="1"/>
      <w:outlineLvl w:val="0"/>
    </w:pPr>
    <w:rPr>
      <w:rFonts w:ascii="Times New Roman" w:hAnsi="Times New Roman" w:eastAsia="Times New Roman" w:cs="Times New Roman"/>
      <w:b/>
      <w:bCs/>
      <w:kern w:val="2"/>
      <w:sz w:val="48"/>
      <w:szCs w:val="48"/>
      <w:lang w:val="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26054"/>
    <w:rPr>
      <w:color w:val="0000FF"/>
      <w:u w:val="single"/>
    </w:rPr>
  </w:style>
  <w:style w:type="character" w:styleId="Figpopupsensitivearea" w:customStyle="1">
    <w:name w:val="figpopup-sensitive-area"/>
    <w:basedOn w:val="DefaultParagraphFont"/>
    <w:qFormat/>
    <w:rsid w:val="00e26054"/>
    <w:rPr/>
  </w:style>
  <w:style w:type="character" w:styleId="Cit" w:customStyle="1">
    <w:name w:val="cit"/>
    <w:basedOn w:val="DefaultParagraphFont"/>
    <w:qFormat/>
    <w:rsid w:val="00e26054"/>
    <w:rPr/>
  </w:style>
  <w:style w:type="character" w:styleId="Citation" w:customStyle="1">
    <w:name w:val="citation"/>
    <w:basedOn w:val="DefaultParagraphFont"/>
    <w:qFormat/>
    <w:rsid w:val="00e26054"/>
    <w:rPr/>
  </w:style>
  <w:style w:type="character" w:styleId="Refjournal" w:customStyle="1">
    <w:name w:val="ref-journal"/>
    <w:basedOn w:val="DefaultParagraphFont"/>
    <w:qFormat/>
    <w:rsid w:val="00e26054"/>
    <w:rPr/>
  </w:style>
  <w:style w:type="character" w:styleId="Refvol" w:customStyle="1">
    <w:name w:val="ref-vol"/>
    <w:basedOn w:val="DefaultParagraphFont"/>
    <w:qFormat/>
    <w:rsid w:val="00e26054"/>
    <w:rPr/>
  </w:style>
  <w:style w:type="character" w:styleId="Nowrap" w:customStyle="1">
    <w:name w:val="nowrap"/>
    <w:basedOn w:val="DefaultParagraphFont"/>
    <w:qFormat/>
    <w:rsid w:val="00e26054"/>
    <w:rPr/>
  </w:style>
  <w:style w:type="character" w:styleId="FollowedHyperlink">
    <w:name w:val="FollowedHyperlink"/>
    <w:basedOn w:val="DefaultParagraphFont"/>
    <w:uiPriority w:val="99"/>
    <w:semiHidden/>
    <w:unhideWhenUsed/>
    <w:qFormat/>
    <w:rsid w:val="00ec6caf"/>
    <w:rPr>
      <w:color w:val="800080" w:themeColor="followedHyperlink"/>
      <w:u w:val="single"/>
    </w:rPr>
  </w:style>
  <w:style w:type="character" w:styleId="HeaderChar" w:customStyle="1">
    <w:name w:val="Header Char"/>
    <w:basedOn w:val="DefaultParagraphFont"/>
    <w:link w:val="Header"/>
    <w:uiPriority w:val="99"/>
    <w:semiHidden/>
    <w:qFormat/>
    <w:rsid w:val="00d87660"/>
    <w:rPr/>
  </w:style>
  <w:style w:type="character" w:styleId="FooterChar" w:customStyle="1">
    <w:name w:val="Footer Char"/>
    <w:basedOn w:val="DefaultParagraphFont"/>
    <w:link w:val="Footer"/>
    <w:uiPriority w:val="99"/>
    <w:qFormat/>
    <w:rsid w:val="00d87660"/>
    <w:rPr/>
  </w:style>
  <w:style w:type="character" w:styleId="BalloonTextChar" w:customStyle="1">
    <w:name w:val="Balloon Text Char"/>
    <w:basedOn w:val="DefaultParagraphFont"/>
    <w:link w:val="BalloonText"/>
    <w:uiPriority w:val="99"/>
    <w:semiHidden/>
    <w:qFormat/>
    <w:rsid w:val="00cc74ba"/>
    <w:rPr>
      <w:rFonts w:ascii="Tahoma" w:hAnsi="Tahoma" w:cs="Tahoma"/>
      <w:sz w:val="16"/>
      <w:szCs w:val="16"/>
    </w:rPr>
  </w:style>
  <w:style w:type="character" w:styleId="Heading1Char" w:customStyle="1">
    <w:name w:val="Heading 1 Char"/>
    <w:basedOn w:val="DefaultParagraphFont"/>
    <w:link w:val="Heading1"/>
    <w:uiPriority w:val="9"/>
    <w:qFormat/>
    <w:rsid w:val="000148d6"/>
    <w:rPr>
      <w:rFonts w:ascii="Times New Roman" w:hAnsi="Times New Roman" w:eastAsia="Times New Roman" w:cs="Times New Roman"/>
      <w:b/>
      <w:bCs/>
      <w:kern w:val="2"/>
      <w:sz w:val="48"/>
      <w:szCs w:val="48"/>
      <w:lang w:val="en-US" w:bidi="hi-IN"/>
    </w:rPr>
  </w:style>
  <w:style w:type="character" w:styleId="Appleconvertedspace" w:customStyle="1">
    <w:name w:val="apple-converted-space"/>
    <w:basedOn w:val="DefaultParagraphFont"/>
    <w:qFormat/>
    <w:rsid w:val="000148d6"/>
    <w:rPr/>
  </w:style>
  <w:style w:type="character" w:styleId="Strong">
    <w:name w:val="Strong"/>
    <w:basedOn w:val="DefaultParagraphFont"/>
    <w:uiPriority w:val="22"/>
    <w:qFormat/>
    <w:rsid w:val="00ef39df"/>
    <w:rPr>
      <w:b/>
      <w:bCs/>
    </w:rPr>
  </w:style>
  <w:style w:type="character" w:styleId="Middot" w:customStyle="1">
    <w:name w:val="middot"/>
    <w:basedOn w:val="DefaultParagraphFont"/>
    <w:qFormat/>
    <w:rsid w:val="00ef39d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eastAsia="Calibri" w:cs="Times New Roman"/>
      <w:sz w:val="24"/>
    </w:rPr>
  </w:style>
  <w:style w:type="character" w:styleId="ListLabel11">
    <w:name w:val="ListLabel 11"/>
    <w:qFormat/>
    <w:rPr>
      <w:rFonts w:ascii="Times New Roman" w:hAnsi="Times New Roman" w:eastAsia="Calibri" w:cs="Times New Roman"/>
      <w:sz w:val="24"/>
    </w:rPr>
  </w:style>
  <w:style w:type="character" w:styleId="ListLabel12">
    <w:name w:val="ListLabel 12"/>
    <w:qFormat/>
    <w:rPr>
      <w:rFonts w:ascii="Times New Roman" w:hAnsi="Times New Roman" w:eastAsia="Calibri" w:cs="Times New Roman"/>
      <w:sz w:val="24"/>
    </w:rPr>
  </w:style>
  <w:style w:type="character" w:styleId="ListLabel13">
    <w:name w:val="ListLabel 13"/>
    <w:qFormat/>
    <w:rPr>
      <w:rFonts w:ascii="Times New Roman" w:hAnsi="Times New Roman" w:eastAsia="Calibri" w:cs="Times New Roman"/>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36bf"/>
    <w:pPr>
      <w:spacing w:before="0" w:after="200"/>
      <w:ind w:left="720" w:hanging="0"/>
      <w:contextualSpacing/>
    </w:pPr>
    <w:rPr/>
  </w:style>
  <w:style w:type="paragraph" w:styleId="Header">
    <w:name w:val="Header"/>
    <w:basedOn w:val="Normal"/>
    <w:link w:val="HeaderChar"/>
    <w:uiPriority w:val="99"/>
    <w:semiHidden/>
    <w:unhideWhenUsed/>
    <w:rsid w:val="00d8766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766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c74ba"/>
    <w:pPr>
      <w:spacing w:lineRule="auto" w:line="240" w:before="0" w:after="0"/>
    </w:pPr>
    <w:rPr>
      <w:rFonts w:ascii="Tahoma" w:hAnsi="Tahoma" w:cs="Tahoma"/>
      <w:sz w:val="16"/>
      <w:szCs w:val="16"/>
    </w:rPr>
  </w:style>
  <w:style w:type="paragraph" w:styleId="Bibliography">
    <w:name w:val="Bibliography"/>
    <w:basedOn w:val="Normal"/>
    <w:next w:val="Normal"/>
    <w:uiPriority w:val="37"/>
    <w:unhideWhenUsed/>
    <w:qFormat/>
    <w:rsid w:val="00b4647a"/>
    <w:pPr>
      <w:spacing w:lineRule="auto" w:line="240" w:before="0" w:after="240"/>
    </w:pPr>
    <w:rPr/>
  </w:style>
  <w:style w:type="paragraph" w:styleId="Volissue" w:customStyle="1">
    <w:name w:val="volissue"/>
    <w:basedOn w:val="Normal"/>
    <w:qFormat/>
    <w:rsid w:val="00bb3471"/>
    <w:pPr>
      <w:spacing w:lineRule="auto" w:line="240" w:beforeAutospacing="1" w:afterAutospacing="1"/>
    </w:pPr>
    <w:rPr>
      <w:rFonts w:ascii="Times New Roman" w:hAnsi="Times New Roman" w:eastAsia="Times New Roman" w:cs="Times New Roman"/>
      <w:sz w:val="24"/>
      <w:szCs w:val="24"/>
      <w:lang w:val="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Shading1">
    <w:name w:val="Light Shading1"/>
    <w:basedOn w:val="TableNormal"/>
    <w:uiPriority w:val="60"/>
    <w:rsid w:val="00943ed5"/>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Lines="0" w:afterLines="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Lines="0" w:afterLines="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0606F-3C37-4DBE-8D0C-5F14CB4A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Application>LibreOffice/6.0.6.2$Linux_X86_64 LibreOffice_project/00m0$Build-2</Application>
  <Pages>17</Pages>
  <Words>4441</Words>
  <Characters>24684</Characters>
  <CharactersWithSpaces>28942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2018-07-11T13:00:00Z</dcterms:created>
  <dc:creator>Milind</dc:creator>
  <dc:description/>
  <dc:language>en-IN</dc:language>
  <cp:lastModifiedBy/>
  <dcterms:modified xsi:type="dcterms:W3CDTF">2018-10-30T18:50:24Z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zotero-version="4.0.25.2"&gt;&lt;session id="2tNVlSVE"/&gt;&lt;style id="http://www.zotero.org/styles/cell" hasBibliography="1" bibliographyStyleHasBeenSet="1"/&gt;&lt;prefs&gt;&lt;pref name="fieldType" value="Field"/&gt;&lt;pref name="storeReferences" value="tr</vt:lpwstr>
  </property>
  <property fmtid="{D5CDD505-2E9C-101B-9397-08002B2CF9AE}" pid="9" name="ZOTERO_PREF_2">
    <vt:lpwstr>ue"/&gt;&lt;pref name="automaticJournalAbbreviations" value="true"/&gt;&lt;pref name="noteType" value="0"/&gt;&lt;/prefs&gt;&lt;/data&gt;</vt:lpwstr>
  </property>
</Properties>
</file>