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(criar/editar/cancelar):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[IP, TOC, AIAI, AIFAI], StatusProcedimento, StatusOitiva, StatusRepasse, OrigemCustodia, TipoParte, TipoNotificacao, SituacaoVeiculo, 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data, hora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concluida/cancelada.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Cancelar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cancele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(IP, TOC, AIAI, AIFAI),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data); ao passar para EM_PATIO, a localizacao no patio e obrigatoria.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 e a localizacao no patio.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rejeita o cadastro, informando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"rejeitado" e notifica o solicitante com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com status definitivo (aprovado/rejeitado); se aprovado, pode executar UC01.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Editar/Cancelar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data/hora/status.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"Cancelar"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"cancelada".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"cancelada": sistema bloqueia edicao/cancelamento.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 ou cancelada)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criar/editar/cancelar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motivo; se a nova situacao for EM_PATIO, informa tambem a localizacao no patio.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EM_PATIO sem localizacao no patio: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respondido) exibida no cabecalho.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 ou a localizacao no patio (quando EM_PATIO).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2892853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2892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788850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(IP, TOC, AIAI, AIFAI) possui numeração própria, que reinicia a cada ano e pode coincidir entre tipos.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</w:t>
      </w: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