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(criar/editar/desmarcar):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OrigemCustodia, TipoParte, TipoNotificacao, SituacaoVeiculo, 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 e hora (remarcacao)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concluida/desmarcada. Remarcar (alterar data/hora) mantem o status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data); ao passar para EM_PATIO, a localizacao no patio e obrigatoria.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 e a localizacao no patio.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rejeita o cadastro, informando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"rejeitado" e notifica o solicitante com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com status definitivo (aprovado/rejeitado); se aprovado, pode executar UC01.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Editar/Remarcar ou Desmarcar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 (remarcacao) ou status;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criar/editar/desmarcar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o procedimento ao qual o veiculo sera vinculado.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motivo; se a nova situacao for EM_PATIO, informa tambem a localizacao no patio.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EM_PATIO sem localizacao no patio: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respondido) exibida no cabecalho.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 ou a localizacao no patio (quando EM_PATIO).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118849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1188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788850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</w:t>
      </w: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