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Microsoft YaHei" w:hAnsi="Microsoft YaHei" w:eastAsia="Microsoft YaHei"/>
          <w:b/>
          <w:color w:val="1F4E79"/>
          <w:sz w:val="46"/>
        </w:rPr>
        <w:t>SkillGuard 规则审查与判定细则</w:t>
      </w:r>
    </w:p>
    <w:p>
      <w:pPr>
        <w:spacing w:after="160"/>
      </w:pPr>
      <w:r>
        <w:rPr>
          <w:rFonts w:ascii="Microsoft YaHei" w:hAnsi="Microsoft YaHei" w:eastAsia="Microsoft YaHei"/>
          <w:color w:val="595959"/>
          <w:sz w:val="18"/>
        </w:rPr>
        <w:t>面向 agent-json-workflow-security-scan ｜审查日期 2026-09-03 ｜共 54 条规则</w:t>
      </w:r>
    </w:p>
    <w:p>
      <w:pPr>
        <w:spacing w:before="200" w:after="80"/>
      </w:pPr>
      <w:r>
        <w:rPr>
          <w:rFonts w:ascii="Microsoft YaHei" w:hAnsi="Microsoft YaHei" w:eastAsia="Microsoft YaHei"/>
          <w:b/>
          <w:color w:val="1F4E79"/>
          <w:sz w:val="28"/>
        </w:rPr>
        <w:t>阅读说明</w:t>
      </w:r>
    </w:p>
    <w:p>
      <w:pPr>
        <w:pStyle w:val="ListBullet"/>
        <w:spacing w:after="40" w:line="240" w:lineRule="auto"/>
      </w:pPr>
      <w:r>
        <w:rPr>
          <w:rFonts w:ascii="Microsoft YaHei" w:hAnsi="Microsoft YaHei" w:eastAsia="Microsoft YaHei"/>
          <w:sz w:val="17"/>
        </w:rPr>
        <w:t>本表是静态扫描判定参考。CONFIRMED 表示 DSL 内有确定性错误或危险原语；PROBABLE 表示存在可达攻击链；COVERAGE_GAP 表示需要平台运行时事实，不应当计入已确认漏洞。</w:t>
      </w:r>
    </w:p>
    <w:p>
      <w:pPr>
        <w:pStyle w:val="ListBullet"/>
        <w:spacing w:after="40" w:line="240" w:lineRule="auto"/>
      </w:pPr>
      <w:r>
        <w:rPr>
          <w:rFonts w:ascii="Microsoft YaHei" w:hAnsi="Microsoft YaHei" w:eastAsia="Microsoft YaHei"/>
          <w:sz w:val="17"/>
        </w:rPr>
        <w:t>示例是最小化 DSL 片段，用于说明规则何时适用；它们不包含可执行攻击载荷。实际报告仍须结合节点路径、JSON Pointer 证据与动态测试计划审阅。</w:t>
      </w:r>
    </w:p>
    <w:p>
      <w:pPr>
        <w:pStyle w:val="ListBullet"/>
        <w:spacing w:after="40" w:line="240" w:lineRule="auto"/>
      </w:pPr>
      <w:r>
        <w:rPr>
          <w:rFonts w:ascii="Microsoft YaHei" w:hAnsi="Microsoft YaHei" w:eastAsia="Microsoft YaHei"/>
          <w:sz w:val="17"/>
        </w:rPr>
        <w:t>本轮逐条对照 core-rules.yml、json-dsl-bindings.yml、rule-applicability.yml 和 engine.py；优化后的回归集包含 32 项测试，覆盖正例、反例、覆盖缺口与图路径边界。</w:t>
      </w:r>
    </w:p>
    <w:p>
      <w:pPr>
        <w:spacing w:before="200" w:after="80"/>
      </w:pPr>
      <w:r>
        <w:rPr>
          <w:rFonts w:ascii="Microsoft YaHei" w:hAnsi="Microsoft YaHei" w:eastAsia="Microsoft YaHei"/>
          <w:b/>
          <w:color w:val="1F4E79"/>
          <w:sz w:val="28"/>
        </w:rPr>
        <w:t>本轮已落地的判定优化</w:t>
      </w:r>
    </w:p>
    <w:tbl>
      <w:tblPr>
        <w:tblW w:type="dxa" w:w="15624"/>
        <w:jc w:val="left"/>
        <w:tblLayout w:type="fixed"/>
        <w:tblLook w:firstColumn="1" w:firstRow="1" w:lastColumn="0" w:lastRow="0" w:noHBand="0" w:noVBand="1" w:val="04A0"/>
        <w:tblInd w:type="dxa" w:w="80"/>
      </w:tblPr>
      <w:tblGrid>
        <w:gridCol w:w="3155"/>
        <w:gridCol w:w="6235"/>
        <w:gridCol w:w="6234"/>
      </w:tblGrid>
      <w:tr>
        <w:trPr/>
        <w:tc>
          <w:tcPr>
            <w:tcW w:type="dxa" w:w="3155"/>
            <w:shd w:fill="1F4E79"/>
            <w:tcMar>
              <w:top w:w="70" w:type="dxa"/>
              <w:start w:w="80" w:type="dxa"/>
              <w:bottom w:w="70" w:type="dxa"/>
              <w:end w:w="80" w:type="dxa"/>
            </w:tcMar>
          </w:tcPr>
          <w:p>
            <w:pPr>
              <w:spacing w:after="0" w:line="240" w:lineRule="auto"/>
              <w:jc w:val="left"/>
            </w:pPr>
            <w:r>
              <w:rPr>
                <w:rFonts w:ascii="Microsoft YaHei" w:hAnsi="Microsoft YaHei" w:eastAsia="Microsoft YaHei"/>
                <w:b/>
                <w:color w:val="FFFFFF"/>
                <w:sz w:val="16"/>
              </w:rPr>
              <w:t>优化主题</w:t>
            </w:r>
          </w:p>
        </w:tc>
        <w:tc>
          <w:tcPr>
            <w:tcW w:type="dxa" w:w="6235"/>
            <w:shd w:fill="1F4E79"/>
            <w:tcMar>
              <w:top w:w="70" w:type="dxa"/>
              <w:start w:w="80" w:type="dxa"/>
              <w:bottom w:w="70" w:type="dxa"/>
              <w:end w:w="80" w:type="dxa"/>
            </w:tcMar>
          </w:tcPr>
          <w:p>
            <w:pPr>
              <w:spacing w:after="0" w:line="240" w:lineRule="auto"/>
              <w:jc w:val="left"/>
            </w:pPr>
            <w:r>
              <w:rPr>
                <w:rFonts w:ascii="Microsoft YaHei" w:hAnsi="Microsoft YaHei" w:eastAsia="Microsoft YaHei"/>
                <w:b/>
                <w:color w:val="FFFFFF"/>
                <w:sz w:val="16"/>
              </w:rPr>
              <w:t>原有边界</w:t>
            </w:r>
          </w:p>
        </w:tc>
        <w:tc>
          <w:tcPr>
            <w:tcW w:type="dxa" w:w="6234"/>
            <w:shd w:fill="1F4E79"/>
            <w:tcMar>
              <w:top w:w="70" w:type="dxa"/>
              <w:start w:w="80" w:type="dxa"/>
              <w:bottom w:w="70" w:type="dxa"/>
              <w:end w:w="80" w:type="dxa"/>
            </w:tcMar>
          </w:tcPr>
          <w:p>
            <w:pPr>
              <w:spacing w:after="0" w:line="240" w:lineRule="auto"/>
              <w:jc w:val="left"/>
            </w:pPr>
            <w:r>
              <w:rPr>
                <w:rFonts w:ascii="Microsoft YaHei" w:hAnsi="Microsoft YaHei" w:eastAsia="Microsoft YaHei"/>
                <w:b/>
                <w:color w:val="FFFFFF"/>
                <w:sz w:val="16"/>
              </w:rPr>
              <w:t>现在的可验证判定</w:t>
            </w:r>
          </w:p>
        </w:tc>
      </w:tr>
      <w:tr>
        <w:trPr>
          <w:cantSplit/>
        </w:trPr>
        <w:tc>
          <w:tcPr>
            <w:tcW w:type="dxa" w:w="3155"/>
            <w:shd w:fill="F5F9FC"/>
            <w:tcMar>
              <w:top w:w="70" w:type="dxa"/>
              <w:start w:w="80" w:type="dxa"/>
              <w:bottom w:w="70" w:type="dxa"/>
              <w:end w:w="80" w:type="dxa"/>
            </w:tcMar>
          </w:tcPr>
          <w:p>
            <w:pPr>
              <w:spacing w:after="0" w:line="240" w:lineRule="auto"/>
              <w:jc w:val="left"/>
            </w:pPr>
            <w:r>
              <w:rPr>
                <w:rFonts w:ascii="Microsoft YaHei" w:hAnsi="Microsoft YaHei" w:eastAsia="Microsoft YaHei"/>
                <w:b w:val="0"/>
                <w:sz w:val="15"/>
              </w:rPr>
              <w:t>动作授权门</w:t>
            </w:r>
          </w:p>
        </w:tc>
        <w:tc>
          <w:tcPr>
            <w:tcW w:type="dxa" w:w="6235"/>
            <w:shd w:fill="F5F9FC"/>
            <w:tcMar>
              <w:top w:w="70" w:type="dxa"/>
              <w:start w:w="80" w:type="dxa"/>
              <w:bottom w:w="70" w:type="dxa"/>
              <w:end w:w="80" w:type="dxa"/>
            </w:tcMar>
          </w:tcPr>
          <w:p>
            <w:pPr>
              <w:spacing w:after="0" w:line="240" w:lineRule="auto"/>
              <w:jc w:val="left"/>
            </w:pPr>
            <w:r>
              <w:rPr>
                <w:rFonts w:ascii="Microsoft YaHei" w:hAnsi="Microsoft YaHei" w:eastAsia="Microsoft YaHei"/>
                <w:b w:val="0"/>
                <w:sz w:val="15"/>
              </w:rPr>
              <w:t>仅凭审批/授权名称即可排除路径</w:t>
            </w:r>
          </w:p>
        </w:tc>
        <w:tc>
          <w:tcPr>
            <w:tcW w:type="dxa" w:w="6234"/>
            <w:shd w:fill="F5F9FC"/>
            <w:tcMar>
              <w:top w:w="70" w:type="dxa"/>
              <w:start w:w="80" w:type="dxa"/>
              <w:bottom w:w="70" w:type="dxa"/>
              <w:end w:w="80" w:type="dxa"/>
            </w:tcMar>
          </w:tcPr>
          <w:p>
            <w:pPr>
              <w:spacing w:after="0" w:line="240" w:lineRule="auto"/>
              <w:jc w:val="left"/>
            </w:pPr>
            <w:r>
              <w:rPr>
                <w:rFonts w:ascii="Microsoft YaHei" w:hAnsi="Microsoft YaHei" w:eastAsia="Microsoft YaHei"/>
                <w:b w:val="0"/>
                <w:sz w:val="15"/>
              </w:rPr>
              <w:t>必须有肯定条件分支，且通向动作的相关分支均为肯定分支。</w:t>
            </w:r>
          </w:p>
        </w:tc>
      </w:tr>
      <w:tr>
        <w:trPr>
          <w:cantSplit/>
        </w:trPr>
        <w:tc>
          <w:tcPr>
            <w:tcW w:type="dxa" w:w="3155"/>
            <w:shd w:fill="FFFFFF"/>
            <w:tcMar>
              <w:top w:w="70" w:type="dxa"/>
              <w:start w:w="80" w:type="dxa"/>
              <w:bottom w:w="70" w:type="dxa"/>
              <w:end w:w="80" w:type="dxa"/>
            </w:tcMar>
          </w:tcPr>
          <w:p>
            <w:pPr>
              <w:spacing w:after="0" w:line="240" w:lineRule="auto"/>
              <w:jc w:val="left"/>
            </w:pPr>
            <w:r>
              <w:rPr>
                <w:rFonts w:ascii="Microsoft YaHei" w:hAnsi="Microsoft YaHei" w:eastAsia="Microsoft YaHei"/>
                <w:b w:val="0"/>
                <w:sz w:val="15"/>
              </w:rPr>
              <w:t>结构化输出</w:t>
            </w:r>
          </w:p>
        </w:tc>
        <w:tc>
          <w:tcPr>
            <w:tcW w:type="dxa" w:w="6235"/>
            <w:shd w:fill="FFFFFF"/>
            <w:tcMar>
              <w:top w:w="70" w:type="dxa"/>
              <w:start w:w="80" w:type="dxa"/>
              <w:bottom w:w="70" w:type="dxa"/>
              <w:end w:w="80" w:type="dxa"/>
            </w:tcMar>
          </w:tcPr>
          <w:p>
            <w:pPr>
              <w:spacing w:after="0" w:line="240" w:lineRule="auto"/>
              <w:jc w:val="left"/>
            </w:pPr>
            <w:r>
              <w:rPr>
                <w:rFonts w:ascii="Microsoft YaHei" w:hAnsi="Microsoft YaHei" w:eastAsia="Microsoft YaHei"/>
                <w:b w:val="0"/>
                <w:sz w:val="15"/>
              </w:rPr>
              <w:t>json/object 声明即可压制自由文本控制规则</w:t>
            </w:r>
          </w:p>
        </w:tc>
        <w:tc>
          <w:tcPr>
            <w:tcW w:type="dxa" w:w="6234"/>
            <w:shd w:fill="FFFFFF"/>
            <w:tcMar>
              <w:top w:w="70" w:type="dxa"/>
              <w:start w:w="80" w:type="dxa"/>
              <w:bottom w:w="70" w:type="dxa"/>
              <w:end w:w="80" w:type="dxa"/>
            </w:tcMar>
          </w:tcPr>
          <w:p>
            <w:pPr>
              <w:spacing w:after="0" w:line="240" w:lineRule="auto"/>
              <w:jc w:val="left"/>
            </w:pPr>
            <w:r>
              <w:rPr>
                <w:rFonts w:ascii="Microsoft YaHei" w:hAnsi="Microsoft YaHei" w:eastAsia="Microsoft YaHei"/>
                <w:b w:val="0"/>
                <w:sz w:val="15"/>
              </w:rPr>
              <w:t>要求字段名、类型与嵌套对象 Schema；声明与严格契约分离。</w:t>
            </w:r>
          </w:p>
        </w:tc>
      </w:tr>
      <w:tr>
        <w:trPr>
          <w:cantSplit/>
        </w:trPr>
        <w:tc>
          <w:tcPr>
            <w:tcW w:type="dxa" w:w="3155"/>
            <w:shd w:fill="F5F9FC"/>
            <w:tcMar>
              <w:top w:w="70" w:type="dxa"/>
              <w:start w:w="80" w:type="dxa"/>
              <w:bottom w:w="70" w:type="dxa"/>
              <w:end w:w="80" w:type="dxa"/>
            </w:tcMar>
          </w:tcPr>
          <w:p>
            <w:pPr>
              <w:spacing w:after="0" w:line="240" w:lineRule="auto"/>
              <w:jc w:val="left"/>
            </w:pPr>
            <w:r>
              <w:rPr>
                <w:rFonts w:ascii="Microsoft YaHei" w:hAnsi="Microsoft YaHei" w:eastAsia="Microsoft YaHei"/>
                <w:b w:val="0"/>
                <w:sz w:val="15"/>
              </w:rPr>
              <w:t>条件句柄</w:t>
            </w:r>
          </w:p>
        </w:tc>
        <w:tc>
          <w:tcPr>
            <w:tcW w:type="dxa" w:w="6235"/>
            <w:shd w:fill="F5F9FC"/>
            <w:tcMar>
              <w:top w:w="70" w:type="dxa"/>
              <w:start w:w="80" w:type="dxa"/>
              <w:bottom w:w="70" w:type="dxa"/>
              <w:end w:w="80" w:type="dxa"/>
            </w:tcMar>
          </w:tcPr>
          <w:p>
            <w:pPr>
              <w:spacing w:after="0" w:line="240" w:lineRule="auto"/>
              <w:jc w:val="left"/>
            </w:pPr>
            <w:r>
              <w:rPr>
                <w:rFonts w:ascii="Microsoft YaHei" w:hAnsi="Microsoft YaHei" w:eastAsia="Microsoft YaHei"/>
                <w:b w:val="0"/>
                <w:sz w:val="15"/>
              </w:rPr>
              <w:t>固定数值 14 被默认为 ELSE</w:t>
            </w:r>
          </w:p>
        </w:tc>
        <w:tc>
          <w:tcPr>
            <w:tcW w:type="dxa" w:w="6234"/>
            <w:shd w:fill="F5F9FC"/>
            <w:tcMar>
              <w:top w:w="70" w:type="dxa"/>
              <w:start w:w="80" w:type="dxa"/>
              <w:bottom w:w="70" w:type="dxa"/>
              <w:end w:w="80" w:type="dxa"/>
            </w:tcMar>
          </w:tcPr>
          <w:p>
            <w:pPr>
              <w:spacing w:after="0" w:line="240" w:lineRule="auto"/>
              <w:jc w:val="left"/>
            </w:pPr>
            <w:r>
              <w:rPr>
                <w:rFonts w:ascii="Microsoft YaHei" w:hAnsi="Microsoft YaHei" w:eastAsia="Microsoft YaHei"/>
                <w:b w:val="0"/>
                <w:sz w:val="15"/>
              </w:rPr>
              <w:t>仅接受导出 handleId、可验证序号映射或显式 ELSE。</w:t>
            </w:r>
          </w:p>
        </w:tc>
      </w:tr>
      <w:tr>
        <w:trPr>
          <w:cantSplit/>
        </w:trPr>
        <w:tc>
          <w:tcPr>
            <w:tcW w:type="dxa" w:w="3155"/>
            <w:shd w:fill="FFFFFF"/>
            <w:tcMar>
              <w:top w:w="70" w:type="dxa"/>
              <w:start w:w="80" w:type="dxa"/>
              <w:bottom w:w="70" w:type="dxa"/>
              <w:end w:w="80" w:type="dxa"/>
            </w:tcMar>
          </w:tcPr>
          <w:p>
            <w:pPr>
              <w:spacing w:after="0" w:line="240" w:lineRule="auto"/>
              <w:jc w:val="left"/>
            </w:pPr>
            <w:r>
              <w:rPr>
                <w:rFonts w:ascii="Microsoft YaHei" w:hAnsi="Microsoft YaHei" w:eastAsia="Microsoft YaHei"/>
                <w:b w:val="0"/>
                <w:sz w:val="15"/>
              </w:rPr>
              <w:t>输入与文件</w:t>
            </w:r>
          </w:p>
        </w:tc>
        <w:tc>
          <w:tcPr>
            <w:tcW w:type="dxa" w:w="6235"/>
            <w:shd w:fill="FFFFFF"/>
            <w:tcMar>
              <w:top w:w="70" w:type="dxa"/>
              <w:start w:w="80" w:type="dxa"/>
              <w:bottom w:w="70" w:type="dxa"/>
              <w:end w:w="80" w:type="dxa"/>
            </w:tcMar>
          </w:tcPr>
          <w:p>
            <w:pPr>
              <w:spacing w:after="0" w:line="240" w:lineRule="auto"/>
              <w:jc w:val="left"/>
            </w:pPr>
            <w:r>
              <w:rPr>
                <w:rFonts w:ascii="Microsoft YaHei" w:hAnsi="Microsoft YaHei" w:eastAsia="Microsoft YaHei"/>
                <w:b w:val="0"/>
                <w:sz w:val="15"/>
              </w:rPr>
              <w:t>min 视为上限；File 类型名视为 MIME 限制</w:t>
            </w:r>
          </w:p>
        </w:tc>
        <w:tc>
          <w:tcPr>
            <w:tcW w:type="dxa" w:w="6234"/>
            <w:shd w:fill="FFFFFF"/>
            <w:tcMar>
              <w:top w:w="70" w:type="dxa"/>
              <w:start w:w="80" w:type="dxa"/>
              <w:bottom w:w="70" w:type="dxa"/>
              <w:end w:w="80" w:type="dxa"/>
            </w:tcMar>
          </w:tcPr>
          <w:p>
            <w:pPr>
              <w:spacing w:after="0" w:line="240" w:lineRule="auto"/>
              <w:jc w:val="left"/>
            </w:pPr>
            <w:r>
              <w:rPr>
                <w:rFonts w:ascii="Microsoft YaHei" w:hAnsi="Microsoft YaHei" w:eastAsia="Microsoft YaHei"/>
                <w:b w:val="0"/>
                <w:sz w:val="15"/>
              </w:rPr>
              <w:t>要求正数上限/非空枚举，以及真实文件类型允许列表和大小上限。</w:t>
            </w:r>
          </w:p>
        </w:tc>
      </w:tr>
      <w:tr>
        <w:trPr>
          <w:cantSplit/>
        </w:trPr>
        <w:tc>
          <w:tcPr>
            <w:tcW w:type="dxa" w:w="3155"/>
            <w:shd w:fill="F5F9FC"/>
            <w:tcMar>
              <w:top w:w="70" w:type="dxa"/>
              <w:start w:w="80" w:type="dxa"/>
              <w:bottom w:w="70" w:type="dxa"/>
              <w:end w:w="80" w:type="dxa"/>
            </w:tcMar>
          </w:tcPr>
          <w:p>
            <w:pPr>
              <w:spacing w:after="0" w:line="240" w:lineRule="auto"/>
              <w:jc w:val="left"/>
            </w:pPr>
            <w:r>
              <w:rPr>
                <w:rFonts w:ascii="Microsoft YaHei" w:hAnsi="Microsoft YaHei" w:eastAsia="Microsoft YaHei"/>
                <w:b w:val="0"/>
                <w:sz w:val="15"/>
              </w:rPr>
              <w:t>富文本输出</w:t>
            </w:r>
          </w:p>
        </w:tc>
        <w:tc>
          <w:tcPr>
            <w:tcW w:type="dxa" w:w="6235"/>
            <w:shd w:fill="F5F9FC"/>
            <w:tcMar>
              <w:top w:w="70" w:type="dxa"/>
              <w:start w:w="80" w:type="dxa"/>
              <w:bottom w:w="70" w:type="dxa"/>
              <w:end w:w="80" w:type="dxa"/>
            </w:tcMar>
          </w:tcPr>
          <w:p>
            <w:pPr>
              <w:spacing w:after="0" w:line="240" w:lineRule="auto"/>
              <w:jc w:val="left"/>
            </w:pPr>
            <w:r>
              <w:rPr>
                <w:rFonts w:ascii="Microsoft YaHei" w:hAnsi="Microsoft YaHei" w:eastAsia="Microsoft YaHei"/>
                <w:b w:val="0"/>
                <w:sz w:val="15"/>
              </w:rPr>
              <w:t>流式文本一律视为富文本</w:t>
            </w:r>
          </w:p>
        </w:tc>
        <w:tc>
          <w:tcPr>
            <w:tcW w:type="dxa" w:w="6234"/>
            <w:shd w:fill="F5F9FC"/>
            <w:tcMar>
              <w:top w:w="70" w:type="dxa"/>
              <w:start w:w="80" w:type="dxa"/>
              <w:bottom w:w="70" w:type="dxa"/>
              <w:end w:w="80" w:type="dxa"/>
            </w:tcMar>
          </w:tcPr>
          <w:p>
            <w:pPr>
              <w:spacing w:after="0" w:line="240" w:lineRule="auto"/>
              <w:jc w:val="left"/>
            </w:pPr>
            <w:r>
              <w:rPr>
                <w:rFonts w:ascii="Microsoft YaHei" w:hAnsi="Microsoft YaHei" w:eastAsia="Microsoft YaHei"/>
                <w:b w:val="0"/>
                <w:sz w:val="15"/>
              </w:rPr>
              <w:t>只在 HTML、Markdown、链接或 HTML 渲染明确开启时检查净化。</w:t>
            </w:r>
          </w:p>
        </w:tc>
      </w:tr>
      <w:tr>
        <w:trPr>
          <w:cantSplit/>
        </w:trPr>
        <w:tc>
          <w:tcPr>
            <w:tcW w:type="dxa" w:w="3155"/>
            <w:shd w:fill="FFFFFF"/>
            <w:tcMar>
              <w:top w:w="70" w:type="dxa"/>
              <w:start w:w="80" w:type="dxa"/>
              <w:bottom w:w="70" w:type="dxa"/>
              <w:end w:w="80" w:type="dxa"/>
            </w:tcMar>
          </w:tcPr>
          <w:p>
            <w:pPr>
              <w:spacing w:after="0" w:line="240" w:lineRule="auto"/>
              <w:jc w:val="left"/>
            </w:pPr>
            <w:r>
              <w:rPr>
                <w:rFonts w:ascii="Microsoft YaHei" w:hAnsi="Microsoft YaHei" w:eastAsia="Microsoft YaHei"/>
                <w:b w:val="0"/>
                <w:sz w:val="15"/>
              </w:rPr>
              <w:t>知识库运行时事实</w:t>
            </w:r>
          </w:p>
        </w:tc>
        <w:tc>
          <w:tcPr>
            <w:tcW w:type="dxa" w:w="6235"/>
            <w:shd w:fill="FFFFFF"/>
            <w:tcMar>
              <w:top w:w="70" w:type="dxa"/>
              <w:start w:w="80" w:type="dxa"/>
              <w:bottom w:w="70" w:type="dxa"/>
              <w:end w:w="80" w:type="dxa"/>
            </w:tcMar>
          </w:tcPr>
          <w:p>
            <w:pPr>
              <w:spacing w:after="0" w:line="240" w:lineRule="auto"/>
              <w:jc w:val="left"/>
            </w:pPr>
            <w:r>
              <w:rPr>
                <w:rFonts w:ascii="Microsoft YaHei" w:hAnsi="Microsoft YaHei" w:eastAsia="Microsoft YaHei"/>
                <w:b w:val="0"/>
                <w:sz w:val="15"/>
              </w:rPr>
              <w:t>未见 ACL/检索配置时产生可能风险</w:t>
            </w:r>
          </w:p>
        </w:tc>
        <w:tc>
          <w:tcPr>
            <w:tcW w:type="dxa" w:w="6234"/>
            <w:shd w:fill="FFFFFF"/>
            <w:tcMar>
              <w:top w:w="70" w:type="dxa"/>
              <w:start w:w="80" w:type="dxa"/>
              <w:bottom w:w="70" w:type="dxa"/>
              <w:end w:w="80" w:type="dxa"/>
            </w:tcMar>
          </w:tcPr>
          <w:p>
            <w:pPr>
              <w:spacing w:after="0" w:line="240" w:lineRule="auto"/>
              <w:jc w:val="left"/>
            </w:pPr>
            <w:r>
              <w:rPr>
                <w:rFonts w:ascii="Microsoft YaHei" w:hAnsi="Microsoft YaHei" w:eastAsia="Microsoft YaHei"/>
                <w:b w:val="0"/>
                <w:sz w:val="15"/>
              </w:rPr>
              <w:t>ACL 与运行时检索策略按 COVERAGE_GAP；无效数值仍确定性确认。</w:t>
            </w:r>
          </w:p>
        </w:tc>
      </w:tr>
    </w:tbl>
    <w:p>
      <w:r>
        <w:br w:type="page"/>
      </w:r>
    </w:p>
    <w:p>
      <w:pPr>
        <w:spacing w:before="200" w:after="80"/>
      </w:pPr>
      <w:r>
        <w:rPr>
          <w:rFonts w:ascii="Microsoft YaHei" w:hAnsi="Microsoft YaHei" w:eastAsia="Microsoft YaHei"/>
          <w:b/>
          <w:color w:val="1F4E79"/>
          <w:sz w:val="28"/>
        </w:rPr>
        <w:t>FLOW｜工作流图与跨节点攻击链</w:t>
      </w:r>
    </w:p>
    <w:p>
      <w:pPr>
        <w:pStyle w:val="CompactNote"/>
        <w:spacing w:after="80"/>
      </w:pPr>
      <w:r>
        <w:rPr>
          <w:rFonts w:ascii="Microsoft YaHei" w:hAnsi="Microsoft YaHei" w:eastAsia="Microsoft YaHei"/>
          <w:sz w:val="17"/>
        </w:rPr>
        <w:t>17 条规则。每一行给出适用前提、报告证据状态与一个最小判定例。</w:t>
      </w:r>
    </w:p>
    <w:tbl>
      <w:tblPr>
        <w:tblStyle w:val="TableGrid"/>
        <w:tblW w:type="dxa" w:w="15624"/>
        <w:jc w:val="left"/>
        <w:tblLayout w:type="fixed"/>
        <w:tblLook w:firstColumn="1" w:firstRow="1" w:lastColumn="0" w:lastRow="0" w:noHBand="0" w:noVBand="1" w:val="04A0"/>
        <w:tblInd w:type="dxa" w:w="80"/>
      </w:tblPr>
      <w:tblGrid>
        <w:gridCol w:w="1172"/>
        <w:gridCol w:w="2434"/>
        <w:gridCol w:w="6355"/>
        <w:gridCol w:w="5663"/>
      </w:tblGrid>
      <w:tr>
        <w:trPr>
          <w:tblHeader w:val="true"/>
        </w:trPr>
        <w:tc>
          <w:tcPr>
            <w:tcW w:type="dxa" w:w="1172"/>
            <w:shd w:fill="1F4E79"/>
            <w:tcMar>
              <w:top w:w="70" w:type="dxa"/>
              <w:start w:w="80" w:type="dxa"/>
              <w:bottom w:w="70" w:type="dxa"/>
              <w:end w:w="80" w:type="dxa"/>
            </w:tcMar>
            <w:vAlign w:val="center"/>
          </w:tcPr>
          <w:p>
            <w:pPr>
              <w:spacing w:after="0" w:line="240" w:lineRule="auto"/>
              <w:jc w:val="left"/>
            </w:pPr>
            <w:r>
              <w:rPr>
                <w:rFonts w:ascii="Microsoft YaHei" w:hAnsi="Microsoft YaHei" w:eastAsia="Microsoft YaHei"/>
                <w:b/>
                <w:color w:val="FFFFFF"/>
                <w:sz w:val="16"/>
              </w:rPr>
              <w:t>ID</w:t>
            </w:r>
          </w:p>
        </w:tc>
        <w:tc>
          <w:tcPr>
            <w:tcW w:type="dxa" w:w="2434"/>
            <w:shd w:fill="1F4E79"/>
            <w:tcMar>
              <w:top w:w="70" w:type="dxa"/>
              <w:start w:w="80" w:type="dxa"/>
              <w:bottom w:w="70" w:type="dxa"/>
              <w:end w:w="80" w:type="dxa"/>
            </w:tcMar>
            <w:vAlign w:val="center"/>
          </w:tcPr>
          <w:p>
            <w:pPr>
              <w:spacing w:after="0" w:line="240" w:lineRule="auto"/>
              <w:jc w:val="left"/>
            </w:pPr>
            <w:r>
              <w:rPr>
                <w:rFonts w:ascii="Microsoft YaHei" w:hAnsi="Microsoft YaHei" w:eastAsia="Microsoft YaHei"/>
                <w:b/>
                <w:color w:val="FFFFFF"/>
                <w:sz w:val="16"/>
              </w:rPr>
              <w:t>规则 / 等级</w:t>
            </w:r>
          </w:p>
        </w:tc>
        <w:tc>
          <w:tcPr>
            <w:tcW w:type="dxa" w:w="6355"/>
            <w:shd w:fill="1F4E79"/>
            <w:tcMar>
              <w:top w:w="70" w:type="dxa"/>
              <w:start w:w="80" w:type="dxa"/>
              <w:bottom w:w="70" w:type="dxa"/>
              <w:end w:w="80" w:type="dxa"/>
            </w:tcMar>
            <w:vAlign w:val="center"/>
          </w:tcPr>
          <w:p>
            <w:pPr>
              <w:spacing w:after="0" w:line="240" w:lineRule="auto"/>
              <w:jc w:val="left"/>
            </w:pPr>
            <w:r>
              <w:rPr>
                <w:rFonts w:ascii="Microsoft YaHei" w:hAnsi="Microsoft YaHei" w:eastAsia="Microsoft YaHei"/>
                <w:b/>
                <w:color w:val="FFFFFF"/>
                <w:sz w:val="16"/>
              </w:rPr>
              <w:t>静态判定逻辑</w:t>
            </w:r>
          </w:p>
        </w:tc>
        <w:tc>
          <w:tcPr>
            <w:tcW w:type="dxa" w:w="5663"/>
            <w:shd w:fill="1F4E79"/>
            <w:tcMar>
              <w:top w:w="70" w:type="dxa"/>
              <w:start w:w="80" w:type="dxa"/>
              <w:bottom w:w="70" w:type="dxa"/>
              <w:end w:w="80" w:type="dxa"/>
            </w:tcMar>
            <w:vAlign w:val="center"/>
          </w:tcPr>
          <w:p>
            <w:pPr>
              <w:spacing w:after="0" w:line="240" w:lineRule="auto"/>
              <w:jc w:val="left"/>
            </w:pPr>
            <w:r>
              <w:rPr>
                <w:rFonts w:ascii="Microsoft YaHei" w:hAnsi="Microsoft YaHei" w:eastAsia="Microsoft YaHei"/>
                <w:b/>
                <w:color w:val="FFFFFF"/>
                <w:sz w:val="16"/>
              </w:rPr>
              <w:t>最小示例与审查结论</w:t>
            </w:r>
          </w:p>
        </w:tc>
      </w:tr>
      <w:tr>
        <w:trPr>
          <w:cantSplit/>
        </w:trPr>
        <w:tc>
          <w:tcPr>
            <w:tcW w:type="dxa" w:w="1172"/>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FLOW-001</w:t>
            </w:r>
          </w:p>
        </w:tc>
        <w:tc>
          <w:tcPr>
            <w:tcW w:type="dxa" w:w="2434"/>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图结构不完整或节点标识冲突</w:t>
              <w:br/>
              <w:t>HIGH｜S</w:t>
            </w:r>
          </w:p>
        </w:tc>
        <w:tc>
          <w:tcPr>
            <w:tcW w:type="dxa" w:w="6355"/>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检查 nodes/edges 是否为数组、节点 ID 是否唯一、边两端是否存在。结构错误直接确认。</w:t>
            </w:r>
          </w:p>
        </w:tc>
        <w:tc>
          <w:tcPr>
            <w:tcW w:type="dxa" w:w="5663"/>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nodes: [{id:'a'}, {id:'a'}] 或 edge: a → missing。→ CONFIRMED。</w:t>
              <w:br/>
              <w:t>审查：保持：这是确定性 DSL 完整性错误。</w:t>
            </w:r>
          </w:p>
        </w:tc>
      </w:tr>
      <w:tr>
        <w:trPr>
          <w:cantSplit/>
        </w:trPr>
        <w:tc>
          <w:tcPr>
            <w:tcW w:type="dxa" w:w="1172"/>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FLOW-002</w:t>
            </w:r>
          </w:p>
        </w:tc>
        <w:tc>
          <w:tcPr>
            <w:tcW w:type="dxa" w:w="2434"/>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未知节点形成扫描覆盖缺口</w:t>
              <w:br/>
              <w:t>MEDIUM｜S</w:t>
            </w:r>
          </w:p>
        </w:tc>
        <w:tc>
          <w:tcPr>
            <w:tcW w:type="dxa" w:w="6355"/>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节点类型未映射，或已知节点含未纳入字段契约的字段时，停止猜测其运行语义。</w:t>
            </w:r>
          </w:p>
        </w:tc>
        <w:tc>
          <w:tcPr>
            <w:tcW w:type="dxa" w:w="5663"/>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data.type: 'NEW_FUTURE_NODE'。→ COVERAGE_GAP，需补平台契约。</w:t>
              <w:br/>
              <w:t>审查：保持：未知字段不靠关键词升级为漏洞。</w:t>
            </w:r>
          </w:p>
        </w:tc>
      </w:tr>
      <w:tr>
        <w:trPr>
          <w:cantSplit/>
        </w:trPr>
        <w:tc>
          <w:tcPr>
            <w:tcW w:type="dxa" w:w="1172"/>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FLOW-003</w:t>
            </w:r>
          </w:p>
        </w:tc>
        <w:tc>
          <w:tcPr>
            <w:tcW w:type="dxa" w:w="2434"/>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变量引用缺失或无法唯一解析</w:t>
              <w:br/>
              <w:t>MEDIUM｜S</w:t>
            </w:r>
          </w:p>
        </w:tc>
        <w:tc>
          <w:tcPr>
            <w:tcW w:type="dxa" w:w="6355"/>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引用必须有唯一生产者；必填引用未绑定可确认，歧义/未解析引用作为覆盖缺口。</w:t>
            </w:r>
          </w:p>
        </w:tc>
        <w:tc>
          <w:tcPr>
            <w:tcW w:type="dxa" w:w="5663"/>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MODEL.prompt: '${orderId}'，且无任何 outputName=orderId。→ COVERAGE_GAP。</w:t>
              <w:br/>
              <w:t>审查：保持：区分配置错误与导出信息不足。</w:t>
            </w:r>
          </w:p>
        </w:tc>
      </w:tr>
      <w:tr>
        <w:trPr>
          <w:cantSplit/>
        </w:trPr>
        <w:tc>
          <w:tcPr>
            <w:tcW w:type="dxa" w:w="1172"/>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FLOW-004</w:t>
            </w:r>
          </w:p>
        </w:tc>
        <w:tc>
          <w:tcPr>
            <w:tcW w:type="dxa" w:w="2434"/>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不可信数据直达高影响能力</w:t>
              <w:br/>
              <w:t>HIGH｜S</w:t>
            </w:r>
          </w:p>
        </w:tc>
        <w:tc>
          <w:tcPr>
            <w:tcW w:type="dxa" w:w="6355"/>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从 HEAD 到副作用/高影响能力必须存在控制路径；只有结构正确且肯定分支专属通向动作的 JUDGE 才可作为动作门。</w:t>
            </w:r>
          </w:p>
        </w:tc>
        <w:tc>
          <w:tcPr>
            <w:tcW w:type="dxa" w:w="5663"/>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HEAD → JUDGE(标题“审批”，条件 route='go') → POST 付款。→ FLOW-004；名称不是授权证明。</w:t>
              <w:br/>
              <w:t>审查：已优化：名称匹配不再抑制风险，需肯定分支证据。</w:t>
            </w:r>
          </w:p>
        </w:tc>
      </w:tr>
      <w:tr>
        <w:trPr>
          <w:cantSplit/>
        </w:trPr>
        <w:tc>
          <w:tcPr>
            <w:tcW w:type="dxa" w:w="1172"/>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FLOW-005</w:t>
            </w:r>
          </w:p>
        </w:tc>
        <w:tc>
          <w:tcPr>
            <w:tcW w:type="dxa" w:w="2434"/>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知识或外部内容形成间接注入链</w:t>
              <w:br/>
              <w:t>HIGH｜H</w:t>
            </w:r>
          </w:p>
        </w:tc>
        <w:tc>
          <w:tcPr>
            <w:tcW w:type="dxa" w:w="6355"/>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知识库或外部工具内容经数据路径进入 MODEL/AGENT，再到副作用工具时形成间接注入链。</w:t>
            </w:r>
          </w:p>
        </w:tc>
        <w:tc>
          <w:tcPr>
            <w:tcW w:type="dxa" w:w="5663"/>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KB.docs → MODEL.prompt → MCP.POST。→ PROBABLE。</w:t>
              <w:br/>
              <w:t>审查：保持：需要连续数据路径，普通只读 RAG 不升级。</w:t>
            </w:r>
          </w:p>
        </w:tc>
      </w:tr>
      <w:tr>
        <w:trPr>
          <w:cantSplit/>
        </w:trPr>
        <w:tc>
          <w:tcPr>
            <w:tcW w:type="dxa" w:w="1172"/>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FLOW-006</w:t>
            </w:r>
          </w:p>
        </w:tc>
        <w:tc>
          <w:tcPr>
            <w:tcW w:type="dxa" w:w="2434"/>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条件分支可绕过动作控制</w:t>
              <w:br/>
              <w:t>HIGH｜S</w:t>
            </w:r>
          </w:p>
        </w:tc>
        <w:tc>
          <w:tcPr>
            <w:tcW w:type="dxa" w:w="6355"/>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同一入口同时有经过动作门和绕过动作门到达副作用能力的控制路径。</w:t>
            </w:r>
          </w:p>
        </w:tc>
        <w:tc>
          <w:tcPr>
            <w:tcW w:type="dxa" w:w="5663"/>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HEAD → JUDGE(approved=true) → POST，且 HEAD → POST。→ CONFIRMED/PROBABLE。</w:t>
              <w:br/>
              <w:t>审查：已优化：动作门采用与 FLOW-004 相同的严格证明。</w:t>
            </w:r>
          </w:p>
        </w:tc>
      </w:tr>
      <w:tr>
        <w:trPr>
          <w:cantSplit/>
        </w:trPr>
        <w:tc>
          <w:tcPr>
            <w:tcW w:type="dxa" w:w="1172"/>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FLOW-007</w:t>
            </w:r>
          </w:p>
        </w:tc>
        <w:tc>
          <w:tcPr>
            <w:tcW w:type="dxa" w:w="2434"/>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循环终止与资源边界不可验证</w:t>
              <w:br/>
              <w:t>MEDIUM｜S</w:t>
            </w:r>
          </w:p>
        </w:tc>
        <w:tc>
          <w:tcPr>
            <w:tcW w:type="dxa" w:w="6355"/>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LOOP 没有最大次数、总时限或停止条件；包含模型/副作用时是运行时覆盖缺口，普通循环仅加固建议。</w:t>
            </w:r>
          </w:p>
        </w:tc>
        <w:tc>
          <w:tcPr>
            <w:tcW w:type="dxa" w:w="5663"/>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LOOP 内含 MODEL，未给 loopCount/maxIterations/timeout。→ COVERAGE_GAP。</w:t>
              <w:br/>
              <w:t>审查：保持：按资源后果分级。</w:t>
            </w:r>
          </w:p>
        </w:tc>
      </w:tr>
      <w:tr>
        <w:trPr>
          <w:cantSplit/>
        </w:trPr>
        <w:tc>
          <w:tcPr>
            <w:tcW w:type="dxa" w:w="1172"/>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FLOW-008</w:t>
            </w:r>
          </w:p>
        </w:tc>
        <w:tc>
          <w:tcPr>
            <w:tcW w:type="dxa" w:w="2434"/>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敏感数据可达外部边界</w:t>
              <w:br/>
              <w:t>HIGH｜H</w:t>
            </w:r>
          </w:p>
        </w:tc>
        <w:tc>
          <w:tcPr>
            <w:tcW w:type="dxa" w:w="6355"/>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从具有敏感语义的字段到 external 工具的纯数据路径；敏感性来自字段/嵌套字段/输出名而非任意配置文字。</w:t>
            </w:r>
          </w:p>
        </w:tc>
        <w:tc>
          <w:tcPr>
            <w:tcW w:type="dxa" w:w="5663"/>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HEAD.paramList: email → API_PLUGIN.body。→ PROBABLE。</w:t>
              <w:br/>
              <w:t>审查：已优化：递归识别嵌套字段与 outputName，减少漏报。</w:t>
            </w:r>
          </w:p>
        </w:tc>
      </w:tr>
      <w:tr>
        <w:trPr>
          <w:cantSplit/>
        </w:trPr>
        <w:tc>
          <w:tcPr>
            <w:tcW w:type="dxa" w:w="1172"/>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FLOW-009</w:t>
            </w:r>
          </w:p>
        </w:tc>
        <w:tc>
          <w:tcPr>
            <w:tcW w:type="dxa" w:w="2434"/>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模型自由文本可控制执行能力</w:t>
              <w:br/>
              <w:t>HIGH｜S</w:t>
            </w:r>
          </w:p>
        </w:tc>
        <w:tc>
          <w:tcPr>
            <w:tcW w:type="dxa" w:w="6355"/>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MODEL/AGENT 的非严格结构化输出经数据路径被工具消费；副作用工具为确认，仅读工具为观察。</w:t>
            </w:r>
          </w:p>
        </w:tc>
        <w:tc>
          <w:tcPr>
            <w:tcW w:type="dxa" w:w="5663"/>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MODEL.outputFormat='json' 但无 output 字段 → TOOL.body.command。→ CONFIRMED。</w:t>
              <w:br/>
              <w:t>审查：已优化：仅声明 JSON 不再被当成严格 Schema。</w:t>
            </w:r>
          </w:p>
        </w:tc>
      </w:tr>
      <w:tr>
        <w:trPr>
          <w:cantSplit/>
        </w:trPr>
        <w:tc>
          <w:tcPr>
            <w:tcW w:type="dxa" w:w="1172"/>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FLOW-010</w:t>
            </w:r>
          </w:p>
        </w:tc>
        <w:tc>
          <w:tcPr>
            <w:tcW w:type="dxa" w:w="2434"/>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多个副作用能力缺少故障隔离</w:t>
              <w:br/>
              <w:t>HIGH｜H</w:t>
            </w:r>
          </w:p>
        </w:tc>
        <w:tc>
          <w:tcPr>
            <w:tcW w:type="dxa" w:w="6355"/>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两个不同副作用节点可串联，且整条路径未见幂等、补偿、熔断或失败关闭。</w:t>
            </w:r>
          </w:p>
        </w:tc>
        <w:tc>
          <w:tcPr>
            <w:tcW w:type="dxa" w:w="5663"/>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POST 创建 → POST 扣款，路径无 idempotency/compensation。→ PROBABLE。</w:t>
              <w:br/>
              <w:t>审查：保持：需要实际可达的串联路径。</w:t>
            </w:r>
          </w:p>
        </w:tc>
      </w:tr>
      <w:tr>
        <w:trPr>
          <w:cantSplit/>
        </w:trPr>
        <w:tc>
          <w:tcPr>
            <w:tcW w:type="dxa" w:w="1172"/>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FLOW-011</w:t>
            </w:r>
          </w:p>
        </w:tc>
        <w:tc>
          <w:tcPr>
            <w:tcW w:type="dxa" w:w="2434"/>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子工作流信任边界不完整</w:t>
              <w:br/>
              <w:t>MEDIUM｜H</w:t>
            </w:r>
          </w:p>
        </w:tc>
        <w:tc>
          <w:tcPr>
            <w:tcW w:type="dxa" w:w="6355"/>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WORKFLOW 子工作流调用或 Agent 子工作流工具缺少被调输入输出、委派身份、失败语义。</w:t>
            </w:r>
          </w:p>
        </w:tc>
        <w:tc>
          <w:tcPr>
            <w:tcW w:type="dxa" w:w="5663"/>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WORKFLOW.workflowKey='billing-flow'，未导出被调契约。→ COVERAGE_GAP。</w:t>
              <w:br/>
              <w:t>审查：已优化：区分直接子工作流与 Agent 调用的报告措辞。</w:t>
            </w:r>
          </w:p>
        </w:tc>
      </w:tr>
      <w:tr>
        <w:trPr>
          <w:cantSplit/>
        </w:trPr>
        <w:tc>
          <w:tcPr>
            <w:tcW w:type="dxa" w:w="1172"/>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FLOW-012</w:t>
            </w:r>
          </w:p>
        </w:tc>
        <w:tc>
          <w:tcPr>
            <w:tcW w:type="dxa" w:w="2434"/>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自主 Agent 缺少目标与停止边界</w:t>
              <w:br/>
              <w:t>HIGH｜H</w:t>
            </w:r>
          </w:p>
        </w:tc>
        <w:tc>
          <w:tcPr>
            <w:tcW w:type="dxa" w:w="6355"/>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入口可达的 Agent 注册副作用工具，但未导出目标锁定、允许目标或停止边界。</w:t>
            </w:r>
          </w:p>
        </w:tc>
        <w:tc>
          <w:tcPr>
            <w:tcW w:type="dxa" w:w="5663"/>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HEAD → AGENT(tools: POST)，无 goal_lock/kill_switch/max_steps。→ PROBABLE。</w:t>
              <w:br/>
              <w:t>审查：保持：只在 Agent 具有副作用能力时适用。</w:t>
            </w:r>
          </w:p>
        </w:tc>
      </w:tr>
      <w:tr>
        <w:trPr>
          <w:cantSplit/>
        </w:trPr>
        <w:tc>
          <w:tcPr>
            <w:tcW w:type="dxa" w:w="1172"/>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FLOW-013</w:t>
            </w:r>
          </w:p>
        </w:tc>
        <w:tc>
          <w:tcPr>
            <w:tcW w:type="dxa" w:w="2434"/>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节点不在可执行入口到输出路径上</w:t>
              <w:br/>
              <w:t>LOW｜S</w:t>
            </w:r>
          </w:p>
        </w:tc>
        <w:tc>
          <w:tcPr>
            <w:tcW w:type="dxa" w:w="6355"/>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非结构节点不从入口可达，或无法到达输出；不把其跨节点链视为可执行。</w:t>
            </w:r>
          </w:p>
        </w:tc>
        <w:tc>
          <w:tcPr>
            <w:tcW w:type="dxa" w:w="5663"/>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孤立 MODEL，无 HEAD→MODEL 或 MODEL→OUTPUT 边。→ OBSERVED/LOW。</w:t>
              <w:br/>
              <w:t>审查：保持：是图卫生信息，不冒充可利用漏洞。</w:t>
            </w:r>
          </w:p>
        </w:tc>
      </w:tr>
      <w:tr>
        <w:trPr>
          <w:cantSplit/>
        </w:trPr>
        <w:tc>
          <w:tcPr>
            <w:tcW w:type="dxa" w:w="1172"/>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FLOW-014</w:t>
            </w:r>
          </w:p>
        </w:tc>
        <w:tc>
          <w:tcPr>
            <w:tcW w:type="dxa" w:w="2434"/>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条件分支与边句柄契约不一致</w:t>
              <w:br/>
              <w:t>MEDIUM｜S</w:t>
            </w:r>
          </w:p>
        </w:tc>
        <w:tc>
          <w:tcPr>
            <w:tcW w:type="dxa" w:w="6355"/>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JUDGE 的 handleId 必须唯一且有对应边；sourceIndex/sourceHandle 必须能映射到导出句柄或显式 ELSE。</w:t>
            </w:r>
          </w:p>
        </w:tc>
        <w:tc>
          <w:tcPr>
            <w:tcW w:type="dxa" w:w="5663"/>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conditionList handleId=[0]，边 sourceHandle='judge-14'。→ CONFIRMED。</w:t>
              <w:br/>
              <w:t>审查：已优化：移除固定 14 作为魔法 ELSE。</w:t>
            </w:r>
          </w:p>
        </w:tc>
      </w:tr>
      <w:tr>
        <w:trPr>
          <w:cantSplit/>
        </w:trPr>
        <w:tc>
          <w:tcPr>
            <w:tcW w:type="dxa" w:w="1172"/>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FLOW-015</w:t>
            </w:r>
          </w:p>
        </w:tc>
        <w:tc>
          <w:tcPr>
            <w:tcW w:type="dxa" w:w="2434"/>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历史上下文隔离与保留策略不可验证</w:t>
              <w:br/>
              <w:t>MEDIUM｜M</w:t>
            </w:r>
          </w:p>
        </w:tc>
        <w:tc>
          <w:tcPr>
            <w:tcW w:type="dxa" w:w="6355"/>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全局 enableHistory 或节点 context=session/history/memory 启用时，检查隔离、TTL、脱敏、容量字段。</w:t>
            </w:r>
          </w:p>
        </w:tc>
        <w:tc>
          <w:tcPr>
            <w:tcW w:type="dxa" w:w="5663"/>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MODEL.context='session'，无 sessionIsolation/ttl/redaction。→ COVERAGE_GAP。</w:t>
              <w:br/>
              <w:t>审查：已优化：覆盖节点级会话上下文，不只看全局开关。</w:t>
            </w:r>
          </w:p>
        </w:tc>
      </w:tr>
      <w:tr>
        <w:trPr>
          <w:cantSplit/>
        </w:trPr>
        <w:tc>
          <w:tcPr>
            <w:tcW w:type="dxa" w:w="1172"/>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FLOW-016</w:t>
            </w:r>
          </w:p>
        </w:tc>
        <w:tc>
          <w:tcPr>
            <w:tcW w:type="dxa" w:w="2434"/>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循环子图入口输出或边界契约不完整</w:t>
              <w:br/>
              <w:t>MEDIUM｜S</w:t>
            </w:r>
          </w:p>
        </w:tc>
        <w:tc>
          <w:tcPr>
            <w:tcW w:type="dxa" w:w="6355"/>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循环子图必须恰有一个 LOOP_START 与 LOOP_OUTPUT，且两者之间可达。</w:t>
            </w:r>
          </w:p>
        </w:tc>
        <w:tc>
          <w:tcPr>
            <w:tcW w:type="dxa" w:w="5663"/>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LOOP.nodes 仅有 LOOP_START，无 LOOP_OUTPUT。→ CONFIRMED。</w:t>
              <w:br/>
              <w:t>审查：保持：确定性子图契约。</w:t>
            </w:r>
          </w:p>
        </w:tc>
      </w:tr>
      <w:tr>
        <w:trPr>
          <w:cantSplit/>
        </w:trPr>
        <w:tc>
          <w:tcPr>
            <w:tcW w:type="dxa" w:w="1172"/>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FLOW-017</w:t>
            </w:r>
          </w:p>
        </w:tc>
        <w:tc>
          <w:tcPr>
            <w:tcW w:type="dxa" w:w="2434"/>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跨节点引用的数据类型不兼容</w:t>
              <w:br/>
              <w:t>MEDIUM｜S</w:t>
            </w:r>
          </w:p>
        </w:tc>
        <w:tc>
          <w:tcPr>
            <w:tcW w:type="dxa" w:w="6355"/>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生产者与消费者显式声明的引用类型不兼容；进入机器消费/副作用后提升严重度。</w:t>
            </w:r>
          </w:p>
        </w:tc>
        <w:tc>
          <w:tcPr>
            <w:tcW w:type="dxa" w:w="5663"/>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MODEL 输出 Array&lt;String&gt; → TEMPLATE.result 声明 String。→ CONFIRMED。</w:t>
              <w:br/>
              <w:t>审查：保持：只比较已声明类型，ANY/未知不臆断。</w:t>
            </w:r>
          </w:p>
        </w:tc>
      </w:tr>
    </w:tbl>
    <w:p>
      <w:r>
        <w:br w:type="page"/>
      </w:r>
    </w:p>
    <w:p>
      <w:pPr>
        <w:spacing w:before="200" w:after="80"/>
      </w:pPr>
      <w:r>
        <w:rPr>
          <w:rFonts w:ascii="Microsoft YaHei" w:hAnsi="Microsoft YaHei" w:eastAsia="Microsoft YaHei"/>
          <w:b/>
          <w:color w:val="1F4E79"/>
          <w:sz w:val="28"/>
        </w:rPr>
        <w:t>IN｜输入契约与直接注入面</w:t>
      </w:r>
    </w:p>
    <w:p>
      <w:pPr>
        <w:pStyle w:val="CompactNote"/>
        <w:spacing w:after="80"/>
      </w:pPr>
      <w:r>
        <w:rPr>
          <w:rFonts w:ascii="Microsoft YaHei" w:hAnsi="Microsoft YaHei" w:eastAsia="Microsoft YaHei"/>
          <w:sz w:val="17"/>
        </w:rPr>
        <w:t>5 条规则。每一行给出适用前提、报告证据状态与一个最小判定例。</w:t>
      </w:r>
    </w:p>
    <w:tbl>
      <w:tblPr>
        <w:tblStyle w:val="TableGrid"/>
        <w:tblW w:type="dxa" w:w="15624"/>
        <w:jc w:val="left"/>
        <w:tblLayout w:type="fixed"/>
        <w:tblLook w:firstColumn="1" w:firstRow="1" w:lastColumn="0" w:lastRow="0" w:noHBand="0" w:noVBand="1" w:val="04A0"/>
        <w:tblInd w:type="dxa" w:w="80"/>
      </w:tblPr>
      <w:tblGrid>
        <w:gridCol w:w="1172"/>
        <w:gridCol w:w="2434"/>
        <w:gridCol w:w="6355"/>
        <w:gridCol w:w="5663"/>
      </w:tblGrid>
      <w:tr>
        <w:trPr>
          <w:tblHeader w:val="true"/>
        </w:trPr>
        <w:tc>
          <w:tcPr>
            <w:tcW w:type="dxa" w:w="1172"/>
            <w:shd w:fill="1F4E79"/>
            <w:tcMar>
              <w:top w:w="70" w:type="dxa"/>
              <w:start w:w="80" w:type="dxa"/>
              <w:bottom w:w="70" w:type="dxa"/>
              <w:end w:w="80" w:type="dxa"/>
            </w:tcMar>
            <w:vAlign w:val="center"/>
          </w:tcPr>
          <w:p>
            <w:pPr>
              <w:spacing w:after="0" w:line="240" w:lineRule="auto"/>
              <w:jc w:val="left"/>
            </w:pPr>
            <w:r>
              <w:rPr>
                <w:rFonts w:ascii="Microsoft YaHei" w:hAnsi="Microsoft YaHei" w:eastAsia="Microsoft YaHei"/>
                <w:b/>
                <w:color w:val="FFFFFF"/>
                <w:sz w:val="16"/>
              </w:rPr>
              <w:t>ID</w:t>
            </w:r>
          </w:p>
        </w:tc>
        <w:tc>
          <w:tcPr>
            <w:tcW w:type="dxa" w:w="2434"/>
            <w:shd w:fill="1F4E79"/>
            <w:tcMar>
              <w:top w:w="70" w:type="dxa"/>
              <w:start w:w="80" w:type="dxa"/>
              <w:bottom w:w="70" w:type="dxa"/>
              <w:end w:w="80" w:type="dxa"/>
            </w:tcMar>
            <w:vAlign w:val="center"/>
          </w:tcPr>
          <w:p>
            <w:pPr>
              <w:spacing w:after="0" w:line="240" w:lineRule="auto"/>
              <w:jc w:val="left"/>
            </w:pPr>
            <w:r>
              <w:rPr>
                <w:rFonts w:ascii="Microsoft YaHei" w:hAnsi="Microsoft YaHei" w:eastAsia="Microsoft YaHei"/>
                <w:b/>
                <w:color w:val="FFFFFF"/>
                <w:sz w:val="16"/>
              </w:rPr>
              <w:t>规则 / 等级</w:t>
            </w:r>
          </w:p>
        </w:tc>
        <w:tc>
          <w:tcPr>
            <w:tcW w:type="dxa" w:w="6355"/>
            <w:shd w:fill="1F4E79"/>
            <w:tcMar>
              <w:top w:w="70" w:type="dxa"/>
              <w:start w:w="80" w:type="dxa"/>
              <w:bottom w:w="70" w:type="dxa"/>
              <w:end w:w="80" w:type="dxa"/>
            </w:tcMar>
            <w:vAlign w:val="center"/>
          </w:tcPr>
          <w:p>
            <w:pPr>
              <w:spacing w:after="0" w:line="240" w:lineRule="auto"/>
              <w:jc w:val="left"/>
            </w:pPr>
            <w:r>
              <w:rPr>
                <w:rFonts w:ascii="Microsoft YaHei" w:hAnsi="Microsoft YaHei" w:eastAsia="Microsoft YaHei"/>
                <w:b/>
                <w:color w:val="FFFFFF"/>
                <w:sz w:val="16"/>
              </w:rPr>
              <w:t>静态判定逻辑</w:t>
            </w:r>
          </w:p>
        </w:tc>
        <w:tc>
          <w:tcPr>
            <w:tcW w:type="dxa" w:w="5663"/>
            <w:shd w:fill="1F4E79"/>
            <w:tcMar>
              <w:top w:w="70" w:type="dxa"/>
              <w:start w:w="80" w:type="dxa"/>
              <w:bottom w:w="70" w:type="dxa"/>
              <w:end w:w="80" w:type="dxa"/>
            </w:tcMar>
            <w:vAlign w:val="center"/>
          </w:tcPr>
          <w:p>
            <w:pPr>
              <w:spacing w:after="0" w:line="240" w:lineRule="auto"/>
              <w:jc w:val="left"/>
            </w:pPr>
            <w:r>
              <w:rPr>
                <w:rFonts w:ascii="Microsoft YaHei" w:hAnsi="Microsoft YaHei" w:eastAsia="Microsoft YaHei"/>
                <w:b/>
                <w:color w:val="FFFFFF"/>
                <w:sz w:val="16"/>
              </w:rPr>
              <w:t>最小示例与审查结论</w:t>
            </w:r>
          </w:p>
        </w:tc>
      </w:tr>
      <w:tr>
        <w:trPr>
          <w:cantSplit/>
        </w:trPr>
        <w:tc>
          <w:tcPr>
            <w:tcW w:type="dxa" w:w="1172"/>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IN-001</w:t>
            </w:r>
          </w:p>
        </w:tc>
        <w:tc>
          <w:tcPr>
            <w:tcW w:type="dxa" w:w="2434"/>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输入缺少明确类型或对象 Schema</w:t>
              <w:br/>
              <w:t>MEDIUM｜S</w:t>
            </w:r>
          </w:p>
        </w:tc>
        <w:tc>
          <w:tcPr>
            <w:tcW w:type="dxa" w:w="6355"/>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HEAD 必须导出 paramList 和字段 type；Object 还需 sub/children 子字段 Schema。</w:t>
            </w:r>
          </w:p>
        </w:tc>
        <w:tc>
          <w:tcPr>
            <w:tcW w:type="dxa" w:w="5663"/>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paramList: [{name:'profile', type:'Object'}]。→ COVERAGE_GAP（对象键不可验证）。</w:t>
              <w:br/>
              <w:t>审查：已优化：补足标题中“对象 Schema”的实际检查。</w:t>
            </w:r>
          </w:p>
        </w:tc>
      </w:tr>
      <w:tr>
        <w:trPr>
          <w:cantSplit/>
        </w:trPr>
        <w:tc>
          <w:tcPr>
            <w:tcW w:type="dxa" w:w="1172"/>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IN-002</w:t>
            </w:r>
          </w:p>
        </w:tc>
        <w:tc>
          <w:tcPr>
            <w:tcW w:type="dxa" w:w="2434"/>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输入缺少长度数量或枚举边界</w:t>
              <w:br/>
              <w:t>LOW｜S</w:t>
            </w:r>
          </w:p>
        </w:tc>
        <w:tc>
          <w:tcPr>
            <w:tcW w:type="dxa" w:w="6355"/>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String/Array 要有有效上限或非空枚举；仅 minLength/minItems 不等价于资源上限。</w:t>
            </w:r>
          </w:p>
        </w:tc>
        <w:tc>
          <w:tcPr>
            <w:tcW w:type="dxa" w:w="5663"/>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{name:'comment', type:'String', minLength:1}。→ OBSERVED/HARDENING。</w:t>
              <w:br/>
              <w:t>审查：已优化：最小值不再被误判为边界。</w:t>
            </w:r>
          </w:p>
        </w:tc>
      </w:tr>
      <w:tr>
        <w:trPr>
          <w:cantSplit/>
        </w:trPr>
        <w:tc>
          <w:tcPr>
            <w:tcW w:type="dxa" w:w="1172"/>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IN-003</w:t>
            </w:r>
          </w:p>
        </w:tc>
        <w:tc>
          <w:tcPr>
            <w:tcW w:type="dxa" w:w="2434"/>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文件输入缺少类型数量或大小约束</w:t>
              <w:br/>
              <w:t>HIGH｜S</w:t>
            </w:r>
          </w:p>
        </w:tc>
        <w:tc>
          <w:tcPr>
            <w:tcW w:type="dxa" w:w="6355"/>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File 字段须有真实 MIME/扩展名允许列表和正数大小上限；多文件还须有数量上限。</w:t>
            </w:r>
          </w:p>
        </w:tc>
        <w:tc>
          <w:tcPr>
            <w:tcW w:type="dxa" w:w="5663"/>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{name:'upload', type:'File', maxSize:1024}。→ CONFIRMED（缺类型允许列表）。</w:t>
              <w:br/>
              <w:t>审查：已优化：不再把字段 type='File' 本身误当作文件类型约束。</w:t>
            </w:r>
          </w:p>
        </w:tc>
      </w:tr>
      <w:tr>
        <w:trPr>
          <w:cantSplit/>
        </w:trPr>
        <w:tc>
          <w:tcPr>
            <w:tcW w:type="dxa" w:w="1172"/>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IN-004</w:t>
            </w:r>
          </w:p>
        </w:tc>
        <w:tc>
          <w:tcPr>
            <w:tcW w:type="dxa" w:w="2434"/>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用户输入进入模型指令边界</w:t>
              <w:br/>
              <w:t>LOW｜S</w:t>
            </w:r>
          </w:p>
        </w:tc>
        <w:tc>
          <w:tcPr>
            <w:tcW w:type="dxa" w:w="6355"/>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HEAD 变量真正绑定到 MODEL/AGENT 的 prompt，且 Prompt 未出现不可信数据边界提示。</w:t>
            </w:r>
          </w:p>
        </w:tc>
        <w:tc>
          <w:tcPr>
            <w:tcW w:type="dxa" w:w="5663"/>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prompt:'回答 ${question}'，question 来自 HEAD。→ OBSERVED。</w:t>
              <w:br/>
              <w:t>审查：已优化：只看 prompt 绑定，不因普通 params 误报。</w:t>
            </w:r>
          </w:p>
        </w:tc>
      </w:tr>
      <w:tr>
        <w:trPr>
          <w:cantSplit/>
        </w:trPr>
        <w:tc>
          <w:tcPr>
            <w:tcW w:type="dxa" w:w="1172"/>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IN-005</w:t>
            </w:r>
          </w:p>
        </w:tc>
        <w:tc>
          <w:tcPr>
            <w:tcW w:type="dxa" w:w="2434"/>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敏感输入缺少数据处理约束</w:t>
              <w:br/>
              <w:t>MEDIUM｜H</w:t>
            </w:r>
          </w:p>
        </w:tc>
        <w:tc>
          <w:tcPr>
            <w:tcW w:type="dxa" w:w="6355"/>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字段名具有敏感语义且没有实际非空的分类、保留、最小化或脱敏声明。</w:t>
            </w:r>
          </w:p>
        </w:tc>
        <w:tc>
          <w:tcPr>
            <w:tcW w:type="dxa" w:w="5663"/>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{name:'access_token', type:'String'}。→ COVERAGE_GAP。</w:t>
              <w:br/>
              <w:t>审查：已优化：空 classification 或 false 不再被当作处理策略。</w:t>
            </w:r>
          </w:p>
        </w:tc>
      </w:tr>
    </w:tbl>
    <w:p>
      <w:r>
        <w:br w:type="page"/>
      </w:r>
    </w:p>
    <w:p>
      <w:pPr>
        <w:spacing w:before="200" w:after="80"/>
      </w:pPr>
      <w:r>
        <w:rPr>
          <w:rFonts w:ascii="Microsoft YaHei" w:hAnsi="Microsoft YaHei" w:eastAsia="Microsoft YaHei"/>
          <w:b/>
          <w:color w:val="1F4E79"/>
          <w:sz w:val="28"/>
        </w:rPr>
        <w:t>LLM｜模型、Prompt 与输出控制</w:t>
      </w:r>
    </w:p>
    <w:p>
      <w:pPr>
        <w:pStyle w:val="CompactNote"/>
        <w:spacing w:after="80"/>
      </w:pPr>
      <w:r>
        <w:rPr>
          <w:rFonts w:ascii="Microsoft YaHei" w:hAnsi="Microsoft YaHei" w:eastAsia="Microsoft YaHei"/>
          <w:sz w:val="17"/>
        </w:rPr>
        <w:t>7 条规则。每一行给出适用前提、报告证据状态与一个最小判定例。</w:t>
      </w:r>
    </w:p>
    <w:tbl>
      <w:tblPr>
        <w:tblStyle w:val="TableGrid"/>
        <w:tblW w:type="dxa" w:w="15624"/>
        <w:jc w:val="left"/>
        <w:tblLayout w:type="fixed"/>
        <w:tblLook w:firstColumn="1" w:firstRow="1" w:lastColumn="0" w:lastRow="0" w:noHBand="0" w:noVBand="1" w:val="04A0"/>
        <w:tblInd w:type="dxa" w:w="80"/>
      </w:tblPr>
      <w:tblGrid>
        <w:gridCol w:w="1172"/>
        <w:gridCol w:w="2434"/>
        <w:gridCol w:w="6355"/>
        <w:gridCol w:w="5663"/>
      </w:tblGrid>
      <w:tr>
        <w:trPr>
          <w:tblHeader w:val="true"/>
        </w:trPr>
        <w:tc>
          <w:tcPr>
            <w:tcW w:type="dxa" w:w="1172"/>
            <w:shd w:fill="1F4E79"/>
            <w:tcMar>
              <w:top w:w="70" w:type="dxa"/>
              <w:start w:w="80" w:type="dxa"/>
              <w:bottom w:w="70" w:type="dxa"/>
              <w:end w:w="80" w:type="dxa"/>
            </w:tcMar>
            <w:vAlign w:val="center"/>
          </w:tcPr>
          <w:p>
            <w:pPr>
              <w:spacing w:after="0" w:line="240" w:lineRule="auto"/>
              <w:jc w:val="left"/>
            </w:pPr>
            <w:r>
              <w:rPr>
                <w:rFonts w:ascii="Microsoft YaHei" w:hAnsi="Microsoft YaHei" w:eastAsia="Microsoft YaHei"/>
                <w:b/>
                <w:color w:val="FFFFFF"/>
                <w:sz w:val="16"/>
              </w:rPr>
              <w:t>ID</w:t>
            </w:r>
          </w:p>
        </w:tc>
        <w:tc>
          <w:tcPr>
            <w:tcW w:type="dxa" w:w="2434"/>
            <w:shd w:fill="1F4E79"/>
            <w:tcMar>
              <w:top w:w="70" w:type="dxa"/>
              <w:start w:w="80" w:type="dxa"/>
              <w:bottom w:w="70" w:type="dxa"/>
              <w:end w:w="80" w:type="dxa"/>
            </w:tcMar>
            <w:vAlign w:val="center"/>
          </w:tcPr>
          <w:p>
            <w:pPr>
              <w:spacing w:after="0" w:line="240" w:lineRule="auto"/>
              <w:jc w:val="left"/>
            </w:pPr>
            <w:r>
              <w:rPr>
                <w:rFonts w:ascii="Microsoft YaHei" w:hAnsi="Microsoft YaHei" w:eastAsia="Microsoft YaHei"/>
                <w:b/>
                <w:color w:val="FFFFFF"/>
                <w:sz w:val="16"/>
              </w:rPr>
              <w:t>规则 / 等级</w:t>
            </w:r>
          </w:p>
        </w:tc>
        <w:tc>
          <w:tcPr>
            <w:tcW w:type="dxa" w:w="6355"/>
            <w:shd w:fill="1F4E79"/>
            <w:tcMar>
              <w:top w:w="70" w:type="dxa"/>
              <w:start w:w="80" w:type="dxa"/>
              <w:bottom w:w="70" w:type="dxa"/>
              <w:end w:w="80" w:type="dxa"/>
            </w:tcMar>
            <w:vAlign w:val="center"/>
          </w:tcPr>
          <w:p>
            <w:pPr>
              <w:spacing w:after="0" w:line="240" w:lineRule="auto"/>
              <w:jc w:val="left"/>
            </w:pPr>
            <w:r>
              <w:rPr>
                <w:rFonts w:ascii="Microsoft YaHei" w:hAnsi="Microsoft YaHei" w:eastAsia="Microsoft YaHei"/>
                <w:b/>
                <w:color w:val="FFFFFF"/>
                <w:sz w:val="16"/>
              </w:rPr>
              <w:t>静态判定逻辑</w:t>
            </w:r>
          </w:p>
        </w:tc>
        <w:tc>
          <w:tcPr>
            <w:tcW w:type="dxa" w:w="5663"/>
            <w:shd w:fill="1F4E79"/>
            <w:tcMar>
              <w:top w:w="70" w:type="dxa"/>
              <w:start w:w="80" w:type="dxa"/>
              <w:bottom w:w="70" w:type="dxa"/>
              <w:end w:w="80" w:type="dxa"/>
            </w:tcMar>
            <w:vAlign w:val="center"/>
          </w:tcPr>
          <w:p>
            <w:pPr>
              <w:spacing w:after="0" w:line="240" w:lineRule="auto"/>
              <w:jc w:val="left"/>
            </w:pPr>
            <w:r>
              <w:rPr>
                <w:rFonts w:ascii="Microsoft YaHei" w:hAnsi="Microsoft YaHei" w:eastAsia="Microsoft YaHei"/>
                <w:b/>
                <w:color w:val="FFFFFF"/>
                <w:sz w:val="16"/>
              </w:rPr>
              <w:t>最小示例与审查结论</w:t>
            </w:r>
          </w:p>
        </w:tc>
      </w:tr>
      <w:tr>
        <w:trPr>
          <w:cantSplit/>
        </w:trPr>
        <w:tc>
          <w:tcPr>
            <w:tcW w:type="dxa" w:w="1172"/>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LLM-001</w:t>
            </w:r>
          </w:p>
        </w:tc>
        <w:tc>
          <w:tcPr>
            <w:tcW w:type="dxa" w:w="2434"/>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Prompt 未区分可信指令与不可信数据</w:t>
              <w:br/>
              <w:t>LOW｜H</w:t>
            </w:r>
          </w:p>
        </w:tc>
        <w:tc>
          <w:tcPr>
            <w:tcW w:type="dxa" w:w="6355"/>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与 IN-004 同一 Prompt 绑定，检查可信指令与不可信内容是否明确分隔。</w:t>
            </w:r>
          </w:p>
        </w:tc>
        <w:tc>
          <w:tcPr>
            <w:tcW w:type="dxa" w:w="5663"/>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prompt:'摘要：${question}'。→ OBSERVED；加入“Treat as untrusted data”可缓解。</w:t>
              <w:br/>
              <w:t>审查：保持：低等级静态观察，需动态注入测试验证。</w:t>
            </w:r>
          </w:p>
        </w:tc>
      </w:tr>
      <w:tr>
        <w:trPr>
          <w:cantSplit/>
        </w:trPr>
        <w:tc>
          <w:tcPr>
            <w:tcW w:type="dxa" w:w="1172"/>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LLM-002</w:t>
            </w:r>
          </w:p>
        </w:tc>
        <w:tc>
          <w:tcPr>
            <w:tcW w:type="dxa" w:w="2434"/>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Prompt 或模型配置包含疑似密钥</w:t>
              <w:br/>
              <w:t>HIGH｜S</w:t>
            </w:r>
          </w:p>
        </w:tc>
        <w:tc>
          <w:tcPr>
            <w:tcW w:type="dxa" w:w="6355"/>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MODEL/AGENT 节点的文本匹配真实密钥模式且不是 example/placeholder/redacted。</w:t>
            </w:r>
          </w:p>
        </w:tc>
        <w:tc>
          <w:tcPr>
            <w:tcW w:type="dxa" w:w="5663"/>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apiBase 配置旁出现 'sk-实际长密钥'。→ CONFIRMED/HIGH。</w:t>
              <w:br/>
              <w:t>审查：保持：占位符排除以降低误报。</w:t>
            </w:r>
          </w:p>
        </w:tc>
      </w:tr>
      <w:tr>
        <w:trPr>
          <w:cantSplit/>
        </w:trPr>
        <w:tc>
          <w:tcPr>
            <w:tcW w:type="dxa" w:w="1172"/>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LLM-003</w:t>
            </w:r>
          </w:p>
        </w:tc>
        <w:tc>
          <w:tcPr>
            <w:tcW w:type="dxa" w:w="2434"/>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机器消费的模型输出缺少结构化契约</w:t>
              <w:br/>
              <w:t>HIGH｜S</w:t>
            </w:r>
          </w:p>
        </w:tc>
        <w:tc>
          <w:tcPr>
            <w:tcW w:type="dxa" w:w="6355"/>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模型输出被 CONDITION/CODE/TOOL/AGENT 消费，但没有封闭字段、类型和嵌套对象 Schema。</w:t>
            </w:r>
          </w:p>
        </w:tc>
        <w:tc>
          <w:tcPr>
            <w:tcW w:type="dxa" w:w="5663"/>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MODEL.outputFormat='json'，无 output[]，结果绑定到 TOOL.body。→ CONFIRMED。</w:t>
              <w:br/>
              <w:t>审查：已优化：与 FLOW-009 共用严格 Schema 判断。</w:t>
            </w:r>
          </w:p>
        </w:tc>
      </w:tr>
      <w:tr>
        <w:trPr>
          <w:cantSplit/>
        </w:trPr>
        <w:tc>
          <w:tcPr>
            <w:tcW w:type="dxa" w:w="1172"/>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LLM-004</w:t>
            </w:r>
          </w:p>
        </w:tc>
        <w:tc>
          <w:tcPr>
            <w:tcW w:type="dxa" w:w="2434"/>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模型令牌或迭代预算不可验证</w:t>
              <w:br/>
              <w:t>MEDIUM｜S</w:t>
            </w:r>
          </w:p>
        </w:tc>
        <w:tc>
          <w:tcPr>
            <w:tcW w:type="dxa" w:w="6355"/>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Agent 或可达高后果模型节点未导出 token、step、iteration 或 timeout 预算。</w:t>
            </w:r>
          </w:p>
        </w:tc>
        <w:tc>
          <w:tcPr>
            <w:tcW w:type="dxa" w:w="5663"/>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AGENT 有 POST 工具，modelConfig:{}。→ COVERAGE_GAP。</w:t>
              <w:br/>
              <w:t>审查：保持：缺运行时字段不确认成漏洞。</w:t>
            </w:r>
          </w:p>
        </w:tc>
      </w:tr>
      <w:tr>
        <w:trPr>
          <w:cantSplit/>
        </w:trPr>
        <w:tc>
          <w:tcPr>
            <w:tcW w:type="dxa" w:w="1172"/>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LLM-005</w:t>
            </w:r>
          </w:p>
        </w:tc>
        <w:tc>
          <w:tcPr>
            <w:tcW w:type="dxa" w:w="2434"/>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模型失败回退策略不可验证</w:t>
              <w:br/>
              <w:t>MEDIUM｜H</w:t>
            </w:r>
          </w:p>
        </w:tc>
        <w:tc>
          <w:tcPr>
            <w:tcW w:type="dxa" w:w="6355"/>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Agent 或可达高后果模型节点未见 fallback/retry/errorStrategy/failClosed。</w:t>
            </w:r>
          </w:p>
        </w:tc>
        <w:tc>
          <w:tcPr>
            <w:tcW w:type="dxa" w:w="5663"/>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MODEL → 高影响 TOOL，未配置 fallback。→ COVERAGE_GAP。</w:t>
              <w:br/>
              <w:t>审查：保持：运行时可见性边界清晰。</w:t>
            </w:r>
          </w:p>
        </w:tc>
      </w:tr>
      <w:tr>
        <w:trPr>
          <w:cantSplit/>
        </w:trPr>
        <w:tc>
          <w:tcPr>
            <w:tcW w:type="dxa" w:w="1172"/>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LLM-006</w:t>
            </w:r>
          </w:p>
        </w:tc>
        <w:tc>
          <w:tcPr>
            <w:tcW w:type="dxa" w:w="2434"/>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模型输出参与安全或授权分支决策</w:t>
              <w:br/>
              <w:t>HIGH｜H</w:t>
            </w:r>
          </w:p>
        </w:tc>
        <w:tc>
          <w:tcPr>
            <w:tcW w:type="dxa" w:w="6355"/>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模型数据进入 JUDGE，JUDGE 的控制分支可达高影响工具。</w:t>
            </w:r>
          </w:p>
        </w:tc>
        <w:tc>
          <w:tcPr>
            <w:tcW w:type="dxa" w:w="5663"/>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MODEL.decision → JUDGE → POST grant-permission。→ PROBABLE。</w:t>
              <w:br/>
              <w:t>审查：已优化：JUDGE 到工具必须为控制路径。</w:t>
            </w:r>
          </w:p>
        </w:tc>
      </w:tr>
      <w:tr>
        <w:trPr>
          <w:cantSplit/>
        </w:trPr>
        <w:tc>
          <w:tcPr>
            <w:tcW w:type="dxa" w:w="1172"/>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LLM-007</w:t>
            </w:r>
          </w:p>
        </w:tc>
        <w:tc>
          <w:tcPr>
            <w:tcW w:type="dxa" w:w="2434"/>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模型服务端点传输或固定策略观察</w:t>
              <w:br/>
              <w:t>MEDIUM｜S</w:t>
            </w:r>
          </w:p>
        </w:tc>
        <w:tc>
          <w:tcPr>
            <w:tcW w:type="dxa" w:w="6355"/>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apiBase 明确为 http:// 时记录传输姿态；包含 ${...}/{{...}} 时记录动态端点风险。</w:t>
            </w:r>
          </w:p>
        </w:tc>
        <w:tc>
          <w:tcPr>
            <w:tcW w:type="dxa" w:w="5663"/>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apiBase:'${tenantEndpoint}'。→ PROBABLE，需端点白名单。</w:t>
              <w:br/>
              <w:t>审查：保持：HTTPS 与固定已允许端点不触发。</w:t>
            </w:r>
          </w:p>
        </w:tc>
      </w:tr>
    </w:tbl>
    <w:p>
      <w:r>
        <w:br w:type="page"/>
      </w:r>
    </w:p>
    <w:p>
      <w:pPr>
        <w:spacing w:before="200" w:after="80"/>
      </w:pPr>
      <w:r>
        <w:rPr>
          <w:rFonts w:ascii="Microsoft YaHei" w:hAnsi="Microsoft YaHei" w:eastAsia="Microsoft YaHei"/>
          <w:b/>
          <w:color w:val="1F4E79"/>
          <w:sz w:val="28"/>
        </w:rPr>
        <w:t>TOOL｜工具、代码与外部能力</w:t>
      </w:r>
    </w:p>
    <w:p>
      <w:pPr>
        <w:pStyle w:val="CompactNote"/>
        <w:spacing w:after="80"/>
      </w:pPr>
      <w:r>
        <w:rPr>
          <w:rFonts w:ascii="Microsoft YaHei" w:hAnsi="Microsoft YaHei" w:eastAsia="Microsoft YaHei"/>
          <w:sz w:val="17"/>
        </w:rPr>
        <w:t>13 条规则。每一行给出适用前提、报告证据状态与一个最小判定例。</w:t>
      </w:r>
    </w:p>
    <w:tbl>
      <w:tblPr>
        <w:tblStyle w:val="TableGrid"/>
        <w:tblW w:type="dxa" w:w="15624"/>
        <w:jc w:val="left"/>
        <w:tblLayout w:type="fixed"/>
        <w:tblLook w:firstColumn="1" w:firstRow="1" w:lastColumn="0" w:lastRow="0" w:noHBand="0" w:noVBand="1" w:val="04A0"/>
        <w:tblInd w:type="dxa" w:w="80"/>
      </w:tblPr>
      <w:tblGrid>
        <w:gridCol w:w="1172"/>
        <w:gridCol w:w="2434"/>
        <w:gridCol w:w="6355"/>
        <w:gridCol w:w="5663"/>
      </w:tblGrid>
      <w:tr>
        <w:trPr>
          <w:tblHeader w:val="true"/>
        </w:trPr>
        <w:tc>
          <w:tcPr>
            <w:tcW w:type="dxa" w:w="1172"/>
            <w:shd w:fill="1F4E79"/>
            <w:tcMar>
              <w:top w:w="70" w:type="dxa"/>
              <w:start w:w="80" w:type="dxa"/>
              <w:bottom w:w="70" w:type="dxa"/>
              <w:end w:w="80" w:type="dxa"/>
            </w:tcMar>
            <w:vAlign w:val="center"/>
          </w:tcPr>
          <w:p>
            <w:pPr>
              <w:spacing w:after="0" w:line="240" w:lineRule="auto"/>
              <w:jc w:val="left"/>
            </w:pPr>
            <w:r>
              <w:rPr>
                <w:rFonts w:ascii="Microsoft YaHei" w:hAnsi="Microsoft YaHei" w:eastAsia="Microsoft YaHei"/>
                <w:b/>
                <w:color w:val="FFFFFF"/>
                <w:sz w:val="16"/>
              </w:rPr>
              <w:t>ID</w:t>
            </w:r>
          </w:p>
        </w:tc>
        <w:tc>
          <w:tcPr>
            <w:tcW w:type="dxa" w:w="2434"/>
            <w:shd w:fill="1F4E79"/>
            <w:tcMar>
              <w:top w:w="70" w:type="dxa"/>
              <w:start w:w="80" w:type="dxa"/>
              <w:bottom w:w="70" w:type="dxa"/>
              <w:end w:w="80" w:type="dxa"/>
            </w:tcMar>
            <w:vAlign w:val="center"/>
          </w:tcPr>
          <w:p>
            <w:pPr>
              <w:spacing w:after="0" w:line="240" w:lineRule="auto"/>
              <w:jc w:val="left"/>
            </w:pPr>
            <w:r>
              <w:rPr>
                <w:rFonts w:ascii="Microsoft YaHei" w:hAnsi="Microsoft YaHei" w:eastAsia="Microsoft YaHei"/>
                <w:b/>
                <w:color w:val="FFFFFF"/>
                <w:sz w:val="16"/>
              </w:rPr>
              <w:t>规则 / 等级</w:t>
            </w:r>
          </w:p>
        </w:tc>
        <w:tc>
          <w:tcPr>
            <w:tcW w:type="dxa" w:w="6355"/>
            <w:shd w:fill="1F4E79"/>
            <w:tcMar>
              <w:top w:w="70" w:type="dxa"/>
              <w:start w:w="80" w:type="dxa"/>
              <w:bottom w:w="70" w:type="dxa"/>
              <w:end w:w="80" w:type="dxa"/>
            </w:tcMar>
            <w:vAlign w:val="center"/>
          </w:tcPr>
          <w:p>
            <w:pPr>
              <w:spacing w:after="0" w:line="240" w:lineRule="auto"/>
              <w:jc w:val="left"/>
            </w:pPr>
            <w:r>
              <w:rPr>
                <w:rFonts w:ascii="Microsoft YaHei" w:hAnsi="Microsoft YaHei" w:eastAsia="Microsoft YaHei"/>
                <w:b/>
                <w:color w:val="FFFFFF"/>
                <w:sz w:val="16"/>
              </w:rPr>
              <w:t>静态判定逻辑</w:t>
            </w:r>
          </w:p>
        </w:tc>
        <w:tc>
          <w:tcPr>
            <w:tcW w:type="dxa" w:w="5663"/>
            <w:shd w:fill="1F4E79"/>
            <w:tcMar>
              <w:top w:w="70" w:type="dxa"/>
              <w:start w:w="80" w:type="dxa"/>
              <w:bottom w:w="70" w:type="dxa"/>
              <w:end w:w="80" w:type="dxa"/>
            </w:tcMar>
            <w:vAlign w:val="center"/>
          </w:tcPr>
          <w:p>
            <w:pPr>
              <w:spacing w:after="0" w:line="240" w:lineRule="auto"/>
              <w:jc w:val="left"/>
            </w:pPr>
            <w:r>
              <w:rPr>
                <w:rFonts w:ascii="Microsoft YaHei" w:hAnsi="Microsoft YaHei" w:eastAsia="Microsoft YaHei"/>
                <w:b/>
                <w:color w:val="FFFFFF"/>
                <w:sz w:val="16"/>
              </w:rPr>
              <w:t>最小示例与审查结论</w:t>
            </w:r>
          </w:p>
        </w:tc>
      </w:tr>
      <w:tr>
        <w:trPr>
          <w:cantSplit/>
        </w:trPr>
        <w:tc>
          <w:tcPr>
            <w:tcW w:type="dxa" w:w="1172"/>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TOOL-001</w:t>
            </w:r>
          </w:p>
        </w:tc>
        <w:tc>
          <w:tcPr>
            <w:tcW w:type="dxa" w:w="2434"/>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工具能力或副作用无法确定</w:t>
              <w:br/>
              <w:t>MEDIUM｜H</w:t>
            </w:r>
          </w:p>
        </w:tc>
        <w:tc>
          <w:tcPr>
            <w:tcW w:type="dxa" w:w="6355"/>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TOOL/AGENT 没有可解析 tool spec 是覆盖缺口；spec kind 为 unknown 才是候选。</w:t>
            </w:r>
          </w:p>
        </w:tc>
        <w:tc>
          <w:tcPr>
            <w:tcW w:type="dxa" w:w="5663"/>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AGENT.tools: [] 且无直接工具配置。→ COVERAGE_GAP。</w:t>
              <w:br/>
              <w:t>审查：保持：不推断未知能力的副作用。</w:t>
            </w:r>
          </w:p>
        </w:tc>
      </w:tr>
      <w:tr>
        <w:trPr>
          <w:cantSplit/>
        </w:trPr>
        <w:tc>
          <w:tcPr>
            <w:tcW w:type="dxa" w:w="1172"/>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TOOL-002</w:t>
            </w:r>
          </w:p>
        </w:tc>
        <w:tc>
          <w:tcPr>
            <w:tcW w:type="dxa" w:w="2434"/>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高影响工具参数可由不可信数据控制</w:t>
              <w:br/>
              <w:t>HIGH｜S</w:t>
            </w:r>
          </w:p>
        </w:tc>
        <w:tc>
          <w:tcPr>
            <w:tcW w:type="dxa" w:w="6355"/>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副作用/高影响工具的 url、path、command、tenantId 等敏感参数受不可信变量引用控制。</w:t>
            </w:r>
          </w:p>
        </w:tc>
        <w:tc>
          <w:tcPr>
            <w:tcW w:type="dxa" w:w="5663"/>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HEAD.userId → API_PLUGIN.body.userId，urlMethod='POST'。→ PROBABLE。</w:t>
              <w:br/>
              <w:t>审查：保持：须同时具备不可信绑定和危险能力。</w:t>
            </w:r>
          </w:p>
        </w:tc>
      </w:tr>
      <w:tr>
        <w:trPr>
          <w:cantSplit/>
        </w:trPr>
        <w:tc>
          <w:tcPr>
            <w:tcW w:type="dxa" w:w="1172"/>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TOOL-003</w:t>
            </w:r>
          </w:p>
        </w:tc>
        <w:tc>
          <w:tcPr>
            <w:tcW w:type="dxa" w:w="2434"/>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动态网络目标形成 SSRF 风险</w:t>
              <w:br/>
              <w:t>HIGH｜S</w:t>
            </w:r>
          </w:p>
        </w:tc>
        <w:tc>
          <w:tcPr>
            <w:tcW w:type="dxa" w:w="6355"/>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不可信变量绑定 url/uri/host/endpoint/callback，且节点确为外部或网络能力。</w:t>
            </w:r>
          </w:p>
        </w:tc>
        <w:tc>
          <w:tcPr>
            <w:tcW w:type="dxa" w:w="5663"/>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HEAD.url → API_PLUGIN.query.url。→ PROBABLE/SSRF。</w:t>
              <w:br/>
              <w:t>审查：保持：固定 URL 不适用。</w:t>
            </w:r>
          </w:p>
        </w:tc>
      </w:tr>
      <w:tr>
        <w:trPr>
          <w:cantSplit/>
        </w:trPr>
        <w:tc>
          <w:tcPr>
            <w:tcW w:type="dxa" w:w="1172"/>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TOOL-004</w:t>
            </w:r>
          </w:p>
        </w:tc>
        <w:tc>
          <w:tcPr>
            <w:tcW w:type="dxa" w:w="2434"/>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代码节点包含危险执行或网络原语</w:t>
              <w:br/>
              <w:t>CRITICAL｜S</w:t>
            </w:r>
          </w:p>
        </w:tc>
        <w:tc>
          <w:tcPr>
            <w:tcW w:type="dxa" w:w="6355"/>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Python AST 发现 eval/exec/import、进程、网络或文件 IO 原语；动态执行为 CRITICAL。</w:t>
            </w:r>
          </w:p>
        </w:tc>
        <w:tc>
          <w:tcPr>
            <w:tcW w:type="dxa" w:w="5663"/>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code:'eval(params["expr"])'。→ CONFIRMED/CRITICAL。</w:t>
              <w:br/>
              <w:t>审查：保持：只解析代码调用 AST，不扫注释文字。</w:t>
            </w:r>
          </w:p>
        </w:tc>
      </w:tr>
      <w:tr>
        <w:trPr>
          <w:cantSplit/>
        </w:trPr>
        <w:tc>
          <w:tcPr>
            <w:tcW w:type="dxa" w:w="1172"/>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TOOL-005</w:t>
            </w:r>
          </w:p>
        </w:tc>
        <w:tc>
          <w:tcPr>
            <w:tcW w:type="dxa" w:w="2434"/>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工具身份认证或对象授权不可验证</w:t>
              <w:br/>
              <w:t>HIGH｜M</w:t>
            </w:r>
          </w:p>
        </w:tc>
        <w:tc>
          <w:tcPr>
            <w:tcW w:type="dxa" w:w="6355"/>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外部工具与身份/对象授权相关，但 DSL 未导出 auth/IAM/对象授权事实。</w:t>
            </w:r>
          </w:p>
        </w:tc>
        <w:tc>
          <w:tcPr>
            <w:tcW w:type="dxa" w:w="5663"/>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POST MCP 工具无 auth_declared。→ COVERAGE_GAP。</w:t>
              <w:br/>
              <w:t>审查：保持：运行时 IAM 缺失不能静态确认越权。</w:t>
            </w:r>
          </w:p>
        </w:tc>
      </w:tr>
      <w:tr>
        <w:trPr>
          <w:cantSplit/>
        </w:trPr>
        <w:tc>
          <w:tcPr>
            <w:tcW w:type="dxa" w:w="1172"/>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TOOL-006</w:t>
            </w:r>
          </w:p>
        </w:tc>
        <w:tc>
          <w:tcPr>
            <w:tcW w:type="dxa" w:w="2434"/>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工具输出缺少可验证 Schema</w:t>
              <w:br/>
              <w:t>MEDIUM｜S</w:t>
            </w:r>
          </w:p>
        </w:tc>
        <w:tc>
          <w:tcPr>
            <w:tcW w:type="dxa" w:w="6355"/>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工具输出继续到模型、副作用、高信任输出时，至少一项 spec 未导出 output Schema；CODE 同理。</w:t>
            </w:r>
          </w:p>
        </w:tc>
        <w:tc>
          <w:tcPr>
            <w:tcW w:type="dxa" w:w="5663"/>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外部 GET 输出 → MODEL，spec.output 缺失。→ COVERAGE_GAP。</w:t>
              <w:br/>
              <w:t>审查：保持：仅在下游消费使 Schema 相关时报警。</w:t>
            </w:r>
          </w:p>
        </w:tc>
      </w:tr>
      <w:tr>
        <w:trPr>
          <w:cantSplit/>
        </w:trPr>
        <w:tc>
          <w:tcPr>
            <w:tcW w:type="dxa" w:w="1172"/>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TOOL-007</w:t>
            </w:r>
          </w:p>
        </w:tc>
        <w:tc>
          <w:tcPr>
            <w:tcW w:type="dxa" w:w="2434"/>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外部调用超时重试和幂等策略不可验证</w:t>
              <w:br/>
              <w:t>MEDIUM｜M</w:t>
            </w:r>
          </w:p>
        </w:tc>
        <w:tc>
          <w:tcPr>
            <w:tcW w:type="dxa" w:w="6355"/>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副作用工具没有 timeout/retry/idempotency/compensation/circuit breaker 任一可见配置。</w:t>
            </w:r>
          </w:p>
        </w:tc>
        <w:tc>
          <w:tcPr>
            <w:tcW w:type="dxa" w:w="5663"/>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POST 付款无 timeout、retry、idempotency。→ COVERAGE_GAP。</w:t>
              <w:br/>
              <w:t>审查：保持：缺平台策略按覆盖缺口展示。</w:t>
            </w:r>
          </w:p>
        </w:tc>
      </w:tr>
      <w:tr>
        <w:trPr>
          <w:cantSplit/>
        </w:trPr>
        <w:tc>
          <w:tcPr>
            <w:tcW w:type="dxa" w:w="1172"/>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TOOL-008</w:t>
            </w:r>
          </w:p>
        </w:tc>
        <w:tc>
          <w:tcPr>
            <w:tcW w:type="dxa" w:w="2434"/>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工具或 MCP 供应链完整性不可验证</w:t>
              <w:br/>
              <w:t>HIGH｜M</w:t>
            </w:r>
          </w:p>
        </w:tc>
        <w:tc>
          <w:tcPr>
            <w:tcW w:type="dxa" w:w="6355"/>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可执行且相关的外部工具/MCP/子工作流没有版本，或有版本无签名/摘要。</w:t>
            </w:r>
          </w:p>
        </w:tc>
        <w:tc>
          <w:tcPr>
            <w:tcW w:type="dxa" w:w="5663"/>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MCP version:null，且路径到 MODEL。→ COVERAGE_GAP。</w:t>
              <w:br/>
              <w:t>审查：保持：仅读且无影响的能力不机械触发。</w:t>
            </w:r>
          </w:p>
        </w:tc>
      </w:tr>
      <w:tr>
        <w:trPr>
          <w:cantSplit/>
        </w:trPr>
        <w:tc>
          <w:tcPr>
            <w:tcW w:type="dxa" w:w="1172"/>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TOOL-009</w:t>
            </w:r>
          </w:p>
        </w:tc>
        <w:tc>
          <w:tcPr>
            <w:tcW w:type="dxa" w:w="2434"/>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不可信工具输出进入模型指令边界</w:t>
              <w:br/>
              <w:t>LOW｜S</w:t>
            </w:r>
          </w:p>
        </w:tc>
        <w:tc>
          <w:tcPr>
            <w:tcW w:type="dxa" w:w="6355"/>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external TOOL 输出通过数据路径进入 MODEL/AGENT 上下文。</w:t>
            </w:r>
          </w:p>
        </w:tc>
        <w:tc>
          <w:tcPr>
            <w:tcW w:type="dxa" w:w="5663"/>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API_PLUGIN.content → MODEL.prompt。→ OBSERVED/LOW。</w:t>
              <w:br/>
              <w:t>审查：保持：到副作用时由 FLOW-005 升级。</w:t>
            </w:r>
          </w:p>
        </w:tc>
      </w:tr>
      <w:tr>
        <w:trPr>
          <w:cantSplit/>
        </w:trPr>
        <w:tc>
          <w:tcPr>
            <w:tcW w:type="dxa" w:w="1172"/>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TOOL-010</w:t>
            </w:r>
          </w:p>
        </w:tc>
        <w:tc>
          <w:tcPr>
            <w:tcW w:type="dxa" w:w="2434"/>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高后果动作缺少确定性动作门</w:t>
              <w:br/>
              <w:t>HIGH｜H</w:t>
            </w:r>
          </w:p>
        </w:tc>
        <w:tc>
          <w:tcPr>
            <w:tcW w:type="dxa" w:w="6355"/>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Agent 可以自主选择副作用工具而 DSL 未证明不可绕过的动作授权策略。</w:t>
            </w:r>
          </w:p>
        </w:tc>
        <w:tc>
          <w:tcPr>
            <w:tcW w:type="dxa" w:w="5663"/>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AGENT.tools 包含 POST。→ PROBABLE。</w:t>
              <w:br/>
              <w:t>审查：保持：仅 Agent + 副作用能力适用。</w:t>
            </w:r>
          </w:p>
        </w:tc>
      </w:tr>
      <w:tr>
        <w:trPr>
          <w:cantSplit/>
        </w:trPr>
        <w:tc>
          <w:tcPr>
            <w:tcW w:type="dxa" w:w="1172"/>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TOOL-011</w:t>
            </w:r>
          </w:p>
        </w:tc>
        <w:tc>
          <w:tcPr>
            <w:tcW w:type="dxa" w:w="2434"/>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代码语言或语法无法完整静态分析</w:t>
              <w:br/>
              <w:t>MEDIUM｜S</w:t>
            </w:r>
          </w:p>
        </w:tc>
        <w:tc>
          <w:tcPr>
            <w:tcW w:type="dxa" w:w="6355"/>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Python 无法 AST 解析或代码语言不在已适配范围，危险原语覆盖不完整。</w:t>
            </w:r>
          </w:p>
        </w:tc>
        <w:tc>
          <w:tcPr>
            <w:tcW w:type="dxa" w:w="5663"/>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language:'javascript'。→ COVERAGE_GAP。</w:t>
              <w:br/>
              <w:t>审查：保持：明确说明扫描能力边界。</w:t>
            </w:r>
          </w:p>
        </w:tc>
      </w:tr>
      <w:tr>
        <w:trPr>
          <w:cantSplit/>
        </w:trPr>
        <w:tc>
          <w:tcPr>
            <w:tcW w:type="dxa" w:w="1172"/>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TOOL-012</w:t>
            </w:r>
          </w:p>
        </w:tc>
        <w:tc>
          <w:tcPr>
            <w:tcW w:type="dxa" w:w="2434"/>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工具参数包含或可能暴露认证材料</w:t>
              <w:br/>
              <w:t>HIGH｜S</w:t>
            </w:r>
          </w:p>
        </w:tc>
        <w:tc>
          <w:tcPr>
            <w:tcW w:type="dxa" w:w="6355"/>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工具节点含疑似真实认证材料，或认证参数标为 Agent 可见。</w:t>
            </w:r>
          </w:p>
        </w:tc>
        <w:tc>
          <w:tcPr>
            <w:tcW w:type="dxa" w:w="5663"/>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header.Authorization='Bearer 真实长 token'。→ CONFIRMED；canAgentSee=true → GAP。</w:t>
              <w:br/>
              <w:t>审查：保持：真实值与运行时注入不可见分开报告。</w:t>
            </w:r>
          </w:p>
        </w:tc>
      </w:tr>
      <w:tr>
        <w:trPr>
          <w:cantSplit/>
        </w:trPr>
        <w:tc>
          <w:tcPr>
            <w:tcW w:type="dxa" w:w="1172"/>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TOOL-013</w:t>
            </w:r>
          </w:p>
        </w:tc>
        <w:tc>
          <w:tcPr>
            <w:tcW w:type="dxa" w:w="2434"/>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代码返回类型与节点声明契约不一致</w:t>
              <w:br/>
              <w:t>MEDIUM｜S</w:t>
            </w:r>
          </w:p>
        </w:tc>
        <w:tc>
          <w:tcPr>
            <w:tcW w:type="dxa" w:w="6355"/>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Python return 推断类型与 CODE.outputType 不同；高后果下游提高严重度。</w:t>
            </w:r>
          </w:p>
        </w:tc>
        <w:tc>
          <w:tcPr>
            <w:tcW w:type="dxa" w:w="5663"/>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return {'ok':true}，outputType:'String'。→ CONFIRMED。</w:t>
              <w:br/>
              <w:t>审查：保持：只对 Python 的可解析 return 做推断。</w:t>
            </w:r>
          </w:p>
        </w:tc>
      </w:tr>
    </w:tbl>
    <w:p>
      <w:r>
        <w:br w:type="page"/>
      </w:r>
    </w:p>
    <w:p>
      <w:pPr>
        <w:spacing w:before="200" w:after="80"/>
      </w:pPr>
      <w:r>
        <w:rPr>
          <w:rFonts w:ascii="Microsoft YaHei" w:hAnsi="Microsoft YaHei" w:eastAsia="Microsoft YaHei"/>
          <w:b/>
          <w:color w:val="1F4E79"/>
          <w:sz w:val="28"/>
        </w:rPr>
        <w:t>OUT｜输出、披露与渲染边界</w:t>
      </w:r>
    </w:p>
    <w:p>
      <w:pPr>
        <w:pStyle w:val="CompactNote"/>
        <w:spacing w:after="80"/>
      </w:pPr>
      <w:r>
        <w:rPr>
          <w:rFonts w:ascii="Microsoft YaHei" w:hAnsi="Microsoft YaHei" w:eastAsia="Microsoft YaHei"/>
          <w:sz w:val="17"/>
        </w:rPr>
        <w:t>6 条规则。每一行给出适用前提、报告证据状态与一个最小判定例。</w:t>
      </w:r>
    </w:p>
    <w:tbl>
      <w:tblPr>
        <w:tblStyle w:val="TableGrid"/>
        <w:tblW w:type="dxa" w:w="15624"/>
        <w:jc w:val="left"/>
        <w:tblLayout w:type="fixed"/>
        <w:tblLook w:firstColumn="1" w:firstRow="1" w:lastColumn="0" w:lastRow="0" w:noHBand="0" w:noVBand="1" w:val="04A0"/>
        <w:tblInd w:type="dxa" w:w="80"/>
      </w:tblPr>
      <w:tblGrid>
        <w:gridCol w:w="1172"/>
        <w:gridCol w:w="2434"/>
        <w:gridCol w:w="6355"/>
        <w:gridCol w:w="5663"/>
      </w:tblGrid>
      <w:tr>
        <w:trPr>
          <w:tblHeader w:val="true"/>
        </w:trPr>
        <w:tc>
          <w:tcPr>
            <w:tcW w:type="dxa" w:w="1172"/>
            <w:shd w:fill="1F4E79"/>
            <w:tcMar>
              <w:top w:w="70" w:type="dxa"/>
              <w:start w:w="80" w:type="dxa"/>
              <w:bottom w:w="70" w:type="dxa"/>
              <w:end w:w="80" w:type="dxa"/>
            </w:tcMar>
            <w:vAlign w:val="center"/>
          </w:tcPr>
          <w:p>
            <w:pPr>
              <w:spacing w:after="0" w:line="240" w:lineRule="auto"/>
              <w:jc w:val="left"/>
            </w:pPr>
            <w:r>
              <w:rPr>
                <w:rFonts w:ascii="Microsoft YaHei" w:hAnsi="Microsoft YaHei" w:eastAsia="Microsoft YaHei"/>
                <w:b/>
                <w:color w:val="FFFFFF"/>
                <w:sz w:val="16"/>
              </w:rPr>
              <w:t>ID</w:t>
            </w:r>
          </w:p>
        </w:tc>
        <w:tc>
          <w:tcPr>
            <w:tcW w:type="dxa" w:w="2434"/>
            <w:shd w:fill="1F4E79"/>
            <w:tcMar>
              <w:top w:w="70" w:type="dxa"/>
              <w:start w:w="80" w:type="dxa"/>
              <w:bottom w:w="70" w:type="dxa"/>
              <w:end w:w="80" w:type="dxa"/>
            </w:tcMar>
            <w:vAlign w:val="center"/>
          </w:tcPr>
          <w:p>
            <w:pPr>
              <w:spacing w:after="0" w:line="240" w:lineRule="auto"/>
              <w:jc w:val="left"/>
            </w:pPr>
            <w:r>
              <w:rPr>
                <w:rFonts w:ascii="Microsoft YaHei" w:hAnsi="Microsoft YaHei" w:eastAsia="Microsoft YaHei"/>
                <w:b/>
                <w:color w:val="FFFFFF"/>
                <w:sz w:val="16"/>
              </w:rPr>
              <w:t>规则 / 等级</w:t>
            </w:r>
          </w:p>
        </w:tc>
        <w:tc>
          <w:tcPr>
            <w:tcW w:type="dxa" w:w="6355"/>
            <w:shd w:fill="1F4E79"/>
            <w:tcMar>
              <w:top w:w="70" w:type="dxa"/>
              <w:start w:w="80" w:type="dxa"/>
              <w:bottom w:w="70" w:type="dxa"/>
              <w:end w:w="80" w:type="dxa"/>
            </w:tcMar>
            <w:vAlign w:val="center"/>
          </w:tcPr>
          <w:p>
            <w:pPr>
              <w:spacing w:after="0" w:line="240" w:lineRule="auto"/>
              <w:jc w:val="left"/>
            </w:pPr>
            <w:r>
              <w:rPr>
                <w:rFonts w:ascii="Microsoft YaHei" w:hAnsi="Microsoft YaHei" w:eastAsia="Microsoft YaHei"/>
                <w:b/>
                <w:color w:val="FFFFFF"/>
                <w:sz w:val="16"/>
              </w:rPr>
              <w:t>静态判定逻辑</w:t>
            </w:r>
          </w:p>
        </w:tc>
        <w:tc>
          <w:tcPr>
            <w:tcW w:type="dxa" w:w="5663"/>
            <w:shd w:fill="1F4E79"/>
            <w:tcMar>
              <w:top w:w="70" w:type="dxa"/>
              <w:start w:w="80" w:type="dxa"/>
              <w:bottom w:w="70" w:type="dxa"/>
              <w:end w:w="80" w:type="dxa"/>
            </w:tcMar>
            <w:vAlign w:val="center"/>
          </w:tcPr>
          <w:p>
            <w:pPr>
              <w:spacing w:after="0" w:line="240" w:lineRule="auto"/>
              <w:jc w:val="left"/>
            </w:pPr>
            <w:r>
              <w:rPr>
                <w:rFonts w:ascii="Microsoft YaHei" w:hAnsi="Microsoft YaHei" w:eastAsia="Microsoft YaHei"/>
                <w:b/>
                <w:color w:val="FFFFFF"/>
                <w:sz w:val="16"/>
              </w:rPr>
              <w:t>最小示例与审查结论</w:t>
            </w:r>
          </w:p>
        </w:tc>
      </w:tr>
      <w:tr>
        <w:trPr>
          <w:cantSplit/>
        </w:trPr>
        <w:tc>
          <w:tcPr>
            <w:tcW w:type="dxa" w:w="1172"/>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OUT-001</w:t>
            </w:r>
          </w:p>
        </w:tc>
        <w:tc>
          <w:tcPr>
            <w:tcW w:type="dxa" w:w="2434"/>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最终输出缺少或违反结构化契约</w:t>
              <w:br/>
              <w:t>HIGH｜S</w:t>
            </w:r>
          </w:p>
        </w:tc>
        <w:tc>
          <w:tcPr>
            <w:tcW w:type="dxa" w:w="6355"/>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最终输出没有结构化声明：机器消费/自动决策为风险，人工展示为低等级加固。</w:t>
            </w:r>
          </w:p>
        </w:tc>
        <w:tc>
          <w:tcPr>
            <w:tcW w:type="dxa" w:w="5663"/>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TEMPLATE.outputType:'String' 且 machineConsumed:true。→ PROBABLE/RISK。</w:t>
              <w:br/>
              <w:t>审查：保持：按受众与后果区分。</w:t>
            </w:r>
          </w:p>
        </w:tc>
      </w:tr>
      <w:tr>
        <w:trPr>
          <w:cantSplit/>
        </w:trPr>
        <w:tc>
          <w:tcPr>
            <w:tcW w:type="dxa" w:w="1172"/>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OUT-002</w:t>
            </w:r>
          </w:p>
        </w:tc>
        <w:tc>
          <w:tcPr>
            <w:tcW w:type="dxa" w:w="2434"/>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敏感信息可能通过输出披露</w:t>
              <w:br/>
              <w:t>HIGH｜H</w:t>
            </w:r>
          </w:p>
        </w:tc>
        <w:tc>
          <w:tcPr>
            <w:tcW w:type="dxa" w:w="6355"/>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敏感语义数据有数据路径到最终输出，且输出没有 audience/redaction/masking/accessPolicy。</w:t>
            </w:r>
          </w:p>
        </w:tc>
        <w:tc>
          <w:tcPr>
            <w:tcW w:type="dxa" w:w="5663"/>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HEAD.email → TEMPLATE.result。→ COVERAGE_GAP。</w:t>
              <w:br/>
              <w:t>审查：保持：不能仅由 DSL 断言实际泄露。</w:t>
            </w:r>
          </w:p>
        </w:tc>
      </w:tr>
      <w:tr>
        <w:trPr>
          <w:cantSplit/>
        </w:trPr>
        <w:tc>
          <w:tcPr>
            <w:tcW w:type="dxa" w:w="1172"/>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OUT-003</w:t>
            </w:r>
          </w:p>
        </w:tc>
        <w:tc>
          <w:tcPr>
            <w:tcW w:type="dxa" w:w="2434"/>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中间输出扩大上下文披露面</w:t>
              <w:br/>
              <w:t>MEDIUM｜H</w:t>
            </w:r>
          </w:p>
        </w:tc>
        <w:tc>
          <w:tcPr>
            <w:tcW w:type="dxa" w:w="6355"/>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INTERMEDIATE_OUTPUT 本身是额外披露边界，未导出受众与脱敏策略。</w:t>
            </w:r>
          </w:p>
        </w:tc>
        <w:tc>
          <w:tcPr>
            <w:tcW w:type="dxa" w:w="5663"/>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INTERMEDIATE_OUTPUT(historyMsgStr:'debug')。→ COVERAGE_GAP。</w:t>
              <w:br/>
              <w:t>审查：保持：中间消息默认需确认受众。</w:t>
            </w:r>
          </w:p>
        </w:tc>
      </w:tr>
      <w:tr>
        <w:trPr>
          <w:cantSplit/>
        </w:trPr>
        <w:tc>
          <w:tcPr>
            <w:tcW w:type="dxa" w:w="1172"/>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OUT-004</w:t>
            </w:r>
          </w:p>
        </w:tc>
        <w:tc>
          <w:tcPr>
            <w:tcW w:type="dxa" w:w="2434"/>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富文本或链接输出净化不可验证</w:t>
              <w:br/>
              <w:t>MEDIUM｜H</w:t>
            </w:r>
          </w:p>
        </w:tc>
        <w:tc>
          <w:tcPr>
            <w:tcW w:type="dxa" w:w="6355"/>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输出明确为 HTML/Markdown，或启用 renderAsHtml/renderLinks，却未见渲染净化策略。</w:t>
            </w:r>
          </w:p>
        </w:tc>
        <w:tc>
          <w:tcPr>
            <w:tcW w:type="dxa" w:w="5663"/>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outputFormat:'html'。→ COVERAGE_GAP。</w:t>
              <w:br/>
              <w:t>审查：已优化：isStreamingOutput=true 的纯文本不再触发。</w:t>
            </w:r>
          </w:p>
        </w:tc>
      </w:tr>
      <w:tr>
        <w:trPr>
          <w:cantSplit/>
        </w:trPr>
        <w:tc>
          <w:tcPr>
            <w:tcW w:type="dxa" w:w="1172"/>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OUT-005</w:t>
            </w:r>
          </w:p>
        </w:tc>
        <w:tc>
          <w:tcPr>
            <w:tcW w:type="dxa" w:w="2434"/>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知识型输出缺少来源引用</w:t>
              <w:br/>
              <w:t>MEDIUM｜S</w:t>
            </w:r>
          </w:p>
        </w:tc>
        <w:tc>
          <w:tcPr>
            <w:tcW w:type="dxa" w:w="6355"/>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知识结果可达明确要求引用的输出，但 KB serviceConfig.whetherKnlSource=false。</w:t>
            </w:r>
          </w:p>
        </w:tc>
        <w:tc>
          <w:tcPr>
            <w:tcW w:type="dxa" w:w="5663"/>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KB → TEMPLATE(requiresCitations:true)，来源关闭。→ CONFIRMED。</w:t>
              <w:br/>
              <w:t>审查：保持：没有引用要求时仅 KB-004 加固。</w:t>
            </w:r>
          </w:p>
        </w:tc>
      </w:tr>
      <w:tr>
        <w:trPr>
          <w:cantSplit/>
        </w:trPr>
        <w:tc>
          <w:tcPr>
            <w:tcW w:type="dxa" w:w="1172"/>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OUT-006</w:t>
            </w:r>
          </w:p>
        </w:tc>
        <w:tc>
          <w:tcPr>
            <w:tcW w:type="dxa" w:w="2434"/>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输出字段 Schema 不完整或存在冲突</w:t>
              <w:br/>
              <w:t>MEDIUM｜S</w:t>
            </w:r>
          </w:p>
        </w:tc>
        <w:tc>
          <w:tcPr>
            <w:tcW w:type="dxa" w:w="6355"/>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任意声明 JSON/Object 的产出节点缺少字段、字段名/类型重复或对象嵌套 Schema。</w:t>
            </w:r>
          </w:p>
        </w:tc>
        <w:tc>
          <w:tcPr>
            <w:tcW w:type="dxa" w:w="5663"/>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MODEL.outputType:'Object'，output:[]。→ CONFIRMED。</w:t>
              <w:br/>
              <w:t>审查：已优化：覆盖 MODEL/AGENT/TOOL/CODE，不只最终输出。</w:t>
            </w:r>
          </w:p>
        </w:tc>
      </w:tr>
    </w:tbl>
    <w:p>
      <w:r>
        <w:br w:type="page"/>
      </w:r>
    </w:p>
    <w:p>
      <w:pPr>
        <w:spacing w:before="200" w:after="80"/>
      </w:pPr>
      <w:r>
        <w:rPr>
          <w:rFonts w:ascii="Microsoft YaHei" w:hAnsi="Microsoft YaHei" w:eastAsia="Microsoft YaHei"/>
          <w:b/>
          <w:color w:val="1F4E79"/>
          <w:sz w:val="28"/>
        </w:rPr>
        <w:t>KB｜知识检索、ACL 与来源治理</w:t>
      </w:r>
    </w:p>
    <w:p>
      <w:pPr>
        <w:pStyle w:val="CompactNote"/>
        <w:spacing w:after="80"/>
      </w:pPr>
      <w:r>
        <w:rPr>
          <w:rFonts w:ascii="Microsoft YaHei" w:hAnsi="Microsoft YaHei" w:eastAsia="Microsoft YaHei"/>
          <w:sz w:val="17"/>
        </w:rPr>
        <w:t>6 条规则。每一行给出适用前提、报告证据状态与一个最小判定例。</w:t>
      </w:r>
    </w:p>
    <w:tbl>
      <w:tblPr>
        <w:tblStyle w:val="TableGrid"/>
        <w:tblW w:type="dxa" w:w="15624"/>
        <w:jc w:val="left"/>
        <w:tblLayout w:type="fixed"/>
        <w:tblLook w:firstColumn="1" w:firstRow="1" w:lastColumn="0" w:lastRow="0" w:noHBand="0" w:noVBand="1" w:val="04A0"/>
        <w:tblInd w:type="dxa" w:w="80"/>
      </w:tblPr>
      <w:tblGrid>
        <w:gridCol w:w="1172"/>
        <w:gridCol w:w="2434"/>
        <w:gridCol w:w="6355"/>
        <w:gridCol w:w="5663"/>
      </w:tblGrid>
      <w:tr>
        <w:trPr>
          <w:tblHeader w:val="true"/>
        </w:trPr>
        <w:tc>
          <w:tcPr>
            <w:tcW w:type="dxa" w:w="1172"/>
            <w:shd w:fill="1F4E79"/>
            <w:tcMar>
              <w:top w:w="70" w:type="dxa"/>
              <w:start w:w="80" w:type="dxa"/>
              <w:bottom w:w="70" w:type="dxa"/>
              <w:end w:w="80" w:type="dxa"/>
            </w:tcMar>
            <w:vAlign w:val="center"/>
          </w:tcPr>
          <w:p>
            <w:pPr>
              <w:spacing w:after="0" w:line="240" w:lineRule="auto"/>
              <w:jc w:val="left"/>
            </w:pPr>
            <w:r>
              <w:rPr>
                <w:rFonts w:ascii="Microsoft YaHei" w:hAnsi="Microsoft YaHei" w:eastAsia="Microsoft YaHei"/>
                <w:b/>
                <w:color w:val="FFFFFF"/>
                <w:sz w:val="16"/>
              </w:rPr>
              <w:t>ID</w:t>
            </w:r>
          </w:p>
        </w:tc>
        <w:tc>
          <w:tcPr>
            <w:tcW w:type="dxa" w:w="2434"/>
            <w:shd w:fill="1F4E79"/>
            <w:tcMar>
              <w:top w:w="70" w:type="dxa"/>
              <w:start w:w="80" w:type="dxa"/>
              <w:bottom w:w="70" w:type="dxa"/>
              <w:end w:w="80" w:type="dxa"/>
            </w:tcMar>
            <w:vAlign w:val="center"/>
          </w:tcPr>
          <w:p>
            <w:pPr>
              <w:spacing w:after="0" w:line="240" w:lineRule="auto"/>
              <w:jc w:val="left"/>
            </w:pPr>
            <w:r>
              <w:rPr>
                <w:rFonts w:ascii="Microsoft YaHei" w:hAnsi="Microsoft YaHei" w:eastAsia="Microsoft YaHei"/>
                <w:b/>
                <w:color w:val="FFFFFF"/>
                <w:sz w:val="16"/>
              </w:rPr>
              <w:t>规则 / 等级</w:t>
            </w:r>
          </w:p>
        </w:tc>
        <w:tc>
          <w:tcPr>
            <w:tcW w:type="dxa" w:w="6355"/>
            <w:shd w:fill="1F4E79"/>
            <w:tcMar>
              <w:top w:w="70" w:type="dxa"/>
              <w:start w:w="80" w:type="dxa"/>
              <w:bottom w:w="70" w:type="dxa"/>
              <w:end w:w="80" w:type="dxa"/>
            </w:tcMar>
            <w:vAlign w:val="center"/>
          </w:tcPr>
          <w:p>
            <w:pPr>
              <w:spacing w:after="0" w:line="240" w:lineRule="auto"/>
              <w:jc w:val="left"/>
            </w:pPr>
            <w:r>
              <w:rPr>
                <w:rFonts w:ascii="Microsoft YaHei" w:hAnsi="Microsoft YaHei" w:eastAsia="Microsoft YaHei"/>
                <w:b/>
                <w:color w:val="FFFFFF"/>
                <w:sz w:val="16"/>
              </w:rPr>
              <w:t>静态判定逻辑</w:t>
            </w:r>
          </w:p>
        </w:tc>
        <w:tc>
          <w:tcPr>
            <w:tcW w:type="dxa" w:w="5663"/>
            <w:shd w:fill="1F4E79"/>
            <w:tcMar>
              <w:top w:w="70" w:type="dxa"/>
              <w:start w:w="80" w:type="dxa"/>
              <w:bottom w:w="70" w:type="dxa"/>
              <w:end w:w="80" w:type="dxa"/>
            </w:tcMar>
            <w:vAlign w:val="center"/>
          </w:tcPr>
          <w:p>
            <w:pPr>
              <w:spacing w:after="0" w:line="240" w:lineRule="auto"/>
              <w:jc w:val="left"/>
            </w:pPr>
            <w:r>
              <w:rPr>
                <w:rFonts w:ascii="Microsoft YaHei" w:hAnsi="Microsoft YaHei" w:eastAsia="Microsoft YaHei"/>
                <w:b/>
                <w:color w:val="FFFFFF"/>
                <w:sz w:val="16"/>
              </w:rPr>
              <w:t>最小示例与审查结论</w:t>
            </w:r>
          </w:p>
        </w:tc>
      </w:tr>
      <w:tr>
        <w:trPr>
          <w:cantSplit/>
        </w:trPr>
        <w:tc>
          <w:tcPr>
            <w:tcW w:type="dxa" w:w="1172"/>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KB-001</w:t>
            </w:r>
          </w:p>
        </w:tc>
        <w:tc>
          <w:tcPr>
            <w:tcW w:type="dxa" w:w="2434"/>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知识数据集范围可被动态控制</w:t>
              <w:br/>
              <w:t>HIGH｜S</w:t>
            </w:r>
          </w:p>
        </w:tc>
        <w:tc>
          <w:tcPr>
            <w:tcW w:type="dxa" w:w="6355"/>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knowledgeCode 含 ${...} 或 {{...}}，数据集范围可由表达式控制。</w:t>
            </w:r>
          </w:p>
        </w:tc>
        <w:tc>
          <w:tcPr>
            <w:tcW w:type="dxa" w:w="5663"/>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knowledgeCode:'docs-${tenant}'。→ CONFIRMED/HIGH。</w:t>
              <w:br/>
              <w:t>审查：已优化：不再要求动态表达式位于字符串开头。</w:t>
            </w:r>
          </w:p>
        </w:tc>
      </w:tr>
      <w:tr>
        <w:trPr>
          <w:cantSplit/>
        </w:trPr>
        <w:tc>
          <w:tcPr>
            <w:tcW w:type="dxa" w:w="1172"/>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KB-002</w:t>
            </w:r>
          </w:p>
        </w:tc>
        <w:tc>
          <w:tcPr>
            <w:tcW w:type="dxa" w:w="2434"/>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知识库租户与 ACL 边界不可验证</w:t>
              <w:br/>
              <w:t>HIGH｜M</w:t>
            </w:r>
          </w:p>
        </w:tc>
        <w:tc>
          <w:tcPr>
            <w:tcW w:type="dxa" w:w="6355"/>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动态数据集，或敏感多数据集，没有可从 DSL 验证的租户 ACL/业务过滤。</w:t>
            </w:r>
          </w:p>
        </w:tc>
        <w:tc>
          <w:tcPr>
            <w:tcW w:type="dxa" w:w="5663"/>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knowledgeCode:'docs-${tenant}'，无 ACL 事实。→ COVERAGE_GAP。</w:t>
              <w:br/>
              <w:t>审查：已优化：运行时 ACL 缺失从 PROBABLE 降为覆盖缺口。</w:t>
            </w:r>
          </w:p>
        </w:tc>
      </w:tr>
      <w:tr>
        <w:trPr>
          <w:cantSplit/>
        </w:trPr>
        <w:tc>
          <w:tcPr>
            <w:tcW w:type="dxa" w:w="1172"/>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KB-003</w:t>
            </w:r>
          </w:p>
        </w:tc>
        <w:tc>
          <w:tcPr>
            <w:tcW w:type="dxa" w:w="2434"/>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知识内容进入模型指令边界</w:t>
              <w:br/>
              <w:t>LOW｜H</w:t>
            </w:r>
          </w:p>
        </w:tc>
        <w:tc>
          <w:tcPr>
            <w:tcW w:type="dxa" w:w="6355"/>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知识内容直接绑定 MODEL.prompt，或 Agent 同时绑定知识库与工具；副作用链由 FLOW-005 升级。</w:t>
            </w:r>
          </w:p>
        </w:tc>
        <w:tc>
          <w:tcPr>
            <w:tcW w:type="dxa" w:w="5663"/>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KB.docs → MODEL.prompt。→ OBSERVED/LOW。</w:t>
              <w:br/>
              <w:t>审查：保持：普通 RAG 不是高风险计数。</w:t>
            </w:r>
          </w:p>
        </w:tc>
      </w:tr>
      <w:tr>
        <w:trPr>
          <w:cantSplit/>
        </w:trPr>
        <w:tc>
          <w:tcPr>
            <w:tcW w:type="dxa" w:w="1172"/>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KB-004</w:t>
            </w:r>
          </w:p>
        </w:tc>
        <w:tc>
          <w:tcPr>
            <w:tcW w:type="dxa" w:w="2434"/>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知识来源元数据未随结果传播</w:t>
              <w:br/>
              <w:t>MEDIUM｜S</w:t>
            </w:r>
          </w:p>
        </w:tc>
        <w:tc>
          <w:tcPr>
            <w:tcW w:type="dxa" w:w="6355"/>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知识可达输出，来源传播关闭，但输出没有明确引用要求。</w:t>
            </w:r>
          </w:p>
        </w:tc>
        <w:tc>
          <w:tcPr>
            <w:tcW w:type="dxa" w:w="5663"/>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whetherKnlSource:false，KB → TEMPLATE。→ OBSERVED/HARDENING。</w:t>
              <w:br/>
              <w:t>审查：保持：避免把可选引用当作漏洞。</w:t>
            </w:r>
          </w:p>
        </w:tc>
      </w:tr>
      <w:tr>
        <w:trPr>
          <w:cantSplit/>
        </w:trPr>
        <w:tc>
          <w:tcPr>
            <w:tcW w:type="dxa" w:w="1172"/>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KB-005</w:t>
            </w:r>
          </w:p>
        </w:tc>
        <w:tc>
          <w:tcPr>
            <w:tcW w:type="dxa" w:w="2434"/>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检索数量或相关性阈值不可验证</w:t>
              <w:br/>
              <w:t>MEDIUM｜S</w:t>
            </w:r>
          </w:p>
        </w:tc>
        <w:tc>
          <w:tcPr>
            <w:tcW w:type="dxa" w:w="6355"/>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高后果或敏感知识路径的正数检索量和 0~1 的相关性阈值未完整导出。</w:t>
            </w:r>
          </w:p>
        </w:tc>
        <w:tc>
          <w:tcPr>
            <w:tcW w:type="dxa" w:w="5663"/>
            <w:shd w:fill="F5F9FC"/>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客户 KB → MODEL → POST，recallCount:-1，sortScore:true。→ COVERAGE_GAP。</w:t>
              <w:br/>
              <w:t>审查：已优化：无效数值不再被误认作边界，KB-006 同时确认配置错误。</w:t>
            </w:r>
          </w:p>
        </w:tc>
      </w:tr>
      <w:tr>
        <w:trPr>
          <w:cantSplit/>
        </w:trPr>
        <w:tc>
          <w:tcPr>
            <w:tcW w:type="dxa" w:w="1172"/>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sz w:val="15"/>
              </w:rPr>
              <w:t>KB-006</w:t>
            </w:r>
          </w:p>
        </w:tc>
        <w:tc>
          <w:tcPr>
            <w:tcW w:type="dxa" w:w="2434"/>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知识检索数据集或参数配置无效</w:t>
              <w:br/>
              <w:t>MEDIUM｜S</w:t>
            </w:r>
          </w:p>
        </w:tc>
        <w:tc>
          <w:tcPr>
            <w:tcW w:type="dxa" w:w="6355"/>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没有固定 knowledgeCode，或检索数量非正整数、score 不在 0~1。</w:t>
            </w:r>
          </w:p>
        </w:tc>
        <w:tc>
          <w:tcPr>
            <w:tcW w:type="dxa" w:w="5663"/>
            <w:shd w:fill="FFFFFF"/>
            <w:tcMar>
              <w:top w:w="70" w:type="dxa"/>
              <w:start w:w="80" w:type="dxa"/>
              <w:bottom w:w="70" w:type="dxa"/>
              <w:end w:w="80" w:type="dxa"/>
            </w:tcMar>
            <w:vAlign w:val="top"/>
          </w:tcPr>
          <w:p>
            <w:pPr>
              <w:spacing w:after="0" w:line="240" w:lineRule="auto"/>
              <w:jc w:val="left"/>
            </w:pPr>
            <w:r>
              <w:rPr>
                <w:rFonts w:ascii="Microsoft YaHei" w:hAnsi="Microsoft YaHei" w:eastAsia="Microsoft YaHei"/>
                <w:b w:val="0"/>
                <w:sz w:val="15"/>
              </w:rPr>
              <w:t>reCallNum:'zero' 或 sortScore:1.5。→ CONFIRMED。</w:t>
              <w:br/>
              <w:t>审查：保持：值域错误是确定性 DSL 事实。</w:t>
            </w:r>
          </w:p>
        </w:tc>
      </w:tr>
    </w:tbl>
    <w:p>
      <w:r>
        <w:br w:type="page"/>
      </w:r>
    </w:p>
    <w:p>
      <w:pPr>
        <w:spacing w:before="200" w:after="80"/>
      </w:pPr>
      <w:r>
        <w:rPr>
          <w:rFonts w:ascii="Microsoft YaHei" w:hAnsi="Microsoft YaHei" w:eastAsia="Microsoft YaHei"/>
          <w:b/>
          <w:color w:val="1F4E79"/>
          <w:sz w:val="28"/>
        </w:rPr>
        <w:t>审查结论与使用边界</w:t>
      </w:r>
    </w:p>
    <w:p>
      <w:pPr>
        <w:pStyle w:val="ListBullet"/>
        <w:spacing w:after="40" w:line="240" w:lineRule="auto"/>
      </w:pPr>
      <w:r>
        <w:rPr>
          <w:rFonts w:ascii="Microsoft YaHei" w:hAnsi="Microsoft YaHei" w:eastAsia="Microsoft YaHei"/>
          <w:sz w:val="17"/>
        </w:rPr>
        <w:t>保留 54 条规则 ID 与既有标准映射；本轮优化聚焦判定精度、覆盖范围与证据状态，不改变规则目录的兼容性。</w:t>
      </w:r>
    </w:p>
    <w:p>
      <w:pPr>
        <w:pStyle w:val="ListBullet"/>
        <w:spacing w:after="40" w:line="240" w:lineRule="auto"/>
      </w:pPr>
      <w:r>
        <w:rPr>
          <w:rFonts w:ascii="Microsoft YaHei" w:hAnsi="Microsoft YaHei" w:eastAsia="Microsoft YaHei"/>
          <w:sz w:val="17"/>
        </w:rPr>
        <w:t>扫描报告应将风险、姿态、加固建议和覆盖缺口分列展示；覆盖缺口必须在补足平台运行时证据后才能升级为漏洞结论。</w:t>
      </w:r>
    </w:p>
    <w:p>
      <w:pPr>
        <w:pStyle w:val="ListBullet"/>
        <w:spacing w:after="40" w:line="240" w:lineRule="auto"/>
      </w:pPr>
      <w:r>
        <w:rPr>
          <w:rFonts w:ascii="Microsoft YaHei" w:hAnsi="Microsoft YaHei" w:eastAsia="Microsoft YaHei"/>
          <w:sz w:val="17"/>
        </w:rPr>
        <w:t>高后果工作流建议先修复 CONFIRMED/PROBABLE 链，再补齐 IAM、ACL、渲染器净化、供应链签名和资源预算等 COVERAGE_GAP。</w:t>
      </w:r>
    </w:p>
    <w:sectPr w:rsidR="00FC693F" w:rsidRPr="0006063C" w:rsidSect="00034616">
      <w:headerReference w:type="default" r:id="rId9"/>
      <w:footerReference w:type="default" r:id="rId10"/>
      <w:pgSz w:w="16834" w:h="11909" w:orient="landscape"/>
      <w:pgMar w:top="648" w:right="605" w:bottom="605"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rPr>
      <w:t xml:space="preserve">页码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icrosoft YaHei" w:hAnsi="Microsoft YaHei" w:eastAsia="Microsoft YaHei"/>
        <w:b/>
        <w:color w:val="1F4E79"/>
        <w:sz w:val="16"/>
      </w:rPr>
      <w:t>SKILLGUARD  /  SECURITY RULE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Note">
    <w:name w:val="Compact Note"/>
    <w:rPr>
      <w:rFonts w:ascii="Microsoft YaHei" w:hAnsi="Microsoft YaHei" w:eastAsia="Microsoft YaHe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