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spacing w:after="240"/>
        <w:jc w:val="center"/>
      </w:pPr>
      <w:r>
        <w:rPr>
          <w:rFonts w:ascii="黑体" w:hAnsi="黑体" w:eastAsia="黑体"/>
          <w:b/>
          <w:color w:val="000000"/>
          <w:sz w:val="36"/>
        </w:rPr>
        <w:t>AGENT工作流静态扫描三期灵镜适配特性</w:t>
      </w:r>
    </w:p>
    <w:p>
      <w:pPr>
        <w:pStyle w:val="1"/>
        <w:keepNext/>
        <w:pageBreakBefore w:val="0"/>
        <w:spacing w:before="160" w:after="100"/>
      </w:pPr>
      <w:r>
        <w:rPr>
          <w:rFonts w:ascii="黑体" w:hAnsi="黑体" w:eastAsia="黑体"/>
          <w:b/>
          <w:color w:val="1F4E78"/>
          <w:sz w:val="30"/>
        </w:rPr>
        <w:t>1 特性概述[必需]</w:t>
      </w:r>
    </w:p>
    <w:p>
      <w:pPr>
        <w:spacing w:line="348" w:lineRule="auto" w:after="80"/>
        <w:ind w:firstLine="420"/>
        <w:jc w:val="both"/>
      </w:pPr>
      <w:r>
        <w:rPr>
          <w:rFonts w:ascii="宋体" w:hAnsi="宋体" w:eastAsia="宋体"/>
          <w:sz w:val="21"/>
        </w:rPr>
        <w:t>当前，行内 Agent 应用仍以 Workflow 编排形态为主，开发平台及资产格式逐步多元化。第一期已完成面向 Dify 平台、采用 YML（YAML）DSL 的工作流静态安全扫描能力；第二期进一步适配行内自研 AI 智能工厂、采用 JSON DSL 的工作流，形成针对两类工作流文件的解析及安全库匹配能力。现阶段两类能力已具备独立扫描基础，但仍缺少面向行内用户的统一服务入口和平台化使用方式。</w:t>
      </w:r>
    </w:p>
    <w:p>
      <w:pPr>
        <w:spacing w:line="348" w:lineRule="auto" w:after="80"/>
        <w:ind w:firstLine="420"/>
        <w:jc w:val="both"/>
      </w:pPr>
      <w:r>
        <w:rPr>
          <w:rFonts w:ascii="宋体" w:hAnsi="宋体" w:eastAsia="宋体"/>
          <w:sz w:val="21"/>
        </w:rPr>
        <w:t>本期特性聚焦既有 AGENT 工作流静态扫描能力向灵镜平台的适配接入。相较一期、二期，本期不重新建设底层扫描规则，而是将原有工具能力封装为灵镜内可访问的服务，承接一事通身份鉴权、文件上传、扫描任务触发、结果查询、报告预览和文件下载，使既有静态检测能力具备统一入口、统一流程和统一结果展示。</w:t>
      </w:r>
    </w:p>
    <w:p>
      <w:pPr>
        <w:spacing w:line="348" w:lineRule="auto" w:after="80"/>
        <w:ind w:firstLine="420"/>
        <w:jc w:val="both"/>
      </w:pPr>
      <w:r>
        <w:rPr>
          <w:rFonts w:ascii="宋体" w:hAnsi="宋体" w:eastAsia="宋体"/>
          <w:sz w:val="21"/>
        </w:rPr>
        <w:t>在业务流程上，用户上传工作流文件后，系统首先判断文件类型；JSON 文件进入 JSON 安全库匹配流程，YML 文件进入 YML 安全库匹配流程。匹配完成后，系统按照统一模板生成扫描报告，并完成文件及报告存储、任务埋点、报告预览和文件下载，形成面向灵镜平台的完整静态扫描服务链路。</w:t>
      </w:r>
    </w:p>
    <w:p>
      <w:pPr>
        <w:spacing w:line="348" w:lineRule="auto" w:after="80"/>
        <w:ind w:firstLine="420"/>
        <w:jc w:val="both"/>
      </w:pPr>
      <w:r>
        <w:rPr>
          <w:rFonts w:ascii="宋体" w:hAnsi="宋体" w:eastAsia="宋体"/>
          <w:sz w:val="21"/>
        </w:rPr>
        <w:t>本期仅完成静态扫描能力的灵镜适配。整体设计保留资产适配和服务接口扩展能力，为后续接入其他工作流 DSL，以及 Python、Java 等语言开发的高码 Agent 提供基础。</w:t>
      </w:r>
    </w:p>
    <w:p>
      <w:pPr>
        <w:spacing w:before="60" w:after="120" w:line="324" w:lineRule="auto"/>
      </w:pPr>
      <w:r>
        <w:rPr>
          <w:rFonts w:ascii="宋体" w:hAnsi="宋体" w:eastAsia="宋体"/>
          <w:b/>
          <w:color w:val="1F4E78"/>
          <w:sz w:val="21"/>
        </w:rPr>
        <w:t>本期范围：</w:t>
      </w:r>
      <w:r>
        <w:rPr>
          <w:rFonts w:ascii="宋体" w:hAnsi="宋体" w:eastAsia="宋体"/>
          <w:sz w:val="21"/>
        </w:rPr>
        <w:t>静态能力迁移与灵镜适配，包括 JSON/YML 类型分流、安全库匹配、模板报告生成以及报告预览下载，不包含动态扫描。</w:t>
      </w:r>
    </w:p>
    <w:p>
      <w:pPr>
        <w:pStyle w:val="1"/>
        <w:keepNext/>
        <w:pageBreakBefore/>
        <w:spacing w:before="160" w:after="100"/>
      </w:pPr>
      <w:r>
        <w:rPr>
          <w:rFonts w:ascii="黑体" w:hAnsi="黑体" w:eastAsia="黑体"/>
          <w:b/>
          <w:color w:val="1F4E78"/>
          <w:sz w:val="30"/>
        </w:rPr>
        <w:t>2 关联专题衡量指标[按需]</w:t>
      </w:r>
    </w:p>
    <w:p>
      <w:pPr>
        <w:spacing w:line="348" w:lineRule="auto" w:after="80"/>
        <w:jc w:val="both"/>
      </w:pPr>
      <w:r>
        <w:rPr>
          <w:rFonts w:ascii="宋体" w:hAnsi="宋体" w:eastAsia="宋体"/>
          <w:sz w:val="21"/>
        </w:rPr>
        <w:t>本期可围绕平台接入、格式分流、结果一致性和报告交付设置衡量维度，具体量化目标结合灵镜联调和验收要求确认。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9"/>
        <w:gridCol w:w="2769"/>
        <w:gridCol w:w="2769"/>
      </w:tblGrid>
      <w:tr>
        <w:trPr>
          <w:tblHeader w:val="true"/>
          <w:cantSplit/>
        </w:trPr>
        <w:tc>
          <w:tcPr>
            <w:tcW w:type="dxa" w:w="1531"/>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衡量维度</w:t>
            </w:r>
          </w:p>
        </w:tc>
        <w:tc>
          <w:tcPr>
            <w:tcW w:type="dxa" w:w="3458"/>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指标说明</w:t>
            </w:r>
          </w:p>
        </w:tc>
        <w:tc>
          <w:tcPr>
            <w:tcW w:type="dxa" w:w="3288"/>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建议判定方式</w:t>
            </w:r>
          </w:p>
        </w:tc>
      </w:tr>
      <w:tr>
        <w:trPr>
          <w:cantSplit/>
        </w:trPr>
        <w:tc>
          <w:tcPr>
            <w:tcW w:type="dxa" w:w="1531"/>
            <w:vAlign w:val="center"/>
            <w:tcMar>
              <w:top w:w="90" w:type="dxa"/>
              <w:start w:w="110" w:type="dxa"/>
              <w:bottom w:w="90" w:type="dxa"/>
              <w:end w:w="110" w:type="dxa"/>
            </w:tcMar>
          </w:tcPr>
          <w:p>
            <w:pPr>
              <w:spacing w:after="0" w:line="288" w:lineRule="auto"/>
              <w:jc w:val="center"/>
            </w:pPr>
            <w:r>
              <w:rPr>
                <w:rFonts w:ascii="宋体" w:hAnsi="宋体" w:eastAsia="宋体"/>
                <w:sz w:val="18"/>
              </w:rPr>
              <w:t>平台接入</w:t>
            </w:r>
          </w:p>
        </w:tc>
        <w:tc>
          <w:tcPr>
            <w:tcW w:type="dxa" w:w="3458"/>
            <w:vAlign w:val="center"/>
            <w:tcMar>
              <w:top w:w="90" w:type="dxa"/>
              <w:start w:w="110" w:type="dxa"/>
              <w:bottom w:w="90" w:type="dxa"/>
              <w:end w:w="110" w:type="dxa"/>
            </w:tcMar>
          </w:tcPr>
          <w:p>
            <w:pPr>
              <w:spacing w:after="0" w:line="288" w:lineRule="auto"/>
              <w:jc w:val="left"/>
            </w:pPr>
            <w:r>
              <w:rPr>
                <w:rFonts w:ascii="宋体" w:hAnsi="宋体" w:eastAsia="宋体"/>
                <w:sz w:val="18"/>
              </w:rPr>
              <w:t>既有工作流静态扫描能力能够通过灵镜统一入口使用。</w:t>
            </w:r>
          </w:p>
        </w:tc>
        <w:tc>
          <w:tcPr>
            <w:tcW w:type="dxa" w:w="3288"/>
            <w:vAlign w:val="center"/>
            <w:tcMar>
              <w:top w:w="90" w:type="dxa"/>
              <w:start w:w="110" w:type="dxa"/>
              <w:bottom w:w="90" w:type="dxa"/>
              <w:end w:w="110" w:type="dxa"/>
            </w:tcMar>
          </w:tcPr>
          <w:p>
            <w:pPr>
              <w:spacing w:after="0" w:line="288" w:lineRule="auto"/>
              <w:jc w:val="left"/>
            </w:pPr>
            <w:r>
              <w:rPr>
                <w:rFonts w:ascii="宋体" w:hAnsi="宋体" w:eastAsia="宋体"/>
                <w:sz w:val="18"/>
              </w:rPr>
              <w:t>菜单、鉴权、上传、扫描和报告访问链路全部可用。</w:t>
            </w:r>
          </w:p>
        </w:tc>
      </w:tr>
      <w:tr>
        <w:trPr>
          <w:cantSplit/>
        </w:trPr>
        <w:tc>
          <w:tcPr>
            <w:tcW w:type="dxa" w:w="1531"/>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格式分流</w:t>
            </w:r>
          </w:p>
        </w:tc>
        <w:tc>
          <w:tcPr>
            <w:tcW w:type="dxa" w:w="3458"/>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能够正确判断 JSON/YML 文件并路由至相应安全库。</w:t>
            </w:r>
          </w:p>
        </w:tc>
        <w:tc>
          <w:tcPr>
            <w:tcW w:type="dxa" w:w="3288"/>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两类样例均进入正确分支；异常文件提示明确。</w:t>
            </w:r>
          </w:p>
        </w:tc>
      </w:tr>
      <w:tr>
        <w:trPr>
          <w:cantSplit/>
        </w:trPr>
        <w:tc>
          <w:tcPr>
            <w:tcW w:type="dxa" w:w="1531"/>
            <w:vAlign w:val="center"/>
            <w:tcMar>
              <w:top w:w="90" w:type="dxa"/>
              <w:start w:w="110" w:type="dxa"/>
              <w:bottom w:w="90" w:type="dxa"/>
              <w:end w:w="110" w:type="dxa"/>
            </w:tcMar>
          </w:tcPr>
          <w:p>
            <w:pPr>
              <w:spacing w:after="0" w:line="288" w:lineRule="auto"/>
              <w:jc w:val="center"/>
            </w:pPr>
            <w:r>
              <w:rPr>
                <w:rFonts w:ascii="宋体" w:hAnsi="宋体" w:eastAsia="宋体"/>
                <w:sz w:val="18"/>
              </w:rPr>
              <w:t>结果一致性</w:t>
            </w:r>
          </w:p>
        </w:tc>
        <w:tc>
          <w:tcPr>
            <w:tcW w:type="dxa" w:w="3458"/>
            <w:vAlign w:val="center"/>
            <w:tcMar>
              <w:top w:w="90" w:type="dxa"/>
              <w:start w:w="110" w:type="dxa"/>
              <w:bottom w:w="90" w:type="dxa"/>
              <w:end w:w="110" w:type="dxa"/>
            </w:tcMar>
          </w:tcPr>
          <w:p>
            <w:pPr>
              <w:spacing w:after="0" w:line="288" w:lineRule="auto"/>
              <w:jc w:val="left"/>
            </w:pPr>
            <w:r>
              <w:rPr>
                <w:rFonts w:ascii="宋体" w:hAnsi="宋体" w:eastAsia="宋体"/>
                <w:sz w:val="18"/>
              </w:rPr>
              <w:t>灵镜服务化调用与原扫描能力的核心风险结果保持一致。</w:t>
            </w:r>
          </w:p>
        </w:tc>
        <w:tc>
          <w:tcPr>
            <w:tcW w:type="dxa" w:w="3288"/>
            <w:vAlign w:val="center"/>
            <w:tcMar>
              <w:top w:w="90" w:type="dxa"/>
              <w:start w:w="110" w:type="dxa"/>
              <w:bottom w:w="90" w:type="dxa"/>
              <w:end w:w="110" w:type="dxa"/>
            </w:tcMar>
          </w:tcPr>
          <w:p>
            <w:pPr>
              <w:spacing w:after="0" w:line="288" w:lineRule="auto"/>
              <w:jc w:val="left"/>
            </w:pPr>
            <w:r>
              <w:rPr>
                <w:rFonts w:ascii="宋体" w:hAnsi="宋体" w:eastAsia="宋体"/>
                <w:sz w:val="18"/>
              </w:rPr>
              <w:t>问题数量、等级、规则编号和证据位置可核对。</w:t>
            </w:r>
          </w:p>
        </w:tc>
      </w:tr>
      <w:tr>
        <w:trPr>
          <w:cantSplit/>
        </w:trPr>
        <w:tc>
          <w:tcPr>
            <w:tcW w:type="dxa" w:w="1531"/>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报告交付</w:t>
            </w:r>
          </w:p>
        </w:tc>
        <w:tc>
          <w:tcPr>
            <w:tcW w:type="dxa" w:w="3458"/>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匹配结果能够按统一模板生成并完成预览、下载和存储。</w:t>
            </w:r>
          </w:p>
        </w:tc>
        <w:tc>
          <w:tcPr>
            <w:tcW w:type="dxa" w:w="3288"/>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报告内容完整，预览与下载结果一致。</w:t>
            </w:r>
          </w:p>
        </w:tc>
      </w:tr>
      <w:tr>
        <w:trPr>
          <w:cantSplit/>
        </w:trPr>
        <w:tc>
          <w:tcPr>
            <w:tcW w:type="dxa" w:w="1531"/>
            <w:vAlign w:val="center"/>
            <w:tcMar>
              <w:top w:w="90" w:type="dxa"/>
              <w:start w:w="110" w:type="dxa"/>
              <w:bottom w:w="90" w:type="dxa"/>
              <w:end w:w="110" w:type="dxa"/>
            </w:tcMar>
          </w:tcPr>
          <w:p>
            <w:pPr>
              <w:spacing w:after="0" w:line="288" w:lineRule="auto"/>
              <w:jc w:val="center"/>
            </w:pPr>
            <w:r>
              <w:rPr>
                <w:rFonts w:ascii="宋体" w:hAnsi="宋体" w:eastAsia="宋体"/>
                <w:sz w:val="18"/>
              </w:rPr>
              <w:t>任务追踪</w:t>
            </w:r>
          </w:p>
        </w:tc>
        <w:tc>
          <w:tcPr>
            <w:tcW w:type="dxa" w:w="3458"/>
            <w:vAlign w:val="center"/>
            <w:tcMar>
              <w:top w:w="90" w:type="dxa"/>
              <w:start w:w="110" w:type="dxa"/>
              <w:bottom w:w="90" w:type="dxa"/>
              <w:end w:w="110" w:type="dxa"/>
            </w:tcMar>
          </w:tcPr>
          <w:p>
            <w:pPr>
              <w:spacing w:after="0" w:line="288" w:lineRule="auto"/>
              <w:jc w:val="left"/>
            </w:pPr>
            <w:r>
              <w:rPr>
                <w:rFonts w:ascii="宋体" w:hAnsi="宋体" w:eastAsia="宋体"/>
                <w:sz w:val="18"/>
              </w:rPr>
              <w:t>上传文件、扫描任务、报告文件及埋点信息形成关联。</w:t>
            </w:r>
          </w:p>
        </w:tc>
        <w:tc>
          <w:tcPr>
            <w:tcW w:type="dxa" w:w="3288"/>
            <w:vAlign w:val="center"/>
            <w:tcMar>
              <w:top w:w="90" w:type="dxa"/>
              <w:start w:w="110" w:type="dxa"/>
              <w:bottom w:w="90" w:type="dxa"/>
              <w:end w:w="110" w:type="dxa"/>
            </w:tcMar>
          </w:tcPr>
          <w:p>
            <w:pPr>
              <w:spacing w:after="0" w:line="288" w:lineRule="auto"/>
              <w:jc w:val="left"/>
            </w:pPr>
            <w:r>
              <w:rPr>
                <w:rFonts w:ascii="宋体" w:hAnsi="宋体" w:eastAsia="宋体"/>
                <w:sz w:val="18"/>
              </w:rPr>
              <w:t>能够按任务编号查询完整处理记录。</w:t>
            </w:r>
          </w:p>
        </w:tc>
      </w:tr>
    </w:tbl>
    <w:p>
      <w:pPr>
        <w:spacing w:after="20"/>
      </w:pPr>
    </w:p>
    <w:p>
      <w:pPr>
        <w:pStyle w:val="1"/>
        <w:keepNext/>
        <w:pageBreakBefore/>
        <w:spacing w:before="160" w:after="100"/>
      </w:pPr>
      <w:r>
        <w:rPr>
          <w:rFonts w:ascii="黑体" w:hAnsi="黑体" w:eastAsia="黑体"/>
          <w:b/>
          <w:color w:val="1F4E78"/>
          <w:sz w:val="30"/>
        </w:rPr>
        <w:t>3 特性全景</w:t>
      </w:r>
    </w:p>
    <w:p>
      <w:pPr>
        <w:pStyle w:val="2"/>
        <w:keepNext/>
        <w:pageBreakBefore w:val="0"/>
        <w:spacing w:before="100" w:after="100"/>
      </w:pPr>
      <w:r>
        <w:rPr>
          <w:rFonts w:ascii="黑体" w:hAnsi="黑体" w:eastAsia="黑体"/>
          <w:b/>
          <w:color w:val="1F4E78"/>
          <w:sz w:val="26"/>
        </w:rPr>
        <w:t>3.1 特性全景描述[必需]</w:t>
      </w:r>
    </w:p>
    <w:p>
      <w:pPr>
        <w:spacing w:line="348" w:lineRule="auto" w:after="80"/>
        <w:ind w:firstLine="420"/>
        <w:jc w:val="both"/>
      </w:pPr>
      <w:r>
        <w:rPr>
          <w:rFonts w:ascii="宋体" w:hAnsi="宋体" w:eastAsia="宋体"/>
          <w:sz w:val="21"/>
        </w:rPr>
        <w:t>三期整体能力由灵镜平台接入、文件处理与格式分流、静态安全库匹配、报告生成与结果交付四个部分构成。平台接入负责菜单、身份与服务调用；文件处理负责上传、校验、类型判断和任务记录；静态扫描根据 JSON/YML 分支复用既有安全库；结果服务按照统一模板生成报告，并提供存储、埋点、预览和下载能力。</w:t>
      </w:r>
    </w:p>
    <w:p>
      <w:pPr>
        <w:keepNext/>
        <w:spacing w:before="80" w:after="40"/>
        <w:jc w:val="center"/>
      </w:pPr>
      <w:r>
        <w:drawing>
          <wp:inline xmlns:a="http://schemas.openxmlformats.org/drawingml/2006/main" xmlns:pic="http://schemas.openxmlformats.org/drawingml/2006/picture">
            <wp:extent cx="5184000" cy="2564716"/>
            <wp:docPr id="1" name="Picture 1"/>
            <wp:cNvGraphicFramePr>
              <a:graphicFrameLocks noChangeAspect="1"/>
            </wp:cNvGraphicFramePr>
            <a:graphic>
              <a:graphicData uri="http://schemas.openxmlformats.org/drawingml/2006/picture">
                <pic:pic>
                  <pic:nvPicPr>
                    <pic:cNvPr id="0" name="phase3_capability_arch_v2.png"/>
                    <pic:cNvPicPr/>
                  </pic:nvPicPr>
                  <pic:blipFill>
                    <a:blip r:embed="rId6"/>
                    <a:stretch>
                      <a:fillRect/>
                    </a:stretch>
                  </pic:blipFill>
                  <pic:spPr>
                    <a:xfrm>
                      <a:off x="0" y="0"/>
                      <a:ext cx="5184000" cy="2564716"/>
                    </a:xfrm>
                    <a:prstGeom prst="rect"/>
                  </pic:spPr>
                </pic:pic>
              </a:graphicData>
            </a:graphic>
          </wp:inline>
        </w:drawing>
      </w:r>
    </w:p>
    <w:p>
      <w:pPr>
        <w:keepNext/>
        <w:spacing w:after="120"/>
        <w:jc w:val="center"/>
      </w:pPr>
      <w:r>
        <w:rPr>
          <w:rFonts w:ascii="宋体" w:hAnsi="宋体" w:eastAsia="宋体"/>
          <w:color w:val="404040"/>
          <w:sz w:val="18"/>
        </w:rPr>
        <w:t>图3.1  三期灵镜适配能力分层图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9"/>
        <w:gridCol w:w="2769"/>
        <w:gridCol w:w="2769"/>
      </w:tblGrid>
      <w:tr>
        <w:trPr>
          <w:tblHeader w:val="true"/>
          <w:cantSplit/>
        </w:trPr>
        <w:tc>
          <w:tcPr>
            <w:tcW w:type="dxa" w:w="624"/>
            <w:shd w:fill="1F4E78"/>
            <w:vAlign w:val="center"/>
            <w:tcMar>
              <w:top w:w="90" w:type="dxa"/>
              <w:start w:w="110" w:type="dxa"/>
              <w:bottom w:w="90" w:type="dxa"/>
              <w:end w:w="110" w:type="dxa"/>
            </w:tcMar>
          </w:tcPr>
          <w:p>
            <w:pPr>
              <w:spacing w:after="0"/>
              <w:jc w:val="center"/>
            </w:pPr>
            <w:r>
              <w:rPr>
                <w:rFonts w:ascii="黑体" w:hAnsi="黑体" w:eastAsia="黑体"/>
                <w:b/>
                <w:color w:val="FFFFFF"/>
                <w:sz w:val="17"/>
              </w:rPr>
              <w:t>序号</w:t>
            </w:r>
          </w:p>
        </w:tc>
        <w:tc>
          <w:tcPr>
            <w:tcW w:type="dxa" w:w="2268"/>
            <w:shd w:fill="1F4E78"/>
            <w:vAlign w:val="center"/>
            <w:tcMar>
              <w:top w:w="90" w:type="dxa"/>
              <w:start w:w="110" w:type="dxa"/>
              <w:bottom w:w="90" w:type="dxa"/>
              <w:end w:w="110" w:type="dxa"/>
            </w:tcMar>
          </w:tcPr>
          <w:p>
            <w:pPr>
              <w:spacing w:after="0"/>
              <w:jc w:val="center"/>
            </w:pPr>
            <w:r>
              <w:rPr>
                <w:rFonts w:ascii="黑体" w:hAnsi="黑体" w:eastAsia="黑体"/>
                <w:b/>
                <w:color w:val="FFFFFF"/>
                <w:sz w:val="17"/>
              </w:rPr>
              <w:t>分类</w:t>
            </w:r>
          </w:p>
        </w:tc>
        <w:tc>
          <w:tcPr>
            <w:tcW w:type="dxa" w:w="5386"/>
            <w:shd w:fill="1F4E78"/>
            <w:vAlign w:val="center"/>
            <w:tcMar>
              <w:top w:w="90" w:type="dxa"/>
              <w:start w:w="110" w:type="dxa"/>
              <w:bottom w:w="90" w:type="dxa"/>
              <w:end w:w="110" w:type="dxa"/>
            </w:tcMar>
          </w:tcPr>
          <w:p>
            <w:pPr>
              <w:spacing w:after="0"/>
              <w:jc w:val="center"/>
            </w:pPr>
            <w:r>
              <w:rPr>
                <w:rFonts w:ascii="黑体" w:hAnsi="黑体" w:eastAsia="黑体"/>
                <w:b/>
                <w:color w:val="FFFFFF"/>
                <w:sz w:val="17"/>
              </w:rPr>
              <w:t>功能简述</w:t>
            </w:r>
          </w:p>
        </w:tc>
      </w:tr>
      <w:tr>
        <w:trPr>
          <w:cantSplit/>
        </w:trPr>
        <w:tc>
          <w:tcPr>
            <w:tcW w:type="dxa" w:w="624"/>
            <w:vAlign w:val="center"/>
            <w:tcMar>
              <w:top w:w="90" w:type="dxa"/>
              <w:start w:w="110" w:type="dxa"/>
              <w:bottom w:w="90" w:type="dxa"/>
              <w:end w:w="110" w:type="dxa"/>
            </w:tcMar>
          </w:tcPr>
          <w:p>
            <w:pPr>
              <w:spacing w:after="0" w:line="288" w:lineRule="auto"/>
              <w:jc w:val="center"/>
            </w:pPr>
            <w:r>
              <w:rPr>
                <w:rFonts w:ascii="宋体" w:hAnsi="宋体" w:eastAsia="宋体"/>
                <w:sz w:val="17"/>
              </w:rPr>
              <w:t>1</w:t>
            </w:r>
          </w:p>
        </w:tc>
        <w:tc>
          <w:tcPr>
            <w:tcW w:type="dxa" w:w="2268"/>
            <w:vAlign w:val="center"/>
            <w:tcMar>
              <w:top w:w="90" w:type="dxa"/>
              <w:start w:w="110" w:type="dxa"/>
              <w:bottom w:w="90" w:type="dxa"/>
              <w:end w:w="110" w:type="dxa"/>
            </w:tcMar>
          </w:tcPr>
          <w:p>
            <w:pPr>
              <w:spacing w:after="0" w:line="288" w:lineRule="auto"/>
              <w:jc w:val="left"/>
            </w:pPr>
            <w:r>
              <w:rPr>
                <w:rFonts w:ascii="宋体" w:hAnsi="宋体" w:eastAsia="宋体"/>
                <w:sz w:val="17"/>
              </w:rPr>
              <w:t>门户服务化接入</w:t>
            </w:r>
          </w:p>
        </w:tc>
        <w:tc>
          <w:tcPr>
            <w:tcW w:type="dxa" w:w="5386"/>
            <w:vAlign w:val="center"/>
            <w:tcMar>
              <w:top w:w="90" w:type="dxa"/>
              <w:start w:w="110" w:type="dxa"/>
              <w:bottom w:w="90" w:type="dxa"/>
              <w:end w:w="110" w:type="dxa"/>
            </w:tcMar>
          </w:tcPr>
          <w:p>
            <w:pPr>
              <w:spacing w:after="0" w:line="288" w:lineRule="auto"/>
              <w:jc w:val="left"/>
            </w:pPr>
            <w:r>
              <w:rPr>
                <w:rFonts w:ascii="宋体" w:hAnsi="宋体" w:eastAsia="宋体"/>
                <w:sz w:val="17"/>
              </w:rPr>
              <w:t>将既有静态扫描能力封装为灵镜内页面化服务，并统一上传、扫描、状态及报告接口。</w:t>
            </w:r>
          </w:p>
        </w:tc>
      </w:tr>
      <w:tr>
        <w:trPr>
          <w:cantSplit/>
        </w:trPr>
        <w:tc>
          <w:tcPr>
            <w:tcW w:type="dxa" w:w="624"/>
            <w:shd w:fill="F8FBFD"/>
            <w:vAlign w:val="center"/>
            <w:tcMar>
              <w:top w:w="90" w:type="dxa"/>
              <w:start w:w="110" w:type="dxa"/>
              <w:bottom w:w="90" w:type="dxa"/>
              <w:end w:w="110" w:type="dxa"/>
            </w:tcMar>
          </w:tcPr>
          <w:p>
            <w:pPr>
              <w:spacing w:after="0" w:line="288" w:lineRule="auto"/>
              <w:jc w:val="center"/>
            </w:pPr>
            <w:r>
              <w:rPr>
                <w:rFonts w:ascii="宋体" w:hAnsi="宋体" w:eastAsia="宋体"/>
                <w:sz w:val="17"/>
              </w:rPr>
              <w:t>2</w:t>
            </w:r>
          </w:p>
        </w:tc>
        <w:tc>
          <w:tcPr>
            <w:tcW w:type="dxa" w:w="2268"/>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灵镜平台嵌入</w:t>
            </w:r>
          </w:p>
        </w:tc>
        <w:tc>
          <w:tcPr>
            <w:tcW w:type="dxa" w:w="5386"/>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适配灵镜菜单、页面路由、布局及部署运行环境。</w:t>
            </w:r>
          </w:p>
        </w:tc>
      </w:tr>
      <w:tr>
        <w:trPr>
          <w:cantSplit/>
        </w:trPr>
        <w:tc>
          <w:tcPr>
            <w:tcW w:type="dxa" w:w="624"/>
            <w:vAlign w:val="center"/>
            <w:tcMar>
              <w:top w:w="90" w:type="dxa"/>
              <w:start w:w="110" w:type="dxa"/>
              <w:bottom w:w="90" w:type="dxa"/>
              <w:end w:w="110" w:type="dxa"/>
            </w:tcMar>
          </w:tcPr>
          <w:p>
            <w:pPr>
              <w:spacing w:after="0" w:line="288" w:lineRule="auto"/>
              <w:jc w:val="center"/>
            </w:pPr>
            <w:r>
              <w:rPr>
                <w:rFonts w:ascii="宋体" w:hAnsi="宋体" w:eastAsia="宋体"/>
                <w:sz w:val="17"/>
              </w:rPr>
              <w:t>3</w:t>
            </w:r>
          </w:p>
        </w:tc>
        <w:tc>
          <w:tcPr>
            <w:tcW w:type="dxa" w:w="2268"/>
            <w:vAlign w:val="center"/>
            <w:tcMar>
              <w:top w:w="90" w:type="dxa"/>
              <w:start w:w="110" w:type="dxa"/>
              <w:bottom w:w="90" w:type="dxa"/>
              <w:end w:w="110" w:type="dxa"/>
            </w:tcMar>
          </w:tcPr>
          <w:p>
            <w:pPr>
              <w:spacing w:after="0" w:line="288" w:lineRule="auto"/>
              <w:jc w:val="left"/>
            </w:pPr>
            <w:r>
              <w:rPr>
                <w:rFonts w:ascii="宋体" w:hAnsi="宋体" w:eastAsia="宋体"/>
                <w:sz w:val="17"/>
              </w:rPr>
              <w:t>一事通身份承接</w:t>
            </w:r>
          </w:p>
        </w:tc>
        <w:tc>
          <w:tcPr>
            <w:tcW w:type="dxa" w:w="5386"/>
            <w:vAlign w:val="center"/>
            <w:tcMar>
              <w:top w:w="90" w:type="dxa"/>
              <w:start w:w="110" w:type="dxa"/>
              <w:bottom w:w="90" w:type="dxa"/>
              <w:end w:w="110" w:type="dxa"/>
            </w:tcMar>
          </w:tcPr>
          <w:p>
            <w:pPr>
              <w:spacing w:after="0" w:line="288" w:lineRule="auto"/>
              <w:jc w:val="left"/>
            </w:pPr>
            <w:r>
              <w:rPr>
                <w:rFonts w:ascii="宋体" w:hAnsi="宋体" w:eastAsia="宋体"/>
                <w:sz w:val="17"/>
              </w:rPr>
              <w:t>复用平台登录状态及权限信息，控制扫描和报告访问。</w:t>
            </w:r>
          </w:p>
        </w:tc>
      </w:tr>
      <w:tr>
        <w:trPr>
          <w:cantSplit/>
        </w:trPr>
        <w:tc>
          <w:tcPr>
            <w:tcW w:type="dxa" w:w="624"/>
            <w:shd w:fill="F8FBFD"/>
            <w:vAlign w:val="center"/>
            <w:tcMar>
              <w:top w:w="90" w:type="dxa"/>
              <w:start w:w="110" w:type="dxa"/>
              <w:bottom w:w="90" w:type="dxa"/>
              <w:end w:w="110" w:type="dxa"/>
            </w:tcMar>
          </w:tcPr>
          <w:p>
            <w:pPr>
              <w:spacing w:after="0" w:line="288" w:lineRule="auto"/>
              <w:jc w:val="center"/>
            </w:pPr>
            <w:r>
              <w:rPr>
                <w:rFonts w:ascii="宋体" w:hAnsi="宋体" w:eastAsia="宋体"/>
                <w:sz w:val="17"/>
              </w:rPr>
              <w:t>4</w:t>
            </w:r>
          </w:p>
        </w:tc>
        <w:tc>
          <w:tcPr>
            <w:tcW w:type="dxa" w:w="2268"/>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文件上传与校验</w:t>
            </w:r>
          </w:p>
        </w:tc>
        <w:tc>
          <w:tcPr>
            <w:tcW w:type="dxa" w:w="5386"/>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接收工作流文件并执行文件类型、大小、名称和路径校验。</w:t>
            </w:r>
          </w:p>
        </w:tc>
      </w:tr>
      <w:tr>
        <w:trPr>
          <w:cantSplit/>
        </w:trPr>
        <w:tc>
          <w:tcPr>
            <w:tcW w:type="dxa" w:w="624"/>
            <w:vAlign w:val="center"/>
            <w:tcMar>
              <w:top w:w="90" w:type="dxa"/>
              <w:start w:w="110" w:type="dxa"/>
              <w:bottom w:w="90" w:type="dxa"/>
              <w:end w:w="110" w:type="dxa"/>
            </w:tcMar>
          </w:tcPr>
          <w:p>
            <w:pPr>
              <w:spacing w:after="0" w:line="288" w:lineRule="auto"/>
              <w:jc w:val="center"/>
            </w:pPr>
            <w:r>
              <w:rPr>
                <w:rFonts w:ascii="宋体" w:hAnsi="宋体" w:eastAsia="宋体"/>
                <w:sz w:val="17"/>
              </w:rPr>
              <w:t>5</w:t>
            </w:r>
          </w:p>
        </w:tc>
        <w:tc>
          <w:tcPr>
            <w:tcW w:type="dxa" w:w="2268"/>
            <w:vAlign w:val="center"/>
            <w:tcMar>
              <w:top w:w="90" w:type="dxa"/>
              <w:start w:w="110" w:type="dxa"/>
              <w:bottom w:w="90" w:type="dxa"/>
              <w:end w:w="110" w:type="dxa"/>
            </w:tcMar>
          </w:tcPr>
          <w:p>
            <w:pPr>
              <w:spacing w:after="0" w:line="288" w:lineRule="auto"/>
              <w:jc w:val="left"/>
            </w:pPr>
            <w:r>
              <w:rPr>
                <w:rFonts w:ascii="宋体" w:hAnsi="宋体" w:eastAsia="宋体"/>
                <w:sz w:val="17"/>
              </w:rPr>
              <w:t>文件类型判断</w:t>
            </w:r>
          </w:p>
        </w:tc>
        <w:tc>
          <w:tcPr>
            <w:tcW w:type="dxa" w:w="5386"/>
            <w:vAlign w:val="center"/>
            <w:tcMar>
              <w:top w:w="90" w:type="dxa"/>
              <w:start w:w="110" w:type="dxa"/>
              <w:bottom w:w="90" w:type="dxa"/>
              <w:end w:w="110" w:type="dxa"/>
            </w:tcMar>
          </w:tcPr>
          <w:p>
            <w:pPr>
              <w:spacing w:after="0" w:line="288" w:lineRule="auto"/>
              <w:jc w:val="left"/>
            </w:pPr>
            <w:r>
              <w:rPr>
                <w:rFonts w:ascii="宋体" w:hAnsi="宋体" w:eastAsia="宋体"/>
                <w:sz w:val="17"/>
              </w:rPr>
              <w:t>识别 JSON/YML 格式，并将文件分发至对应静态扫描流程。</w:t>
            </w:r>
          </w:p>
        </w:tc>
      </w:tr>
      <w:tr>
        <w:trPr>
          <w:cantSplit/>
        </w:trPr>
        <w:tc>
          <w:tcPr>
            <w:tcW w:type="dxa" w:w="624"/>
            <w:shd w:fill="F8FBFD"/>
            <w:vAlign w:val="center"/>
            <w:tcMar>
              <w:top w:w="90" w:type="dxa"/>
              <w:start w:w="110" w:type="dxa"/>
              <w:bottom w:w="90" w:type="dxa"/>
              <w:end w:w="110" w:type="dxa"/>
            </w:tcMar>
          </w:tcPr>
          <w:p>
            <w:pPr>
              <w:spacing w:after="0" w:line="288" w:lineRule="auto"/>
              <w:jc w:val="center"/>
            </w:pPr>
            <w:r>
              <w:rPr>
                <w:rFonts w:ascii="宋体" w:hAnsi="宋体" w:eastAsia="宋体"/>
                <w:sz w:val="17"/>
              </w:rPr>
              <w:t>6</w:t>
            </w:r>
          </w:p>
        </w:tc>
        <w:tc>
          <w:tcPr>
            <w:tcW w:type="dxa" w:w="2268"/>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JSON安全库匹配</w:t>
            </w:r>
          </w:p>
        </w:tc>
        <w:tc>
          <w:tcPr>
            <w:tcW w:type="dxa" w:w="5386"/>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调用第二期形成的 JSON 解析及规则匹配能力。</w:t>
            </w:r>
          </w:p>
        </w:tc>
      </w:tr>
      <w:tr>
        <w:trPr>
          <w:cantSplit/>
        </w:trPr>
        <w:tc>
          <w:tcPr>
            <w:tcW w:type="dxa" w:w="624"/>
            <w:vAlign w:val="center"/>
            <w:tcMar>
              <w:top w:w="90" w:type="dxa"/>
              <w:start w:w="110" w:type="dxa"/>
              <w:bottom w:w="90" w:type="dxa"/>
              <w:end w:w="110" w:type="dxa"/>
            </w:tcMar>
          </w:tcPr>
          <w:p>
            <w:pPr>
              <w:spacing w:after="0" w:line="288" w:lineRule="auto"/>
              <w:jc w:val="center"/>
            </w:pPr>
            <w:r>
              <w:rPr>
                <w:rFonts w:ascii="宋体" w:hAnsi="宋体" w:eastAsia="宋体"/>
                <w:sz w:val="17"/>
              </w:rPr>
              <w:t>7</w:t>
            </w:r>
          </w:p>
        </w:tc>
        <w:tc>
          <w:tcPr>
            <w:tcW w:type="dxa" w:w="2268"/>
            <w:vAlign w:val="center"/>
            <w:tcMar>
              <w:top w:w="90" w:type="dxa"/>
              <w:start w:w="110" w:type="dxa"/>
              <w:bottom w:w="90" w:type="dxa"/>
              <w:end w:w="110" w:type="dxa"/>
            </w:tcMar>
          </w:tcPr>
          <w:p>
            <w:pPr>
              <w:spacing w:after="0" w:line="288" w:lineRule="auto"/>
              <w:jc w:val="left"/>
            </w:pPr>
            <w:r>
              <w:rPr>
                <w:rFonts w:ascii="宋体" w:hAnsi="宋体" w:eastAsia="宋体"/>
                <w:sz w:val="17"/>
              </w:rPr>
              <w:t>YML安全库匹配</w:t>
            </w:r>
          </w:p>
        </w:tc>
        <w:tc>
          <w:tcPr>
            <w:tcW w:type="dxa" w:w="5386"/>
            <w:vAlign w:val="center"/>
            <w:tcMar>
              <w:top w:w="90" w:type="dxa"/>
              <w:start w:w="110" w:type="dxa"/>
              <w:bottom w:w="90" w:type="dxa"/>
              <w:end w:w="110" w:type="dxa"/>
            </w:tcMar>
          </w:tcPr>
          <w:p>
            <w:pPr>
              <w:spacing w:after="0" w:line="288" w:lineRule="auto"/>
              <w:jc w:val="left"/>
            </w:pPr>
            <w:r>
              <w:rPr>
                <w:rFonts w:ascii="宋体" w:hAnsi="宋体" w:eastAsia="宋体"/>
                <w:sz w:val="17"/>
              </w:rPr>
              <w:t>调用第一期形成的 YML 解析及规则匹配能力。</w:t>
            </w:r>
          </w:p>
        </w:tc>
      </w:tr>
      <w:tr>
        <w:trPr>
          <w:cantSplit/>
        </w:trPr>
        <w:tc>
          <w:tcPr>
            <w:tcW w:type="dxa" w:w="624"/>
            <w:shd w:fill="F8FBFD"/>
            <w:vAlign w:val="center"/>
            <w:tcMar>
              <w:top w:w="90" w:type="dxa"/>
              <w:start w:w="110" w:type="dxa"/>
              <w:bottom w:w="90" w:type="dxa"/>
              <w:end w:w="110" w:type="dxa"/>
            </w:tcMar>
          </w:tcPr>
          <w:p>
            <w:pPr>
              <w:spacing w:after="0" w:line="288" w:lineRule="auto"/>
              <w:jc w:val="center"/>
            </w:pPr>
            <w:r>
              <w:rPr>
                <w:rFonts w:ascii="宋体" w:hAnsi="宋体" w:eastAsia="宋体"/>
                <w:sz w:val="17"/>
              </w:rPr>
              <w:t>8</w:t>
            </w:r>
          </w:p>
        </w:tc>
        <w:tc>
          <w:tcPr>
            <w:tcW w:type="dxa" w:w="2268"/>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报告生成与交付</w:t>
            </w:r>
          </w:p>
        </w:tc>
        <w:tc>
          <w:tcPr>
            <w:tcW w:type="dxa" w:w="5386"/>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将两类结果转换为统一模板报告，并支持预览及 HTML、PDF、JSON 文件下载。</w:t>
            </w:r>
          </w:p>
        </w:tc>
      </w:tr>
      <w:tr>
        <w:trPr>
          <w:cantSplit/>
        </w:trPr>
        <w:tc>
          <w:tcPr>
            <w:tcW w:type="dxa" w:w="624"/>
            <w:vAlign w:val="center"/>
            <w:tcMar>
              <w:top w:w="90" w:type="dxa"/>
              <w:start w:w="110" w:type="dxa"/>
              <w:bottom w:w="90" w:type="dxa"/>
              <w:end w:w="110" w:type="dxa"/>
            </w:tcMar>
          </w:tcPr>
          <w:p>
            <w:pPr>
              <w:spacing w:after="0" w:line="288" w:lineRule="auto"/>
              <w:jc w:val="center"/>
            </w:pPr>
            <w:r>
              <w:rPr>
                <w:rFonts w:ascii="宋体" w:hAnsi="宋体" w:eastAsia="宋体"/>
                <w:sz w:val="17"/>
              </w:rPr>
              <w:t>9</w:t>
            </w:r>
          </w:p>
        </w:tc>
        <w:tc>
          <w:tcPr>
            <w:tcW w:type="dxa" w:w="2268"/>
            <w:vAlign w:val="center"/>
            <w:tcMar>
              <w:top w:w="90" w:type="dxa"/>
              <w:start w:w="110" w:type="dxa"/>
              <w:bottom w:w="90" w:type="dxa"/>
              <w:end w:w="110" w:type="dxa"/>
            </w:tcMar>
          </w:tcPr>
          <w:p>
            <w:pPr>
              <w:spacing w:after="0" w:line="288" w:lineRule="auto"/>
              <w:jc w:val="left"/>
            </w:pPr>
            <w:r>
              <w:rPr>
                <w:rFonts w:ascii="宋体" w:hAnsi="宋体" w:eastAsia="宋体"/>
                <w:sz w:val="17"/>
              </w:rPr>
              <w:t>文件存储及埋点</w:t>
            </w:r>
          </w:p>
        </w:tc>
        <w:tc>
          <w:tcPr>
            <w:tcW w:type="dxa" w:w="5386"/>
            <w:vAlign w:val="center"/>
            <w:tcMar>
              <w:top w:w="90" w:type="dxa"/>
              <w:start w:w="110" w:type="dxa"/>
              <w:bottom w:w="90" w:type="dxa"/>
              <w:end w:w="110" w:type="dxa"/>
            </w:tcMar>
          </w:tcPr>
          <w:p>
            <w:pPr>
              <w:spacing w:after="0" w:line="288" w:lineRule="auto"/>
              <w:jc w:val="left"/>
            </w:pPr>
            <w:r>
              <w:rPr>
                <w:rFonts w:ascii="宋体" w:hAnsi="宋体" w:eastAsia="宋体"/>
                <w:sz w:val="17"/>
              </w:rPr>
              <w:t>关联保存上传文件、扫描任务、结果文件和必要过程信息。</w:t>
            </w:r>
          </w:p>
        </w:tc>
      </w:tr>
    </w:tbl>
    <w:p>
      <w:pPr>
        <w:spacing w:after="20"/>
      </w:pPr>
    </w:p>
    <w:p>
      <w:pPr>
        <w:pStyle w:val="2"/>
        <w:keepNext/>
        <w:pageBreakBefore w:val="0"/>
        <w:spacing w:before="100" w:after="100"/>
      </w:pPr>
      <w:r>
        <w:rPr>
          <w:rFonts w:ascii="黑体" w:hAnsi="黑体" w:eastAsia="黑体"/>
          <w:b/>
          <w:color w:val="1F4E78"/>
          <w:sz w:val="26"/>
        </w:rPr>
        <w:t>3.2 业务流程图[必需]</w:t>
      </w:r>
    </w:p>
    <w:p>
      <w:pPr>
        <w:keepNext/>
        <w:spacing w:before="80" w:after="40"/>
        <w:jc w:val="center"/>
      </w:pPr>
      <w:r>
        <w:drawing>
          <wp:inline xmlns:a="http://schemas.openxmlformats.org/drawingml/2006/main" xmlns:pic="http://schemas.openxmlformats.org/drawingml/2006/picture">
            <wp:extent cx="4968000" cy="3242274"/>
            <wp:docPr id="2" name="Picture 2"/>
            <wp:cNvGraphicFramePr>
              <a:graphicFrameLocks noChangeAspect="1"/>
            </wp:cNvGraphicFramePr>
            <a:graphic>
              <a:graphicData uri="http://schemas.openxmlformats.org/drawingml/2006/picture">
                <pic:pic>
                  <pic:nvPicPr>
                    <pic:cNvPr id="0" name="phase3_business_flow_v2.png"/>
                    <pic:cNvPicPr/>
                  </pic:nvPicPr>
                  <pic:blipFill>
                    <a:blip r:embed="rId7"/>
                    <a:stretch>
                      <a:fillRect/>
                    </a:stretch>
                  </pic:blipFill>
                  <pic:spPr>
                    <a:xfrm>
                      <a:off x="0" y="0"/>
                      <a:ext cx="4968000" cy="3242274"/>
                    </a:xfrm>
                    <a:prstGeom prst="rect"/>
                  </pic:spPr>
                </pic:pic>
              </a:graphicData>
            </a:graphic>
          </wp:inline>
        </w:drawing>
      </w:r>
    </w:p>
    <w:p>
      <w:pPr>
        <w:keepNext/>
        <w:spacing w:after="120"/>
        <w:jc w:val="center"/>
      </w:pPr>
      <w:r>
        <w:rPr>
          <w:rFonts w:ascii="宋体" w:hAnsi="宋体" w:eastAsia="宋体"/>
          <w:color w:val="404040"/>
          <w:sz w:val="18"/>
        </w:rPr>
        <w:t>图3.2  AGENT工作流静态安全扫描业务流程图</w:t>
      </w:r>
    </w:p>
    <w:p>
      <w:pPr>
        <w:spacing w:line="348" w:lineRule="auto" w:after="80"/>
        <w:ind w:firstLine="420"/>
        <w:jc w:val="both"/>
      </w:pPr>
      <w:r>
        <w:rPr>
          <w:rFonts w:ascii="宋体" w:hAnsi="宋体" w:eastAsia="宋体"/>
          <w:sz w:val="21"/>
        </w:rPr>
        <w:t>用户通过灵镜入口上传待扫描文件，系统完成基础校验后判断文件类型。文件为 JSON 时调用 JSON 安全库匹配能力，文件为 YML 时调用 YML 安全库匹配能力；无法识别或不符合要求的文件不进入扫描流程，并返回明确提示。安全库匹配完成后，系统依据统一报告模板生成结果，并分别完成文件及报告存储、任务埋点、报告预览和文件下载。</w:t>
      </w:r>
    </w:p>
    <w:p>
      <w:pPr>
        <w:pStyle w:val="2"/>
        <w:keepNext/>
        <w:pageBreakBefore w:val="0"/>
        <w:spacing w:before="100" w:after="100"/>
      </w:pPr>
      <w:r>
        <w:rPr>
          <w:rFonts w:ascii="黑体" w:hAnsi="黑体" w:eastAsia="黑体"/>
          <w:b/>
          <w:color w:val="1F4E78"/>
          <w:sz w:val="26"/>
        </w:rPr>
        <w:t>3.3 原型说明[按需]</w:t>
      </w:r>
    </w:p>
    <w:p>
      <w:pPr>
        <w:spacing w:line="348" w:lineRule="auto" w:after="80"/>
        <w:jc w:val="both"/>
      </w:pPr>
      <w:r>
        <w:rPr>
          <w:rFonts w:ascii="宋体" w:hAnsi="宋体" w:eastAsia="宋体"/>
          <w:sz w:val="21"/>
        </w:rPr>
        <w:t>页面原型建议沿用已审批 Skill 灵镜适配特性的入口、任务状态和报告操作方式，工作流扫描页面重点展示上传文件、格式判断结果、安全库匹配状态及报告操作。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9"/>
        <w:gridCol w:w="2769"/>
        <w:gridCol w:w="2769"/>
      </w:tblGrid>
      <w:tr>
        <w:trPr>
          <w:tblHeader w:val="true"/>
          <w:cantSplit/>
        </w:trPr>
        <w:tc>
          <w:tcPr>
            <w:tcW w:type="dxa" w:w="1701"/>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页面/区域</w:t>
            </w:r>
          </w:p>
        </w:tc>
        <w:tc>
          <w:tcPr>
            <w:tcW w:type="dxa" w:w="3005"/>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主要展示内容</w:t>
            </w:r>
          </w:p>
        </w:tc>
        <w:tc>
          <w:tcPr>
            <w:tcW w:type="dxa" w:w="3572"/>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工作流适配要点</w:t>
            </w:r>
          </w:p>
        </w:tc>
      </w:tr>
      <w:tr>
        <w:trPr>
          <w:cantSplit/>
        </w:trPr>
        <w:tc>
          <w:tcPr>
            <w:tcW w:type="dxa" w:w="1701"/>
            <w:vAlign w:val="center"/>
            <w:tcMar>
              <w:top w:w="90" w:type="dxa"/>
              <w:start w:w="110" w:type="dxa"/>
              <w:bottom w:w="90" w:type="dxa"/>
              <w:end w:w="110" w:type="dxa"/>
            </w:tcMar>
          </w:tcPr>
          <w:p>
            <w:pPr>
              <w:spacing w:after="0" w:line="288" w:lineRule="auto"/>
              <w:jc w:val="center"/>
            </w:pPr>
            <w:r>
              <w:rPr>
                <w:rFonts w:ascii="宋体" w:hAnsi="宋体" w:eastAsia="宋体"/>
                <w:sz w:val="18"/>
              </w:rPr>
              <w:t>工作流安全扫描</w:t>
            </w:r>
          </w:p>
        </w:tc>
        <w:tc>
          <w:tcPr>
            <w:tcW w:type="dxa" w:w="3005"/>
            <w:vAlign w:val="center"/>
            <w:tcMar>
              <w:top w:w="90" w:type="dxa"/>
              <w:start w:w="110" w:type="dxa"/>
              <w:bottom w:w="90" w:type="dxa"/>
              <w:end w:w="110" w:type="dxa"/>
            </w:tcMar>
          </w:tcPr>
          <w:p>
            <w:pPr>
              <w:spacing w:after="0" w:line="288" w:lineRule="auto"/>
              <w:jc w:val="left"/>
            </w:pPr>
            <w:r>
              <w:rPr>
                <w:rFonts w:ascii="宋体" w:hAnsi="宋体" w:eastAsia="宋体"/>
                <w:sz w:val="18"/>
              </w:rPr>
              <w:t>文件上传、扫描说明、任务发起。</w:t>
            </w:r>
          </w:p>
        </w:tc>
        <w:tc>
          <w:tcPr>
            <w:tcW w:type="dxa" w:w="3572"/>
            <w:vAlign w:val="center"/>
            <w:tcMar>
              <w:top w:w="90" w:type="dxa"/>
              <w:start w:w="110" w:type="dxa"/>
              <w:bottom w:w="90" w:type="dxa"/>
              <w:end w:w="110" w:type="dxa"/>
            </w:tcMar>
          </w:tcPr>
          <w:p>
            <w:pPr>
              <w:spacing w:after="0" w:line="288" w:lineRule="auto"/>
              <w:jc w:val="left"/>
            </w:pPr>
            <w:r>
              <w:rPr>
                <w:rFonts w:ascii="宋体" w:hAnsi="宋体" w:eastAsia="宋体"/>
                <w:sz w:val="18"/>
              </w:rPr>
              <w:t>展示文件类型及 JSON/YML 分流结果。</w:t>
            </w:r>
          </w:p>
        </w:tc>
      </w:tr>
      <w:tr>
        <w:trPr>
          <w:cantSplit/>
        </w:trPr>
        <w:tc>
          <w:tcPr>
            <w:tcW w:type="dxa" w:w="1701"/>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扫描任务</w:t>
            </w:r>
          </w:p>
        </w:tc>
        <w:tc>
          <w:tcPr>
            <w:tcW w:type="dxa" w:w="3005"/>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任务编号、发起人、创建时间、当前状态、执行结果。</w:t>
            </w:r>
          </w:p>
        </w:tc>
        <w:tc>
          <w:tcPr>
            <w:tcW w:type="dxa" w:w="3572"/>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展示文件校验、安全库匹配和报告生成阶段。</w:t>
            </w:r>
          </w:p>
        </w:tc>
      </w:tr>
      <w:tr>
        <w:trPr>
          <w:cantSplit/>
        </w:trPr>
        <w:tc>
          <w:tcPr>
            <w:tcW w:type="dxa" w:w="1701"/>
            <w:vAlign w:val="center"/>
            <w:tcMar>
              <w:top w:w="90" w:type="dxa"/>
              <w:start w:w="110" w:type="dxa"/>
              <w:bottom w:w="90" w:type="dxa"/>
              <w:end w:w="110" w:type="dxa"/>
            </w:tcMar>
          </w:tcPr>
          <w:p>
            <w:pPr>
              <w:spacing w:after="0" w:line="288" w:lineRule="auto"/>
              <w:jc w:val="center"/>
            </w:pPr>
            <w:r>
              <w:rPr>
                <w:rFonts w:ascii="宋体" w:hAnsi="宋体" w:eastAsia="宋体"/>
                <w:sz w:val="18"/>
              </w:rPr>
              <w:t>报告预览</w:t>
            </w:r>
          </w:p>
        </w:tc>
        <w:tc>
          <w:tcPr>
            <w:tcW w:type="dxa" w:w="3005"/>
            <w:vAlign w:val="center"/>
            <w:tcMar>
              <w:top w:w="90" w:type="dxa"/>
              <w:start w:w="110" w:type="dxa"/>
              <w:bottom w:w="90" w:type="dxa"/>
              <w:end w:w="110" w:type="dxa"/>
            </w:tcMar>
          </w:tcPr>
          <w:p>
            <w:pPr>
              <w:spacing w:after="0" w:line="288" w:lineRule="auto"/>
              <w:jc w:val="left"/>
            </w:pPr>
            <w:r>
              <w:rPr>
                <w:rFonts w:ascii="宋体" w:hAnsi="宋体" w:eastAsia="宋体"/>
                <w:sz w:val="18"/>
              </w:rPr>
              <w:t>风险概览、问题明细、整改建议和工作流结构。</w:t>
            </w:r>
          </w:p>
        </w:tc>
        <w:tc>
          <w:tcPr>
            <w:tcW w:type="dxa" w:w="3572"/>
            <w:vAlign w:val="center"/>
            <w:tcMar>
              <w:top w:w="90" w:type="dxa"/>
              <w:start w:w="110" w:type="dxa"/>
              <w:bottom w:w="90" w:type="dxa"/>
              <w:end w:w="110" w:type="dxa"/>
            </w:tcMar>
          </w:tcPr>
          <w:p>
            <w:pPr>
              <w:spacing w:after="0" w:line="288" w:lineRule="auto"/>
              <w:jc w:val="left"/>
            </w:pPr>
            <w:r>
              <w:rPr>
                <w:rFonts w:ascii="宋体" w:hAnsi="宋体" w:eastAsia="宋体"/>
                <w:sz w:val="18"/>
              </w:rPr>
              <w:t>两类 DSL 使用统一模板和展示口径。</w:t>
            </w:r>
          </w:p>
        </w:tc>
      </w:tr>
      <w:tr>
        <w:trPr>
          <w:cantSplit/>
        </w:trPr>
        <w:tc>
          <w:tcPr>
            <w:tcW w:type="dxa" w:w="1701"/>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报告下载</w:t>
            </w:r>
          </w:p>
        </w:tc>
        <w:tc>
          <w:tcPr>
            <w:tcW w:type="dxa" w:w="3005"/>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下载 HTML、PDF、JSON 等报告文件。</w:t>
            </w:r>
          </w:p>
        </w:tc>
        <w:tc>
          <w:tcPr>
            <w:tcW w:type="dxa" w:w="3572"/>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下载文件与当前扫描任务保持一致。</w:t>
            </w:r>
          </w:p>
        </w:tc>
      </w:tr>
    </w:tbl>
    <w:p>
      <w:pPr>
        <w:spacing w:after="20"/>
      </w:pPr>
    </w:p>
    <w:p>
      <w:pPr>
        <w:pStyle w:val="1"/>
        <w:keepNext/>
        <w:pageBreakBefore/>
        <w:spacing w:before="160" w:after="100"/>
      </w:pPr>
      <w:r>
        <w:rPr>
          <w:rFonts w:ascii="黑体" w:hAnsi="黑体" w:eastAsia="黑体"/>
          <w:b/>
          <w:color w:val="1F4E78"/>
          <w:sz w:val="30"/>
        </w:rPr>
        <w:t>4 特性说明</w:t>
      </w:r>
    </w:p>
    <w:p>
      <w:pPr>
        <w:pStyle w:val="2"/>
        <w:keepNext/>
        <w:pageBreakBefore w:val="0"/>
        <w:spacing w:before="100" w:after="100"/>
      </w:pPr>
      <w:r>
        <w:rPr>
          <w:rFonts w:ascii="黑体" w:hAnsi="黑体" w:eastAsia="黑体"/>
          <w:b/>
          <w:color w:val="1F4E78"/>
          <w:sz w:val="26"/>
        </w:rPr>
        <w:t>4.1 功能说明[必需]</w:t>
      </w:r>
    </w:p>
    <w:p>
      <w:pPr>
        <w:pStyle w:val="3"/>
        <w:keepNext/>
        <w:pageBreakBefore w:val="0"/>
        <w:spacing w:before="100" w:after="100"/>
      </w:pPr>
      <w:r>
        <w:rPr>
          <w:rFonts w:ascii="黑体" w:hAnsi="黑体" w:eastAsia="黑体"/>
          <w:b/>
          <w:color w:val="404040"/>
          <w:sz w:val="23"/>
        </w:rPr>
        <w:t>4.1.1 功能描述</w:t>
      </w:r>
    </w:p>
    <w:p>
      <w:pPr>
        <w:pStyle w:val="3"/>
        <w:keepNext/>
        <w:pageBreakBefore w:val="0"/>
        <w:spacing w:before="100" w:after="100"/>
      </w:pPr>
      <w:r>
        <w:rPr>
          <w:rFonts w:ascii="黑体" w:hAnsi="黑体" w:eastAsia="黑体"/>
          <w:b/>
          <w:color w:val="404040"/>
          <w:sz w:val="23"/>
        </w:rPr>
        <w:t>4.1.1.1 灵镜门户与身份接入能力</w:t>
      </w:r>
    </w:p>
    <w:p>
      <w:pPr>
        <w:spacing w:line="348" w:lineRule="auto" w:after="80"/>
        <w:ind w:firstLine="420"/>
        <w:jc w:val="both"/>
      </w:pPr>
      <w:r>
        <w:rPr>
          <w:rFonts w:ascii="宋体" w:hAnsi="宋体" w:eastAsia="宋体"/>
          <w:sz w:val="21"/>
        </w:rPr>
        <w:t>将一期、二期形成的工作流静态扫描能力由工具调用方式封装为灵镜内统一门户。门户承接灵镜菜单、路由、用户身份和权限控制，通过服务接口触发扫描并访问报告，不单独建设账号体系。</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3"/>
        <w:gridCol w:w="4153"/>
      </w:tblGrid>
      <w:tr>
        <w:trPr>
          <w:tblHeader w:val="true"/>
          <w:cantSplit/>
        </w:trPr>
        <w:tc>
          <w:tcPr>
            <w:tcW w:type="dxa" w:w="1928"/>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能力项</w:t>
            </w:r>
          </w:p>
        </w:tc>
        <w:tc>
          <w:tcPr>
            <w:tcW w:type="dxa" w:w="6350"/>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说明</w:t>
            </w:r>
          </w:p>
        </w:tc>
      </w:tr>
      <w:tr>
        <w:trPr>
          <w:cantSplit/>
        </w:trPr>
        <w:tc>
          <w:tcPr>
            <w:tcW w:type="dxa" w:w="1928"/>
            <w:vAlign w:val="center"/>
            <w:tcMar>
              <w:top w:w="90" w:type="dxa"/>
              <w:start w:w="110" w:type="dxa"/>
              <w:bottom w:w="90" w:type="dxa"/>
              <w:end w:w="110" w:type="dxa"/>
            </w:tcMar>
          </w:tcPr>
          <w:p>
            <w:pPr>
              <w:spacing w:after="0" w:line="288" w:lineRule="auto"/>
              <w:jc w:val="center"/>
            </w:pPr>
            <w:r>
              <w:rPr>
                <w:rFonts w:ascii="宋体" w:hAnsi="宋体" w:eastAsia="宋体"/>
                <w:sz w:val="18"/>
              </w:rPr>
              <w:t>门户嵌入</w:t>
            </w:r>
          </w:p>
        </w:tc>
        <w:tc>
          <w:tcPr>
            <w:tcW w:type="dxa" w:w="6350"/>
            <w:vAlign w:val="center"/>
            <w:tcMar>
              <w:top w:w="90" w:type="dxa"/>
              <w:start w:w="110" w:type="dxa"/>
              <w:bottom w:w="90" w:type="dxa"/>
              <w:end w:w="110" w:type="dxa"/>
            </w:tcMar>
          </w:tcPr>
          <w:p>
            <w:pPr>
              <w:spacing w:after="0" w:line="288" w:lineRule="auto"/>
              <w:jc w:val="left"/>
            </w:pPr>
            <w:r>
              <w:rPr>
                <w:rFonts w:ascii="宋体" w:hAnsi="宋体" w:eastAsia="宋体"/>
                <w:sz w:val="18"/>
              </w:rPr>
              <w:t>支持灵镜菜单、页面路由、布局和部署路径适配。</w:t>
            </w:r>
          </w:p>
        </w:tc>
      </w:tr>
      <w:tr>
        <w:trPr>
          <w:cantSplit/>
        </w:trPr>
        <w:tc>
          <w:tcPr>
            <w:tcW w:type="dxa" w:w="1928"/>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身份承接</w:t>
            </w:r>
          </w:p>
        </w:tc>
        <w:tc>
          <w:tcPr>
            <w:tcW w:type="dxa" w:w="6350"/>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复用一事通登录状态及用户标识，按平台权限控制扫描和报告访问。</w:t>
            </w:r>
          </w:p>
        </w:tc>
      </w:tr>
      <w:tr>
        <w:trPr>
          <w:cantSplit/>
        </w:trPr>
        <w:tc>
          <w:tcPr>
            <w:tcW w:type="dxa" w:w="1928"/>
            <w:vAlign w:val="center"/>
            <w:tcMar>
              <w:top w:w="90" w:type="dxa"/>
              <w:start w:w="110" w:type="dxa"/>
              <w:bottom w:w="90" w:type="dxa"/>
              <w:end w:w="110" w:type="dxa"/>
            </w:tcMar>
          </w:tcPr>
          <w:p>
            <w:pPr>
              <w:spacing w:after="0" w:line="288" w:lineRule="auto"/>
              <w:jc w:val="center"/>
            </w:pPr>
            <w:r>
              <w:rPr>
                <w:rFonts w:ascii="宋体" w:hAnsi="宋体" w:eastAsia="宋体"/>
                <w:sz w:val="18"/>
              </w:rPr>
              <w:t>服务封装</w:t>
            </w:r>
          </w:p>
        </w:tc>
        <w:tc>
          <w:tcPr>
            <w:tcW w:type="dxa" w:w="6350"/>
            <w:vAlign w:val="center"/>
            <w:tcMar>
              <w:top w:w="90" w:type="dxa"/>
              <w:start w:w="110" w:type="dxa"/>
              <w:bottom w:w="90" w:type="dxa"/>
              <w:end w:w="110" w:type="dxa"/>
            </w:tcMar>
          </w:tcPr>
          <w:p>
            <w:pPr>
              <w:spacing w:after="0" w:line="288" w:lineRule="auto"/>
              <w:jc w:val="left"/>
            </w:pPr>
            <w:r>
              <w:rPr>
                <w:rFonts w:ascii="宋体" w:hAnsi="宋体" w:eastAsia="宋体"/>
                <w:sz w:val="18"/>
              </w:rPr>
              <w:t>将文件上传、任务创建、状态查询、报告预览和下载封装为统一服务。</w:t>
            </w:r>
          </w:p>
        </w:tc>
      </w:tr>
      <w:tr>
        <w:trPr>
          <w:cantSplit/>
        </w:trPr>
        <w:tc>
          <w:tcPr>
            <w:tcW w:type="dxa" w:w="1928"/>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访问记录</w:t>
            </w:r>
          </w:p>
        </w:tc>
        <w:tc>
          <w:tcPr>
            <w:tcW w:type="dxa" w:w="6350"/>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记录任务发起人、发起时间、扫描文件、处理状态及报告访问情况。</w:t>
            </w:r>
          </w:p>
        </w:tc>
      </w:tr>
    </w:tbl>
    <w:p>
      <w:pPr>
        <w:spacing w:after="20"/>
      </w:pPr>
    </w:p>
    <w:p>
      <w:pPr>
        <w:pStyle w:val="3"/>
        <w:keepNext/>
        <w:pageBreakBefore w:val="0"/>
        <w:spacing w:before="100" w:after="100"/>
      </w:pPr>
      <w:r>
        <w:rPr>
          <w:rFonts w:ascii="黑体" w:hAnsi="黑体" w:eastAsia="黑体"/>
          <w:b/>
          <w:color w:val="404040"/>
          <w:sz w:val="23"/>
        </w:rPr>
        <w:t>4.1.1.2 文件上传、存储及埋点能力</w:t>
      </w:r>
    </w:p>
    <w:p>
      <w:pPr>
        <w:spacing w:line="348" w:lineRule="auto" w:after="80"/>
        <w:ind w:firstLine="420"/>
        <w:jc w:val="both"/>
      </w:pPr>
      <w:r>
        <w:rPr>
          <w:rFonts w:ascii="宋体" w:hAnsi="宋体" w:eastAsia="宋体"/>
          <w:sz w:val="21"/>
        </w:rPr>
        <w:t>门户接收 JSON 或 YML 工作流文件，并为每次上传建立独立扫描任务。后端保存上传文件及生成报告，记录文件标识、任务编号、处理状态和报告位置，满足隔离访问和过程追踪要求。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3"/>
        <w:gridCol w:w="4153"/>
      </w:tblGrid>
      <w:tr>
        <w:trPr>
          <w:tblHeader w:val="true"/>
          <w:cantSplit/>
        </w:trPr>
        <w:tc>
          <w:tcPr>
            <w:tcW w:type="dxa" w:w="1928"/>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处理环节</w:t>
            </w:r>
          </w:p>
        </w:tc>
        <w:tc>
          <w:tcPr>
            <w:tcW w:type="dxa" w:w="6350"/>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功能要求</w:t>
            </w:r>
          </w:p>
        </w:tc>
      </w:tr>
      <w:tr>
        <w:trPr>
          <w:cantSplit/>
        </w:trPr>
        <w:tc>
          <w:tcPr>
            <w:tcW w:type="dxa" w:w="1928"/>
            <w:vAlign w:val="center"/>
            <w:tcMar>
              <w:top w:w="90" w:type="dxa"/>
              <w:start w:w="110" w:type="dxa"/>
              <w:bottom w:w="90" w:type="dxa"/>
              <w:end w:w="110" w:type="dxa"/>
            </w:tcMar>
          </w:tcPr>
          <w:p>
            <w:pPr>
              <w:spacing w:after="0" w:line="288" w:lineRule="auto"/>
              <w:jc w:val="center"/>
            </w:pPr>
            <w:r>
              <w:rPr>
                <w:rFonts w:ascii="宋体" w:hAnsi="宋体" w:eastAsia="宋体"/>
                <w:sz w:val="18"/>
              </w:rPr>
              <w:t>上传校验</w:t>
            </w:r>
          </w:p>
        </w:tc>
        <w:tc>
          <w:tcPr>
            <w:tcW w:type="dxa" w:w="6350"/>
            <w:vAlign w:val="center"/>
            <w:tcMar>
              <w:top w:w="90" w:type="dxa"/>
              <w:start w:w="110" w:type="dxa"/>
              <w:bottom w:w="90" w:type="dxa"/>
              <w:end w:w="110" w:type="dxa"/>
            </w:tcMar>
          </w:tcPr>
          <w:p>
            <w:pPr>
              <w:spacing w:after="0" w:line="288" w:lineRule="auto"/>
              <w:jc w:val="left"/>
            </w:pPr>
            <w:r>
              <w:rPr>
                <w:rFonts w:ascii="宋体" w:hAnsi="宋体" w:eastAsia="宋体"/>
                <w:sz w:val="18"/>
              </w:rPr>
              <w:t>校验文件类型、大小、名称和路径，拒绝目录穿越、非法后缀和异常结构。</w:t>
            </w:r>
          </w:p>
        </w:tc>
      </w:tr>
      <w:tr>
        <w:trPr>
          <w:cantSplit/>
        </w:trPr>
        <w:tc>
          <w:tcPr>
            <w:tcW w:type="dxa" w:w="1928"/>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任务隔离</w:t>
            </w:r>
          </w:p>
        </w:tc>
        <w:tc>
          <w:tcPr>
            <w:tcW w:type="dxa" w:w="6350"/>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按任务建立独立处理空间，避免不同用户或任务文件相互覆盖。</w:t>
            </w:r>
          </w:p>
        </w:tc>
      </w:tr>
      <w:tr>
        <w:trPr>
          <w:cantSplit/>
        </w:trPr>
        <w:tc>
          <w:tcPr>
            <w:tcW w:type="dxa" w:w="1928"/>
            <w:vAlign w:val="center"/>
            <w:tcMar>
              <w:top w:w="90" w:type="dxa"/>
              <w:start w:w="110" w:type="dxa"/>
              <w:bottom w:w="90" w:type="dxa"/>
              <w:end w:w="110" w:type="dxa"/>
            </w:tcMar>
          </w:tcPr>
          <w:p>
            <w:pPr>
              <w:spacing w:after="0" w:line="288" w:lineRule="auto"/>
              <w:jc w:val="center"/>
            </w:pPr>
            <w:r>
              <w:rPr>
                <w:rFonts w:ascii="宋体" w:hAnsi="宋体" w:eastAsia="宋体"/>
                <w:sz w:val="18"/>
              </w:rPr>
              <w:t>文件存储</w:t>
            </w:r>
          </w:p>
        </w:tc>
        <w:tc>
          <w:tcPr>
            <w:tcW w:type="dxa" w:w="6350"/>
            <w:vAlign w:val="center"/>
            <w:tcMar>
              <w:top w:w="90" w:type="dxa"/>
              <w:start w:w="110" w:type="dxa"/>
              <w:bottom w:w="90" w:type="dxa"/>
              <w:end w:w="110" w:type="dxa"/>
            </w:tcMar>
          </w:tcPr>
          <w:p>
            <w:pPr>
              <w:spacing w:after="0" w:line="288" w:lineRule="auto"/>
              <w:jc w:val="left"/>
            </w:pPr>
            <w:r>
              <w:rPr>
                <w:rFonts w:ascii="宋体" w:hAnsi="宋体" w:eastAsia="宋体"/>
                <w:sz w:val="18"/>
              </w:rPr>
              <w:t>分区保存上传文件和报告文件，并建立源文件与结果文件关联。</w:t>
            </w:r>
          </w:p>
        </w:tc>
      </w:tr>
      <w:tr>
        <w:trPr>
          <w:cantSplit/>
        </w:trPr>
        <w:tc>
          <w:tcPr>
            <w:tcW w:type="dxa" w:w="1928"/>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任务埋点</w:t>
            </w:r>
          </w:p>
        </w:tc>
        <w:tc>
          <w:tcPr>
            <w:tcW w:type="dxa" w:w="6350"/>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记录任务编号、发起人、文件类型、处理阶段、执行结果和报告位置。</w:t>
            </w:r>
          </w:p>
        </w:tc>
      </w:tr>
      <w:tr>
        <w:trPr>
          <w:cantSplit/>
        </w:trPr>
        <w:tc>
          <w:tcPr>
            <w:tcW w:type="dxa" w:w="1928"/>
            <w:vAlign w:val="center"/>
            <w:tcMar>
              <w:top w:w="90" w:type="dxa"/>
              <w:start w:w="110" w:type="dxa"/>
              <w:bottom w:w="90" w:type="dxa"/>
              <w:end w:w="110" w:type="dxa"/>
            </w:tcMar>
          </w:tcPr>
          <w:p>
            <w:pPr>
              <w:spacing w:after="0" w:line="288" w:lineRule="auto"/>
              <w:jc w:val="center"/>
            </w:pPr>
            <w:r>
              <w:rPr>
                <w:rFonts w:ascii="宋体" w:hAnsi="宋体" w:eastAsia="宋体"/>
                <w:sz w:val="18"/>
              </w:rPr>
              <w:t>生命周期</w:t>
            </w:r>
          </w:p>
        </w:tc>
        <w:tc>
          <w:tcPr>
            <w:tcW w:type="dxa" w:w="6350"/>
            <w:vAlign w:val="center"/>
            <w:tcMar>
              <w:top w:w="90" w:type="dxa"/>
              <w:start w:w="110" w:type="dxa"/>
              <w:bottom w:w="90" w:type="dxa"/>
              <w:end w:w="110" w:type="dxa"/>
            </w:tcMar>
          </w:tcPr>
          <w:p>
            <w:pPr>
              <w:spacing w:after="0" w:line="288" w:lineRule="auto"/>
              <w:jc w:val="left"/>
            </w:pPr>
            <w:r>
              <w:rPr>
                <w:rFonts w:ascii="宋体" w:hAnsi="宋体" w:eastAsia="宋体"/>
                <w:sz w:val="18"/>
              </w:rPr>
              <w:t>按照灵镜平台策略保留必要文件及任务记录，并清理临时处理文件。</w:t>
            </w:r>
          </w:p>
        </w:tc>
      </w:tr>
    </w:tbl>
    <w:p>
      <w:pPr>
        <w:spacing w:after="20"/>
      </w:pPr>
    </w:p>
    <w:p>
      <w:pPr>
        <w:pStyle w:val="3"/>
        <w:keepNext/>
        <w:pageBreakBefore w:val="0"/>
        <w:spacing w:before="100" w:after="100"/>
      </w:pPr>
      <w:r>
        <w:rPr>
          <w:rFonts w:ascii="黑体" w:hAnsi="黑体" w:eastAsia="黑体"/>
          <w:b/>
          <w:color w:val="404040"/>
          <w:sz w:val="23"/>
        </w:rPr>
        <w:t>4.1.1.3 文件类型判断与格式路由能力</w:t>
      </w:r>
    </w:p>
    <w:p>
      <w:pPr>
        <w:spacing w:line="348" w:lineRule="auto" w:after="80"/>
        <w:ind w:firstLine="420"/>
        <w:jc w:val="both"/>
      </w:pPr>
      <w:r>
        <w:rPr>
          <w:rFonts w:ascii="宋体" w:hAnsi="宋体" w:eastAsia="宋体"/>
          <w:sz w:val="21"/>
        </w:rPr>
        <w:t>系统在安全扫描前判断上传文件为 JSON 或 YML，并路由至对应的解析及安全库匹配能力。该环节仅负责格式识别和静态能力分发，不改变一期、二期既有规则逻辑。</w:t>
      </w:r>
    </w:p>
    <w:p>
      <w:pPr>
        <w:keepNext/>
        <w:spacing w:before="80" w:after="40"/>
        <w:jc w:val="center"/>
      </w:pPr>
      <w:r>
        <w:drawing>
          <wp:inline xmlns:a="http://schemas.openxmlformats.org/drawingml/2006/main" xmlns:pic="http://schemas.openxmlformats.org/drawingml/2006/picture">
            <wp:extent cx="5184000" cy="1937179"/>
            <wp:docPr id="3" name="Picture 3"/>
            <wp:cNvGraphicFramePr>
              <a:graphicFrameLocks noChangeAspect="1"/>
            </wp:cNvGraphicFramePr>
            <a:graphic>
              <a:graphicData uri="http://schemas.openxmlformats.org/drawingml/2006/picture">
                <pic:pic>
                  <pic:nvPicPr>
                    <pic:cNvPr id="0" name="phase3_routing_flow_v2.png"/>
                    <pic:cNvPicPr/>
                  </pic:nvPicPr>
                  <pic:blipFill>
                    <a:blip r:embed="rId8"/>
                    <a:stretch>
                      <a:fillRect/>
                    </a:stretch>
                  </pic:blipFill>
                  <pic:spPr>
                    <a:xfrm>
                      <a:off x="0" y="0"/>
                      <a:ext cx="5184000" cy="1937179"/>
                    </a:xfrm>
                    <a:prstGeom prst="rect"/>
                  </pic:spPr>
                </pic:pic>
              </a:graphicData>
            </a:graphic>
          </wp:inline>
        </w:drawing>
      </w:r>
    </w:p>
    <w:p>
      <w:pPr>
        <w:keepNext/>
        <w:spacing w:after="120"/>
        <w:jc w:val="center"/>
      </w:pPr>
      <w:r>
        <w:rPr>
          <w:rFonts w:ascii="宋体" w:hAnsi="宋体" w:eastAsia="宋体"/>
          <w:color w:val="404040"/>
          <w:sz w:val="18"/>
        </w:rPr>
        <w:t>图4.1  文件类型判断与安全库路由图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9"/>
        <w:gridCol w:w="2769"/>
        <w:gridCol w:w="2769"/>
      </w:tblGrid>
      <w:tr>
        <w:trPr>
          <w:tblHeader w:val="true"/>
          <w:cantSplit/>
        </w:trPr>
        <w:tc>
          <w:tcPr>
            <w:tcW w:type="dxa" w:w="1587"/>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判断结果</w:t>
            </w:r>
          </w:p>
        </w:tc>
        <w:tc>
          <w:tcPr>
            <w:tcW w:type="dxa" w:w="4252"/>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处理方式</w:t>
            </w:r>
          </w:p>
        </w:tc>
        <w:tc>
          <w:tcPr>
            <w:tcW w:type="dxa" w:w="2438"/>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异常要求</w:t>
            </w:r>
          </w:p>
        </w:tc>
      </w:tr>
      <w:tr>
        <w:trPr>
          <w:cantSplit/>
        </w:trPr>
        <w:tc>
          <w:tcPr>
            <w:tcW w:type="dxa" w:w="1587"/>
            <w:vAlign w:val="center"/>
            <w:tcMar>
              <w:top w:w="90" w:type="dxa"/>
              <w:start w:w="110" w:type="dxa"/>
              <w:bottom w:w="90" w:type="dxa"/>
              <w:end w:w="110" w:type="dxa"/>
            </w:tcMar>
          </w:tcPr>
          <w:p>
            <w:pPr>
              <w:spacing w:after="0" w:line="288" w:lineRule="auto"/>
              <w:jc w:val="center"/>
            </w:pPr>
            <w:r>
              <w:rPr>
                <w:rFonts w:ascii="宋体" w:hAnsi="宋体" w:eastAsia="宋体"/>
                <w:sz w:val="18"/>
              </w:rPr>
              <w:t>JSON</w:t>
            </w:r>
          </w:p>
        </w:tc>
        <w:tc>
          <w:tcPr>
            <w:tcW w:type="dxa" w:w="4252"/>
            <w:vAlign w:val="center"/>
            <w:tcMar>
              <w:top w:w="90" w:type="dxa"/>
              <w:start w:w="110" w:type="dxa"/>
              <w:bottom w:w="90" w:type="dxa"/>
              <w:end w:w="110" w:type="dxa"/>
            </w:tcMar>
          </w:tcPr>
          <w:p>
            <w:pPr>
              <w:spacing w:after="0" w:line="288" w:lineRule="auto"/>
              <w:jc w:val="left"/>
            </w:pPr>
            <w:r>
              <w:rPr>
                <w:rFonts w:ascii="宋体" w:hAnsi="宋体" w:eastAsia="宋体"/>
                <w:sz w:val="18"/>
              </w:rPr>
              <w:t>调用 AI 智能工厂 JSON 解析及 JSON 安全库匹配能力。</w:t>
            </w:r>
          </w:p>
        </w:tc>
        <w:tc>
          <w:tcPr>
            <w:tcW w:type="dxa" w:w="2438"/>
            <w:vAlign w:val="center"/>
            <w:tcMar>
              <w:top w:w="90" w:type="dxa"/>
              <w:start w:w="110" w:type="dxa"/>
              <w:bottom w:w="90" w:type="dxa"/>
              <w:end w:w="110" w:type="dxa"/>
            </w:tcMar>
          </w:tcPr>
          <w:p>
            <w:pPr>
              <w:spacing w:after="0" w:line="288" w:lineRule="auto"/>
              <w:jc w:val="left"/>
            </w:pPr>
            <w:r>
              <w:rPr>
                <w:rFonts w:ascii="宋体" w:hAnsi="宋体" w:eastAsia="宋体"/>
                <w:sz w:val="18"/>
              </w:rPr>
              <w:t>缺失关键字段时返回可定位的解析提示。</w:t>
            </w:r>
          </w:p>
        </w:tc>
      </w:tr>
      <w:tr>
        <w:trPr>
          <w:cantSplit/>
        </w:trPr>
        <w:tc>
          <w:tcPr>
            <w:tcW w:type="dxa" w:w="1587"/>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YML</w:t>
            </w:r>
          </w:p>
        </w:tc>
        <w:tc>
          <w:tcPr>
            <w:tcW w:type="dxa" w:w="4252"/>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调用 Dify YML 解析及 YML 安全库匹配能力。</w:t>
            </w:r>
          </w:p>
        </w:tc>
        <w:tc>
          <w:tcPr>
            <w:tcW w:type="dxa" w:w="2438"/>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结构不完整或版本不支持时返回明确提示。</w:t>
            </w:r>
          </w:p>
        </w:tc>
      </w:tr>
      <w:tr>
        <w:trPr>
          <w:cantSplit/>
        </w:trPr>
        <w:tc>
          <w:tcPr>
            <w:tcW w:type="dxa" w:w="1587"/>
            <w:vAlign w:val="center"/>
            <w:tcMar>
              <w:top w:w="90" w:type="dxa"/>
              <w:start w:w="110" w:type="dxa"/>
              <w:bottom w:w="90" w:type="dxa"/>
              <w:end w:w="110" w:type="dxa"/>
            </w:tcMar>
          </w:tcPr>
          <w:p>
            <w:pPr>
              <w:spacing w:after="0" w:line="288" w:lineRule="auto"/>
              <w:jc w:val="center"/>
            </w:pPr>
            <w:r>
              <w:rPr>
                <w:rFonts w:ascii="宋体" w:hAnsi="宋体" w:eastAsia="宋体"/>
                <w:sz w:val="18"/>
              </w:rPr>
              <w:t>无法识别</w:t>
            </w:r>
          </w:p>
        </w:tc>
        <w:tc>
          <w:tcPr>
            <w:tcW w:type="dxa" w:w="4252"/>
            <w:vAlign w:val="center"/>
            <w:tcMar>
              <w:top w:w="90" w:type="dxa"/>
              <w:start w:w="110" w:type="dxa"/>
              <w:bottom w:w="90" w:type="dxa"/>
              <w:end w:w="110" w:type="dxa"/>
            </w:tcMar>
          </w:tcPr>
          <w:p>
            <w:pPr>
              <w:spacing w:after="0" w:line="288" w:lineRule="auto"/>
              <w:jc w:val="left"/>
            </w:pPr>
            <w:r>
              <w:rPr>
                <w:rFonts w:ascii="宋体" w:hAnsi="宋体" w:eastAsia="宋体"/>
                <w:sz w:val="18"/>
              </w:rPr>
              <w:t>终止扫描，不进入任一安全库匹配流程。</w:t>
            </w:r>
          </w:p>
        </w:tc>
        <w:tc>
          <w:tcPr>
            <w:tcW w:type="dxa" w:w="2438"/>
            <w:vAlign w:val="center"/>
            <w:tcMar>
              <w:top w:w="90" w:type="dxa"/>
              <w:start w:w="110" w:type="dxa"/>
              <w:bottom w:w="90" w:type="dxa"/>
              <w:end w:w="110" w:type="dxa"/>
            </w:tcMar>
          </w:tcPr>
          <w:p>
            <w:pPr>
              <w:spacing w:after="0" w:line="288" w:lineRule="auto"/>
              <w:jc w:val="left"/>
            </w:pPr>
            <w:r>
              <w:rPr>
                <w:rFonts w:ascii="宋体" w:hAnsi="宋体" w:eastAsia="宋体"/>
                <w:sz w:val="18"/>
              </w:rPr>
              <w:t>说明不支持的格式或校验失败原因。</w:t>
            </w:r>
          </w:p>
        </w:tc>
      </w:tr>
    </w:tbl>
    <w:p>
      <w:pPr>
        <w:spacing w:after="20"/>
      </w:pPr>
    </w:p>
    <w:p>
      <w:pPr>
        <w:pStyle w:val="3"/>
        <w:keepNext/>
        <w:pageBreakBefore w:val="0"/>
        <w:spacing w:before="100" w:after="100"/>
      </w:pPr>
      <w:r>
        <w:rPr>
          <w:rFonts w:ascii="黑体" w:hAnsi="黑体" w:eastAsia="黑体"/>
          <w:b/>
          <w:color w:val="404040"/>
          <w:sz w:val="23"/>
        </w:rPr>
        <w:t>4.1.1.4 JSON与YML安全库匹配能力</w:t>
      </w:r>
    </w:p>
    <w:p>
      <w:pPr>
        <w:spacing w:line="348" w:lineRule="auto" w:after="80"/>
        <w:ind w:firstLine="420"/>
        <w:jc w:val="both"/>
      </w:pPr>
      <w:r>
        <w:rPr>
          <w:rFonts w:ascii="宋体" w:hAnsi="宋体" w:eastAsia="宋体"/>
          <w:sz w:val="21"/>
        </w:rPr>
        <w:t>安全库匹配是静态扫描的核心处理环节。系统根据文件类型调用对应的既有扫描能力，提取节点、参数、调用关系和配置内容，与相应安全规则进行匹配，形成包含规则编号、风险等级、证据位置、问题说明和整改建议的结构化结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9"/>
        <w:gridCol w:w="2769"/>
        <w:gridCol w:w="2769"/>
      </w:tblGrid>
      <w:tr>
        <w:trPr>
          <w:tblHeader w:val="true"/>
          <w:cantSplit/>
        </w:trPr>
        <w:tc>
          <w:tcPr>
            <w:tcW w:type="dxa" w:w="1814"/>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扫描分支</w:t>
            </w:r>
          </w:p>
        </w:tc>
        <w:tc>
          <w:tcPr>
            <w:tcW w:type="dxa" w:w="4082"/>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复用能力</w:t>
            </w:r>
          </w:p>
        </w:tc>
        <w:tc>
          <w:tcPr>
            <w:tcW w:type="dxa" w:w="2381"/>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主要结果</w:t>
            </w:r>
          </w:p>
        </w:tc>
      </w:tr>
      <w:tr>
        <w:trPr>
          <w:cantSplit/>
        </w:trPr>
        <w:tc>
          <w:tcPr>
            <w:tcW w:type="dxa" w:w="1814"/>
            <w:vAlign w:val="center"/>
            <w:tcMar>
              <w:top w:w="90" w:type="dxa"/>
              <w:start w:w="110" w:type="dxa"/>
              <w:bottom w:w="90" w:type="dxa"/>
              <w:end w:w="110" w:type="dxa"/>
            </w:tcMar>
          </w:tcPr>
          <w:p>
            <w:pPr>
              <w:spacing w:after="0" w:line="288" w:lineRule="auto"/>
              <w:jc w:val="center"/>
            </w:pPr>
            <w:r>
              <w:rPr>
                <w:rFonts w:ascii="宋体" w:hAnsi="宋体" w:eastAsia="宋体"/>
                <w:sz w:val="18"/>
              </w:rPr>
              <w:t>JSON安全库匹配</w:t>
            </w:r>
          </w:p>
        </w:tc>
        <w:tc>
          <w:tcPr>
            <w:tcW w:type="dxa" w:w="4082"/>
            <w:vAlign w:val="center"/>
            <w:tcMar>
              <w:top w:w="90" w:type="dxa"/>
              <w:start w:w="110" w:type="dxa"/>
              <w:bottom w:w="90" w:type="dxa"/>
              <w:end w:w="110" w:type="dxa"/>
            </w:tcMar>
          </w:tcPr>
          <w:p>
            <w:pPr>
              <w:spacing w:after="0" w:line="288" w:lineRule="auto"/>
              <w:jc w:val="left"/>
            </w:pPr>
            <w:r>
              <w:rPr>
                <w:rFonts w:ascii="宋体" w:hAnsi="宋体" w:eastAsia="宋体"/>
                <w:sz w:val="18"/>
              </w:rPr>
              <w:t>复用第二期 AI 智能工厂 JSON DSL 解析、字段映射和静态规则分析能力。</w:t>
            </w:r>
          </w:p>
        </w:tc>
        <w:tc>
          <w:tcPr>
            <w:tcW w:type="dxa" w:w="2381"/>
            <w:vAlign w:val="center"/>
            <w:tcMar>
              <w:top w:w="90" w:type="dxa"/>
              <w:start w:w="110" w:type="dxa"/>
              <w:bottom w:w="90" w:type="dxa"/>
              <w:end w:w="110" w:type="dxa"/>
            </w:tcMar>
          </w:tcPr>
          <w:p>
            <w:pPr>
              <w:spacing w:after="0" w:line="288" w:lineRule="auto"/>
              <w:jc w:val="left"/>
            </w:pPr>
            <w:r>
              <w:rPr>
                <w:rFonts w:ascii="宋体" w:hAnsi="宋体" w:eastAsia="宋体"/>
                <w:sz w:val="18"/>
              </w:rPr>
              <w:t>JSON 工作流的规则命中、风险等级、问题证据及整改建议。</w:t>
            </w:r>
          </w:p>
        </w:tc>
      </w:tr>
      <w:tr>
        <w:trPr>
          <w:cantSplit/>
        </w:trPr>
        <w:tc>
          <w:tcPr>
            <w:tcW w:type="dxa" w:w="1814"/>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YML安全库匹配</w:t>
            </w:r>
          </w:p>
        </w:tc>
        <w:tc>
          <w:tcPr>
            <w:tcW w:type="dxa" w:w="4082"/>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复用第一期 Dify YML DSL 解析、节点识别和静态规则分析能力。</w:t>
            </w:r>
          </w:p>
        </w:tc>
        <w:tc>
          <w:tcPr>
            <w:tcW w:type="dxa" w:w="2381"/>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YML 工作流的规则命中、风险等级、问题证据及整改建议。</w:t>
            </w:r>
          </w:p>
        </w:tc>
      </w:tr>
      <w:tr>
        <w:trPr>
          <w:cantSplit/>
        </w:trPr>
        <w:tc>
          <w:tcPr>
            <w:tcW w:type="dxa" w:w="1814"/>
            <w:vAlign w:val="center"/>
            <w:tcMar>
              <w:top w:w="90" w:type="dxa"/>
              <w:start w:w="110" w:type="dxa"/>
              <w:bottom w:w="90" w:type="dxa"/>
              <w:end w:w="110" w:type="dxa"/>
            </w:tcMar>
          </w:tcPr>
          <w:p>
            <w:pPr>
              <w:spacing w:after="0" w:line="288" w:lineRule="auto"/>
              <w:jc w:val="center"/>
            </w:pPr>
            <w:r>
              <w:rPr>
                <w:rFonts w:ascii="宋体" w:hAnsi="宋体" w:eastAsia="宋体"/>
                <w:sz w:val="18"/>
              </w:rPr>
              <w:t>结果标准化</w:t>
            </w:r>
          </w:p>
        </w:tc>
        <w:tc>
          <w:tcPr>
            <w:tcW w:type="dxa" w:w="4082"/>
            <w:vAlign w:val="center"/>
            <w:tcMar>
              <w:top w:w="90" w:type="dxa"/>
              <w:start w:w="110" w:type="dxa"/>
              <w:bottom w:w="90" w:type="dxa"/>
              <w:end w:w="110" w:type="dxa"/>
            </w:tcMar>
          </w:tcPr>
          <w:p>
            <w:pPr>
              <w:spacing w:after="0" w:line="288" w:lineRule="auto"/>
              <w:jc w:val="left"/>
            </w:pPr>
            <w:r>
              <w:rPr>
                <w:rFonts w:ascii="宋体" w:hAnsi="宋体" w:eastAsia="宋体"/>
                <w:sz w:val="18"/>
              </w:rPr>
              <w:t>将两类扫描结果映射至统一字段和报告输入结构。</w:t>
            </w:r>
          </w:p>
        </w:tc>
        <w:tc>
          <w:tcPr>
            <w:tcW w:type="dxa" w:w="2381"/>
            <w:vAlign w:val="center"/>
            <w:tcMar>
              <w:top w:w="90" w:type="dxa"/>
              <w:start w:w="110" w:type="dxa"/>
              <w:bottom w:w="90" w:type="dxa"/>
              <w:end w:w="110" w:type="dxa"/>
            </w:tcMar>
          </w:tcPr>
          <w:p>
            <w:pPr>
              <w:spacing w:after="0" w:line="288" w:lineRule="auto"/>
              <w:jc w:val="left"/>
            </w:pPr>
            <w:r>
              <w:rPr>
                <w:rFonts w:ascii="宋体" w:hAnsi="宋体" w:eastAsia="宋体"/>
                <w:sz w:val="18"/>
              </w:rPr>
              <w:t>统一风险统计、问题明细和报告展示口径。</w:t>
            </w:r>
          </w:p>
        </w:tc>
      </w:tr>
    </w:tbl>
    <w:p>
      <w:pPr>
        <w:spacing w:after="20"/>
      </w:pPr>
    </w:p>
    <w:p>
      <w:pPr>
        <w:pStyle w:val="3"/>
        <w:keepNext/>
        <w:pageBreakBefore w:val="0"/>
        <w:spacing w:before="100" w:after="100"/>
      </w:pPr>
      <w:r>
        <w:rPr>
          <w:rFonts w:ascii="黑体" w:hAnsi="黑体" w:eastAsia="黑体"/>
          <w:b/>
          <w:color w:val="404040"/>
          <w:sz w:val="23"/>
        </w:rPr>
        <w:t>4.1.1.5 模板报告生成与结构展示能力</w:t>
      </w:r>
    </w:p>
    <w:p>
      <w:pPr>
        <w:spacing w:line="348" w:lineRule="auto" w:after="80"/>
        <w:ind w:firstLine="420"/>
        <w:jc w:val="both"/>
      </w:pPr>
      <w:r>
        <w:rPr>
          <w:rFonts w:ascii="宋体" w:hAnsi="宋体" w:eastAsia="宋体"/>
          <w:sz w:val="21"/>
        </w:rPr>
        <w:t>JSON 或 YML 安全库匹配完成后，系统将结构化结果交由统一模板生成报告。报告应覆盖风险概览、问题明细、证据位置、整改建议及必要的工作流结构信息，保证两类 DSL 在灵镜中的展示口径一致。</w:t>
      </w:r>
    </w:p>
    <w:p>
      <w:pPr>
        <w:keepNext/>
        <w:spacing w:before="80" w:after="40"/>
        <w:jc w:val="center"/>
      </w:pPr>
      <w:r>
        <w:drawing>
          <wp:inline xmlns:a="http://schemas.openxmlformats.org/drawingml/2006/main" xmlns:pic="http://schemas.openxmlformats.org/drawingml/2006/picture">
            <wp:extent cx="5184000" cy="1773474"/>
            <wp:docPr id="4" name="Picture 4"/>
            <wp:cNvGraphicFramePr>
              <a:graphicFrameLocks noChangeAspect="1"/>
            </wp:cNvGraphicFramePr>
            <a:graphic>
              <a:graphicData uri="http://schemas.openxmlformats.org/drawingml/2006/picture">
                <pic:pic>
                  <pic:nvPicPr>
                    <pic:cNvPr id="0" name="phase3_report_flow_v2.png"/>
                    <pic:cNvPicPr/>
                  </pic:nvPicPr>
                  <pic:blipFill>
                    <a:blip r:embed="rId9"/>
                    <a:stretch>
                      <a:fillRect/>
                    </a:stretch>
                  </pic:blipFill>
                  <pic:spPr>
                    <a:xfrm>
                      <a:off x="0" y="0"/>
                      <a:ext cx="5184000" cy="1773474"/>
                    </a:xfrm>
                    <a:prstGeom prst="rect"/>
                  </pic:spPr>
                </pic:pic>
              </a:graphicData>
            </a:graphic>
          </wp:inline>
        </w:drawing>
      </w:r>
    </w:p>
    <w:p>
      <w:pPr>
        <w:keepNext/>
        <w:spacing w:after="120"/>
        <w:jc w:val="center"/>
      </w:pPr>
      <w:r>
        <w:rPr>
          <w:rFonts w:ascii="宋体" w:hAnsi="宋体" w:eastAsia="宋体"/>
          <w:color w:val="404040"/>
          <w:sz w:val="18"/>
        </w:rPr>
        <w:t>图4.2  扫描结果与报告交付关系图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3"/>
        <w:gridCol w:w="4153"/>
      </w:tblGrid>
      <w:tr>
        <w:trPr>
          <w:tblHeader w:val="true"/>
          <w:cantSplit/>
        </w:trPr>
        <w:tc>
          <w:tcPr>
            <w:tcW w:type="dxa" w:w="1928"/>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报告内容</w:t>
            </w:r>
          </w:p>
        </w:tc>
        <w:tc>
          <w:tcPr>
            <w:tcW w:type="dxa" w:w="6350"/>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说明</w:t>
            </w:r>
          </w:p>
        </w:tc>
      </w:tr>
      <w:tr>
        <w:trPr>
          <w:cantSplit/>
        </w:trPr>
        <w:tc>
          <w:tcPr>
            <w:tcW w:type="dxa" w:w="1928"/>
            <w:vAlign w:val="center"/>
            <w:tcMar>
              <w:top w:w="90" w:type="dxa"/>
              <w:start w:w="110" w:type="dxa"/>
              <w:bottom w:w="90" w:type="dxa"/>
              <w:end w:w="110" w:type="dxa"/>
            </w:tcMar>
          </w:tcPr>
          <w:p>
            <w:pPr>
              <w:spacing w:after="0" w:line="288" w:lineRule="auto"/>
              <w:jc w:val="center"/>
            </w:pPr>
            <w:r>
              <w:rPr>
                <w:rFonts w:ascii="宋体" w:hAnsi="宋体" w:eastAsia="宋体"/>
                <w:sz w:val="18"/>
              </w:rPr>
              <w:t>扫描概览</w:t>
            </w:r>
          </w:p>
        </w:tc>
        <w:tc>
          <w:tcPr>
            <w:tcW w:type="dxa" w:w="6350"/>
            <w:vAlign w:val="center"/>
            <w:tcMar>
              <w:top w:w="90" w:type="dxa"/>
              <w:start w:w="110" w:type="dxa"/>
              <w:bottom w:w="90" w:type="dxa"/>
              <w:end w:w="110" w:type="dxa"/>
            </w:tcMar>
          </w:tcPr>
          <w:p>
            <w:pPr>
              <w:spacing w:after="0" w:line="288" w:lineRule="auto"/>
              <w:jc w:val="left"/>
            </w:pPr>
            <w:r>
              <w:rPr>
                <w:rFonts w:ascii="宋体" w:hAnsi="宋体" w:eastAsia="宋体"/>
                <w:sz w:val="18"/>
              </w:rPr>
              <w:t>展示文件名称、文件类型、扫描时间、整体等级和各等级风险数量。</w:t>
            </w:r>
          </w:p>
        </w:tc>
      </w:tr>
      <w:tr>
        <w:trPr>
          <w:cantSplit/>
        </w:trPr>
        <w:tc>
          <w:tcPr>
            <w:tcW w:type="dxa" w:w="1928"/>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问题明细</w:t>
            </w:r>
          </w:p>
        </w:tc>
        <w:tc>
          <w:tcPr>
            <w:tcW w:type="dxa" w:w="6350"/>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展示规则编号、风险等级、问题说明、证据位置和整改建议。</w:t>
            </w:r>
          </w:p>
        </w:tc>
      </w:tr>
      <w:tr>
        <w:trPr>
          <w:cantSplit/>
        </w:trPr>
        <w:tc>
          <w:tcPr>
            <w:tcW w:type="dxa" w:w="1928"/>
            <w:vAlign w:val="center"/>
            <w:tcMar>
              <w:top w:w="90" w:type="dxa"/>
              <w:start w:w="110" w:type="dxa"/>
              <w:bottom w:w="90" w:type="dxa"/>
              <w:end w:w="110" w:type="dxa"/>
            </w:tcMar>
          </w:tcPr>
          <w:p>
            <w:pPr>
              <w:spacing w:after="0" w:line="288" w:lineRule="auto"/>
              <w:jc w:val="center"/>
            </w:pPr>
            <w:r>
              <w:rPr>
                <w:rFonts w:ascii="宋体" w:hAnsi="宋体" w:eastAsia="宋体"/>
                <w:sz w:val="18"/>
              </w:rPr>
              <w:t>工作流结构</w:t>
            </w:r>
          </w:p>
        </w:tc>
        <w:tc>
          <w:tcPr>
            <w:tcW w:type="dxa" w:w="6350"/>
            <w:vAlign w:val="center"/>
            <w:tcMar>
              <w:top w:w="90" w:type="dxa"/>
              <w:start w:w="110" w:type="dxa"/>
              <w:bottom w:w="90" w:type="dxa"/>
              <w:end w:w="110" w:type="dxa"/>
            </w:tcMar>
          </w:tcPr>
          <w:p>
            <w:pPr>
              <w:spacing w:after="0" w:line="288" w:lineRule="auto"/>
              <w:jc w:val="left"/>
            </w:pPr>
            <w:r>
              <w:rPr>
                <w:rFonts w:ascii="宋体" w:hAnsi="宋体" w:eastAsia="宋体"/>
                <w:sz w:val="18"/>
              </w:rPr>
              <w:t>根据已有解析结果展示关键节点及调用关系，辅助理解问题所在位置。</w:t>
            </w:r>
          </w:p>
        </w:tc>
      </w:tr>
      <w:tr>
        <w:trPr>
          <w:cantSplit/>
        </w:trPr>
        <w:tc>
          <w:tcPr>
            <w:tcW w:type="dxa" w:w="1928"/>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格式输出</w:t>
            </w:r>
          </w:p>
        </w:tc>
        <w:tc>
          <w:tcPr>
            <w:tcW w:type="dxa" w:w="6350"/>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支持生成 HTML、PDF、JSON 等报告，核心统计和结论保持一致。</w:t>
            </w:r>
          </w:p>
        </w:tc>
      </w:tr>
    </w:tbl>
    <w:p>
      <w:pPr>
        <w:spacing w:after="20"/>
      </w:pPr>
    </w:p>
    <w:p>
      <w:pPr>
        <w:pStyle w:val="3"/>
        <w:keepNext/>
        <w:pageBreakBefore w:val="0"/>
        <w:spacing w:before="100" w:after="100"/>
      </w:pPr>
      <w:r>
        <w:rPr>
          <w:rFonts w:ascii="黑体" w:hAnsi="黑体" w:eastAsia="黑体"/>
          <w:b/>
          <w:color w:val="404040"/>
          <w:sz w:val="23"/>
        </w:rPr>
        <w:t>4.1.1.6 报告预览与文件下载能力</w:t>
      </w:r>
    </w:p>
    <w:p>
      <w:pPr>
        <w:spacing w:line="348" w:lineRule="auto" w:after="80"/>
        <w:ind w:firstLine="420"/>
        <w:jc w:val="both"/>
      </w:pPr>
      <w:r>
        <w:rPr>
          <w:rFonts w:ascii="宋体" w:hAnsi="宋体" w:eastAsia="宋体"/>
          <w:sz w:val="21"/>
        </w:rPr>
        <w:t>扫描完成后，用户可在灵镜页面预览报告核心内容，也可下载完整报告用于归档、审批或后续系统处理。报告预览和下载使用同一任务结果，避免页面展示与文件内容不一致。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3"/>
        <w:gridCol w:w="4153"/>
      </w:tblGrid>
      <w:tr>
        <w:trPr>
          <w:tblHeader w:val="true"/>
          <w:cantSplit/>
        </w:trPr>
        <w:tc>
          <w:tcPr>
            <w:tcW w:type="dxa" w:w="1928"/>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能力项</w:t>
            </w:r>
          </w:p>
        </w:tc>
        <w:tc>
          <w:tcPr>
            <w:tcW w:type="dxa" w:w="6350"/>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展示或处理内容</w:t>
            </w:r>
          </w:p>
        </w:tc>
      </w:tr>
      <w:tr>
        <w:trPr>
          <w:cantSplit/>
        </w:trPr>
        <w:tc>
          <w:tcPr>
            <w:tcW w:type="dxa" w:w="1928"/>
            <w:vAlign w:val="center"/>
            <w:tcMar>
              <w:top w:w="90" w:type="dxa"/>
              <w:start w:w="110" w:type="dxa"/>
              <w:bottom w:w="90" w:type="dxa"/>
              <w:end w:w="110" w:type="dxa"/>
            </w:tcMar>
          </w:tcPr>
          <w:p>
            <w:pPr>
              <w:spacing w:after="0" w:line="288" w:lineRule="auto"/>
              <w:jc w:val="center"/>
            </w:pPr>
            <w:r>
              <w:rPr>
                <w:rFonts w:ascii="宋体" w:hAnsi="宋体" w:eastAsia="宋体"/>
                <w:sz w:val="18"/>
              </w:rPr>
              <w:t>报告预览</w:t>
            </w:r>
          </w:p>
        </w:tc>
        <w:tc>
          <w:tcPr>
            <w:tcW w:type="dxa" w:w="6350"/>
            <w:vAlign w:val="center"/>
            <w:tcMar>
              <w:top w:w="90" w:type="dxa"/>
              <w:start w:w="110" w:type="dxa"/>
              <w:bottom w:w="90" w:type="dxa"/>
              <w:end w:w="110" w:type="dxa"/>
            </w:tcMar>
          </w:tcPr>
          <w:p>
            <w:pPr>
              <w:spacing w:after="0" w:line="288" w:lineRule="auto"/>
              <w:jc w:val="left"/>
            </w:pPr>
            <w:r>
              <w:rPr>
                <w:rFonts w:ascii="宋体" w:hAnsi="宋体" w:eastAsia="宋体"/>
                <w:sz w:val="18"/>
              </w:rPr>
              <w:t>展示扫描概览、风险分布、问题清单、风险详情和整改建议。</w:t>
            </w:r>
          </w:p>
        </w:tc>
      </w:tr>
      <w:tr>
        <w:trPr>
          <w:cantSplit/>
        </w:trPr>
        <w:tc>
          <w:tcPr>
            <w:tcW w:type="dxa" w:w="1928"/>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条件筛选</w:t>
            </w:r>
          </w:p>
        </w:tc>
        <w:tc>
          <w:tcPr>
            <w:tcW w:type="dxa" w:w="6350"/>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支持按风险等级、规则编号或节点等条件查看问题。</w:t>
            </w:r>
          </w:p>
        </w:tc>
      </w:tr>
      <w:tr>
        <w:trPr>
          <w:cantSplit/>
        </w:trPr>
        <w:tc>
          <w:tcPr>
            <w:tcW w:type="dxa" w:w="1928"/>
            <w:vAlign w:val="center"/>
            <w:tcMar>
              <w:top w:w="90" w:type="dxa"/>
              <w:start w:w="110" w:type="dxa"/>
              <w:bottom w:w="90" w:type="dxa"/>
              <w:end w:w="110" w:type="dxa"/>
            </w:tcMar>
          </w:tcPr>
          <w:p>
            <w:pPr>
              <w:spacing w:after="0" w:line="288" w:lineRule="auto"/>
              <w:jc w:val="center"/>
            </w:pPr>
            <w:r>
              <w:rPr>
                <w:rFonts w:ascii="宋体" w:hAnsi="宋体" w:eastAsia="宋体"/>
                <w:sz w:val="18"/>
              </w:rPr>
              <w:t>文件下载</w:t>
            </w:r>
          </w:p>
        </w:tc>
        <w:tc>
          <w:tcPr>
            <w:tcW w:type="dxa" w:w="6350"/>
            <w:vAlign w:val="center"/>
            <w:tcMar>
              <w:top w:w="90" w:type="dxa"/>
              <w:start w:w="110" w:type="dxa"/>
              <w:bottom w:w="90" w:type="dxa"/>
              <w:end w:w="110" w:type="dxa"/>
            </w:tcMar>
          </w:tcPr>
          <w:p>
            <w:pPr>
              <w:spacing w:after="0" w:line="288" w:lineRule="auto"/>
              <w:jc w:val="left"/>
            </w:pPr>
            <w:r>
              <w:rPr>
                <w:rFonts w:ascii="宋体" w:hAnsi="宋体" w:eastAsia="宋体"/>
                <w:sz w:val="18"/>
              </w:rPr>
              <w:t>提供 HTML、PDF、JSON 等已生成报告文件下载。</w:t>
            </w:r>
          </w:p>
        </w:tc>
      </w:tr>
      <w:tr>
        <w:trPr>
          <w:cantSplit/>
        </w:trPr>
        <w:tc>
          <w:tcPr>
            <w:tcW w:type="dxa" w:w="1928"/>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访问控制</w:t>
            </w:r>
          </w:p>
        </w:tc>
        <w:tc>
          <w:tcPr>
            <w:tcW w:type="dxa" w:w="6350"/>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依据一事通身份和任务归属校验预览及下载权限。</w:t>
            </w:r>
          </w:p>
        </w:tc>
      </w:tr>
      <w:tr>
        <w:trPr>
          <w:cantSplit/>
        </w:trPr>
        <w:tc>
          <w:tcPr>
            <w:tcW w:type="dxa" w:w="1928"/>
            <w:vAlign w:val="center"/>
            <w:tcMar>
              <w:top w:w="90" w:type="dxa"/>
              <w:start w:w="110" w:type="dxa"/>
              <w:bottom w:w="90" w:type="dxa"/>
              <w:end w:w="110" w:type="dxa"/>
            </w:tcMar>
          </w:tcPr>
          <w:p>
            <w:pPr>
              <w:spacing w:after="0" w:line="288" w:lineRule="auto"/>
              <w:jc w:val="center"/>
            </w:pPr>
            <w:r>
              <w:rPr>
                <w:rFonts w:ascii="宋体" w:hAnsi="宋体" w:eastAsia="宋体"/>
                <w:sz w:val="18"/>
              </w:rPr>
              <w:t>结果关联</w:t>
            </w:r>
          </w:p>
        </w:tc>
        <w:tc>
          <w:tcPr>
            <w:tcW w:type="dxa" w:w="6350"/>
            <w:vAlign w:val="center"/>
            <w:tcMar>
              <w:top w:w="90" w:type="dxa"/>
              <w:start w:w="110" w:type="dxa"/>
              <w:bottom w:w="90" w:type="dxa"/>
              <w:end w:w="110" w:type="dxa"/>
            </w:tcMar>
          </w:tcPr>
          <w:p>
            <w:pPr>
              <w:spacing w:after="0" w:line="288" w:lineRule="auto"/>
              <w:jc w:val="left"/>
            </w:pPr>
            <w:r>
              <w:rPr>
                <w:rFonts w:ascii="宋体" w:hAnsi="宋体" w:eastAsia="宋体"/>
                <w:sz w:val="18"/>
              </w:rPr>
              <w:t>报告文件、预览内容、源文件和任务编号保持关联。</w:t>
            </w:r>
          </w:p>
        </w:tc>
      </w:tr>
    </w:tbl>
    <w:p>
      <w:pPr>
        <w:spacing w:after="20"/>
      </w:pPr>
    </w:p>
    <w:p>
      <w:pPr>
        <w:pStyle w:val="3"/>
        <w:keepNext/>
        <w:pageBreakBefore w:val="0"/>
        <w:spacing w:before="100" w:after="100"/>
      </w:pPr>
      <w:r>
        <w:rPr>
          <w:rFonts w:ascii="黑体" w:hAnsi="黑体" w:eastAsia="黑体"/>
          <w:b/>
          <w:color w:val="404040"/>
          <w:sz w:val="23"/>
        </w:rPr>
        <w:t>4.1.2 验收标准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9"/>
        <w:gridCol w:w="2769"/>
        <w:gridCol w:w="2769"/>
      </w:tblGrid>
      <w:tr>
        <w:trPr>
          <w:tblHeader w:val="true"/>
          <w:cantSplit/>
        </w:trPr>
        <w:tc>
          <w:tcPr>
            <w:tcW w:type="dxa" w:w="1531"/>
            <w:shd w:fill="1F4E78"/>
            <w:vAlign w:val="center"/>
            <w:tcMar>
              <w:top w:w="90" w:type="dxa"/>
              <w:start w:w="110" w:type="dxa"/>
              <w:bottom w:w="90" w:type="dxa"/>
              <w:end w:w="110" w:type="dxa"/>
            </w:tcMar>
          </w:tcPr>
          <w:p>
            <w:pPr>
              <w:spacing w:after="0"/>
              <w:jc w:val="center"/>
            </w:pPr>
            <w:r>
              <w:rPr>
                <w:rFonts w:ascii="黑体" w:hAnsi="黑体" w:eastAsia="黑体"/>
                <w:b/>
                <w:color w:val="FFFFFF"/>
                <w:sz w:val="17"/>
              </w:rPr>
              <w:t>验收域</w:t>
            </w:r>
          </w:p>
        </w:tc>
        <w:tc>
          <w:tcPr>
            <w:tcW w:type="dxa" w:w="4025"/>
            <w:shd w:fill="1F4E78"/>
            <w:vAlign w:val="center"/>
            <w:tcMar>
              <w:top w:w="90" w:type="dxa"/>
              <w:start w:w="110" w:type="dxa"/>
              <w:bottom w:w="90" w:type="dxa"/>
              <w:end w:w="110" w:type="dxa"/>
            </w:tcMar>
          </w:tcPr>
          <w:p>
            <w:pPr>
              <w:spacing w:after="0"/>
              <w:jc w:val="center"/>
            </w:pPr>
            <w:r>
              <w:rPr>
                <w:rFonts w:ascii="黑体" w:hAnsi="黑体" w:eastAsia="黑体"/>
                <w:b/>
                <w:color w:val="FFFFFF"/>
                <w:sz w:val="17"/>
              </w:rPr>
              <w:t>验收要点</w:t>
            </w:r>
          </w:p>
        </w:tc>
        <w:tc>
          <w:tcPr>
            <w:tcW w:type="dxa" w:w="2721"/>
            <w:shd w:fill="1F4E78"/>
            <w:vAlign w:val="center"/>
            <w:tcMar>
              <w:top w:w="90" w:type="dxa"/>
              <w:start w:w="110" w:type="dxa"/>
              <w:bottom w:w="90" w:type="dxa"/>
              <w:end w:w="110" w:type="dxa"/>
            </w:tcMar>
          </w:tcPr>
          <w:p>
            <w:pPr>
              <w:spacing w:after="0"/>
              <w:jc w:val="center"/>
            </w:pPr>
            <w:r>
              <w:rPr>
                <w:rFonts w:ascii="黑体" w:hAnsi="黑体" w:eastAsia="黑体"/>
                <w:b/>
                <w:color w:val="FFFFFF"/>
                <w:sz w:val="17"/>
              </w:rPr>
              <w:t>结果要求</w:t>
            </w:r>
          </w:p>
        </w:tc>
      </w:tr>
      <w:tr>
        <w:trPr>
          <w:cantSplit/>
        </w:trPr>
        <w:tc>
          <w:tcPr>
            <w:tcW w:type="dxa" w:w="1531"/>
            <w:vAlign w:val="center"/>
            <w:tcMar>
              <w:top w:w="90" w:type="dxa"/>
              <w:start w:w="110" w:type="dxa"/>
              <w:bottom w:w="90" w:type="dxa"/>
              <w:end w:w="110" w:type="dxa"/>
            </w:tcMar>
          </w:tcPr>
          <w:p>
            <w:pPr>
              <w:spacing w:after="0" w:line="288" w:lineRule="auto"/>
              <w:jc w:val="center"/>
            </w:pPr>
            <w:r>
              <w:rPr>
                <w:rFonts w:ascii="宋体" w:hAnsi="宋体" w:eastAsia="宋体"/>
                <w:sz w:val="17"/>
              </w:rPr>
              <w:t>平台接入</w:t>
            </w:r>
          </w:p>
        </w:tc>
        <w:tc>
          <w:tcPr>
            <w:tcW w:type="dxa" w:w="4025"/>
            <w:vAlign w:val="center"/>
            <w:tcMar>
              <w:top w:w="90" w:type="dxa"/>
              <w:start w:w="110" w:type="dxa"/>
              <w:bottom w:w="90" w:type="dxa"/>
              <w:end w:w="110" w:type="dxa"/>
            </w:tcMar>
          </w:tcPr>
          <w:p>
            <w:pPr>
              <w:spacing w:after="0" w:line="288" w:lineRule="auto"/>
              <w:jc w:val="left"/>
            </w:pPr>
            <w:r>
              <w:rPr>
                <w:rFonts w:ascii="宋体" w:hAnsi="宋体" w:eastAsia="宋体"/>
                <w:sz w:val="17"/>
              </w:rPr>
              <w:t>灵镜菜单、页面路由及一事通身份能够正常承接。</w:t>
            </w:r>
          </w:p>
        </w:tc>
        <w:tc>
          <w:tcPr>
            <w:tcW w:type="dxa" w:w="2721"/>
            <w:vAlign w:val="center"/>
            <w:tcMar>
              <w:top w:w="90" w:type="dxa"/>
              <w:start w:w="110" w:type="dxa"/>
              <w:bottom w:w="90" w:type="dxa"/>
              <w:end w:w="110" w:type="dxa"/>
            </w:tcMar>
          </w:tcPr>
          <w:p>
            <w:pPr>
              <w:spacing w:after="0" w:line="288" w:lineRule="auto"/>
              <w:jc w:val="left"/>
            </w:pPr>
            <w:r>
              <w:rPr>
                <w:rFonts w:ascii="宋体" w:hAnsi="宋体" w:eastAsia="宋体"/>
                <w:sz w:val="17"/>
              </w:rPr>
              <w:t>授权用户可使用扫描及报告功能，未授权访问被拦截。</w:t>
            </w:r>
          </w:p>
        </w:tc>
      </w:tr>
      <w:tr>
        <w:trPr>
          <w:cantSplit/>
        </w:trPr>
        <w:tc>
          <w:tcPr>
            <w:tcW w:type="dxa" w:w="1531"/>
            <w:shd w:fill="F8FBFD"/>
            <w:vAlign w:val="center"/>
            <w:tcMar>
              <w:top w:w="90" w:type="dxa"/>
              <w:start w:w="110" w:type="dxa"/>
              <w:bottom w:w="90" w:type="dxa"/>
              <w:end w:w="110" w:type="dxa"/>
            </w:tcMar>
          </w:tcPr>
          <w:p>
            <w:pPr>
              <w:spacing w:after="0" w:line="288" w:lineRule="auto"/>
              <w:jc w:val="center"/>
            </w:pPr>
            <w:r>
              <w:rPr>
                <w:rFonts w:ascii="宋体" w:hAnsi="宋体" w:eastAsia="宋体"/>
                <w:sz w:val="17"/>
              </w:rPr>
              <w:t>文件处理</w:t>
            </w:r>
          </w:p>
        </w:tc>
        <w:tc>
          <w:tcPr>
            <w:tcW w:type="dxa" w:w="4025"/>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上传校验、任务隔离、文件存储及任务埋点链路完整。</w:t>
            </w:r>
          </w:p>
        </w:tc>
        <w:tc>
          <w:tcPr>
            <w:tcW w:type="dxa" w:w="2721"/>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文件与任务关联正确，不发生越权访问或相互覆盖。</w:t>
            </w:r>
          </w:p>
        </w:tc>
      </w:tr>
      <w:tr>
        <w:trPr>
          <w:cantSplit/>
        </w:trPr>
        <w:tc>
          <w:tcPr>
            <w:tcW w:type="dxa" w:w="1531"/>
            <w:vAlign w:val="center"/>
            <w:tcMar>
              <w:top w:w="90" w:type="dxa"/>
              <w:start w:w="110" w:type="dxa"/>
              <w:bottom w:w="90" w:type="dxa"/>
              <w:end w:w="110" w:type="dxa"/>
            </w:tcMar>
          </w:tcPr>
          <w:p>
            <w:pPr>
              <w:spacing w:after="0" w:line="288" w:lineRule="auto"/>
              <w:jc w:val="center"/>
            </w:pPr>
            <w:r>
              <w:rPr>
                <w:rFonts w:ascii="宋体" w:hAnsi="宋体" w:eastAsia="宋体"/>
                <w:sz w:val="17"/>
              </w:rPr>
              <w:t>格式判断</w:t>
            </w:r>
          </w:p>
        </w:tc>
        <w:tc>
          <w:tcPr>
            <w:tcW w:type="dxa" w:w="4025"/>
            <w:vAlign w:val="center"/>
            <w:tcMar>
              <w:top w:w="90" w:type="dxa"/>
              <w:start w:w="110" w:type="dxa"/>
              <w:bottom w:w="90" w:type="dxa"/>
              <w:end w:w="110" w:type="dxa"/>
            </w:tcMar>
          </w:tcPr>
          <w:p>
            <w:pPr>
              <w:spacing w:after="0" w:line="288" w:lineRule="auto"/>
              <w:jc w:val="left"/>
            </w:pPr>
            <w:r>
              <w:rPr>
                <w:rFonts w:ascii="宋体" w:hAnsi="宋体" w:eastAsia="宋体"/>
                <w:sz w:val="17"/>
              </w:rPr>
              <w:t>JSON 与 YML 文件能够被正确识别并路由至对应安全库。</w:t>
            </w:r>
          </w:p>
        </w:tc>
        <w:tc>
          <w:tcPr>
            <w:tcW w:type="dxa" w:w="2721"/>
            <w:vAlign w:val="center"/>
            <w:tcMar>
              <w:top w:w="90" w:type="dxa"/>
              <w:start w:w="110" w:type="dxa"/>
              <w:bottom w:w="90" w:type="dxa"/>
              <w:end w:w="110" w:type="dxa"/>
            </w:tcMar>
          </w:tcPr>
          <w:p>
            <w:pPr>
              <w:spacing w:after="0" w:line="288" w:lineRule="auto"/>
              <w:jc w:val="left"/>
            </w:pPr>
            <w:r>
              <w:rPr>
                <w:rFonts w:ascii="宋体" w:hAnsi="宋体" w:eastAsia="宋体"/>
                <w:sz w:val="17"/>
              </w:rPr>
              <w:t>支持样例进入正确分支；异常文件提示明确。</w:t>
            </w:r>
          </w:p>
        </w:tc>
      </w:tr>
      <w:tr>
        <w:trPr>
          <w:cantSplit/>
        </w:trPr>
        <w:tc>
          <w:tcPr>
            <w:tcW w:type="dxa" w:w="1531"/>
            <w:shd w:fill="F8FBFD"/>
            <w:vAlign w:val="center"/>
            <w:tcMar>
              <w:top w:w="90" w:type="dxa"/>
              <w:start w:w="110" w:type="dxa"/>
              <w:bottom w:w="90" w:type="dxa"/>
              <w:end w:w="110" w:type="dxa"/>
            </w:tcMar>
          </w:tcPr>
          <w:p>
            <w:pPr>
              <w:spacing w:after="0" w:line="288" w:lineRule="auto"/>
              <w:jc w:val="center"/>
            </w:pPr>
            <w:r>
              <w:rPr>
                <w:rFonts w:ascii="宋体" w:hAnsi="宋体" w:eastAsia="宋体"/>
                <w:sz w:val="17"/>
              </w:rPr>
              <w:t>安全库匹配</w:t>
            </w:r>
          </w:p>
        </w:tc>
        <w:tc>
          <w:tcPr>
            <w:tcW w:type="dxa" w:w="4025"/>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JSON/YML 既有静态规则能力能够通过灵镜服务正常调用。</w:t>
            </w:r>
          </w:p>
        </w:tc>
        <w:tc>
          <w:tcPr>
            <w:tcW w:type="dxa" w:w="2721"/>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核心扫描结果与一期、二期原能力保持一致。</w:t>
            </w:r>
          </w:p>
        </w:tc>
      </w:tr>
      <w:tr>
        <w:trPr>
          <w:cantSplit/>
        </w:trPr>
        <w:tc>
          <w:tcPr>
            <w:tcW w:type="dxa" w:w="1531"/>
            <w:vAlign w:val="center"/>
            <w:tcMar>
              <w:top w:w="90" w:type="dxa"/>
              <w:start w:w="110" w:type="dxa"/>
              <w:bottom w:w="90" w:type="dxa"/>
              <w:end w:w="110" w:type="dxa"/>
            </w:tcMar>
          </w:tcPr>
          <w:p>
            <w:pPr>
              <w:spacing w:after="0" w:line="288" w:lineRule="auto"/>
              <w:jc w:val="center"/>
            </w:pPr>
            <w:r>
              <w:rPr>
                <w:rFonts w:ascii="宋体" w:hAnsi="宋体" w:eastAsia="宋体"/>
                <w:sz w:val="17"/>
              </w:rPr>
              <w:t>报告生成</w:t>
            </w:r>
          </w:p>
        </w:tc>
        <w:tc>
          <w:tcPr>
            <w:tcW w:type="dxa" w:w="4025"/>
            <w:vAlign w:val="center"/>
            <w:tcMar>
              <w:top w:w="90" w:type="dxa"/>
              <w:start w:w="110" w:type="dxa"/>
              <w:bottom w:w="90" w:type="dxa"/>
              <w:end w:w="110" w:type="dxa"/>
            </w:tcMar>
          </w:tcPr>
          <w:p>
            <w:pPr>
              <w:spacing w:after="0" w:line="288" w:lineRule="auto"/>
              <w:jc w:val="left"/>
            </w:pPr>
            <w:r>
              <w:rPr>
                <w:rFonts w:ascii="宋体" w:hAnsi="宋体" w:eastAsia="宋体"/>
                <w:sz w:val="17"/>
              </w:rPr>
              <w:t>两类扫描结果均能按统一模板生成结构完整的报告。</w:t>
            </w:r>
          </w:p>
        </w:tc>
        <w:tc>
          <w:tcPr>
            <w:tcW w:type="dxa" w:w="2721"/>
            <w:vAlign w:val="center"/>
            <w:tcMar>
              <w:top w:w="90" w:type="dxa"/>
              <w:start w:w="110" w:type="dxa"/>
              <w:bottom w:w="90" w:type="dxa"/>
              <w:end w:w="110" w:type="dxa"/>
            </w:tcMar>
          </w:tcPr>
          <w:p>
            <w:pPr>
              <w:spacing w:after="0" w:line="288" w:lineRule="auto"/>
              <w:jc w:val="left"/>
            </w:pPr>
            <w:r>
              <w:rPr>
                <w:rFonts w:ascii="宋体" w:hAnsi="宋体" w:eastAsia="宋体"/>
                <w:sz w:val="17"/>
              </w:rPr>
              <w:t>风险统计、问题明细、证据和建议完整且口径一致。</w:t>
            </w:r>
          </w:p>
        </w:tc>
      </w:tr>
      <w:tr>
        <w:trPr>
          <w:cantSplit/>
        </w:trPr>
        <w:tc>
          <w:tcPr>
            <w:tcW w:type="dxa" w:w="1531"/>
            <w:shd w:fill="F8FBFD"/>
            <w:vAlign w:val="center"/>
            <w:tcMar>
              <w:top w:w="90" w:type="dxa"/>
              <w:start w:w="110" w:type="dxa"/>
              <w:bottom w:w="90" w:type="dxa"/>
              <w:end w:w="110" w:type="dxa"/>
            </w:tcMar>
          </w:tcPr>
          <w:p>
            <w:pPr>
              <w:spacing w:after="0" w:line="288" w:lineRule="auto"/>
              <w:jc w:val="center"/>
            </w:pPr>
            <w:r>
              <w:rPr>
                <w:rFonts w:ascii="宋体" w:hAnsi="宋体" w:eastAsia="宋体"/>
                <w:sz w:val="17"/>
              </w:rPr>
              <w:t>预览与下载</w:t>
            </w:r>
          </w:p>
        </w:tc>
        <w:tc>
          <w:tcPr>
            <w:tcW w:type="dxa" w:w="4025"/>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门户可预览扫描结果，并下载对应任务的报告文件。</w:t>
            </w:r>
          </w:p>
        </w:tc>
        <w:tc>
          <w:tcPr>
            <w:tcW w:type="dxa" w:w="2721"/>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预览与下载内容一致，访问权限校验有效。</w:t>
            </w:r>
          </w:p>
        </w:tc>
      </w:tr>
    </w:tbl>
    <w:p>
      <w:pPr>
        <w:spacing w:after="20"/>
      </w:pPr>
    </w:p>
    <w:p>
      <w:pPr>
        <w:pStyle w:val="2"/>
        <w:keepNext/>
        <w:pageBreakBefore w:val="0"/>
        <w:spacing w:before="100" w:after="100"/>
      </w:pPr>
      <w:r>
        <w:rPr>
          <w:rFonts w:ascii="黑体" w:hAnsi="黑体" w:eastAsia="黑体"/>
          <w:b/>
          <w:color w:val="1F4E78"/>
          <w:sz w:val="26"/>
        </w:rPr>
        <w:t>4.2 安全性评估[按需]</w:t>
      </w:r>
    </w:p>
    <w:p>
      <w:pPr>
        <w:spacing w:line="348" w:lineRule="auto" w:after="80"/>
        <w:jc w:val="both"/>
      </w:pPr>
      <w:r>
        <w:rPr>
          <w:rFonts w:ascii="宋体" w:hAnsi="宋体" w:eastAsia="宋体"/>
          <w:sz w:val="21"/>
        </w:rPr>
        <w:t>请评估是否涉及以下特性功能，如涉及，请勾选。</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9"/>
        <w:gridCol w:w="2769"/>
        <w:gridCol w:w="2769"/>
      </w:tblGrid>
      <w:tr>
        <w:trPr>
          <w:tblHeader w:val="true"/>
          <w:cantSplit/>
        </w:trPr>
        <w:tc>
          <w:tcPr>
            <w:tcW w:type="dxa" w:w="2154"/>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评估类别</w:t>
            </w:r>
          </w:p>
        </w:tc>
        <w:tc>
          <w:tcPr>
            <w:tcW w:type="dxa" w:w="3742"/>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涉及项</w:t>
            </w:r>
          </w:p>
        </w:tc>
        <w:tc>
          <w:tcPr>
            <w:tcW w:type="dxa" w:w="2381"/>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本期判断</w:t>
            </w:r>
          </w:p>
        </w:tc>
      </w:tr>
      <w:tr>
        <w:trPr>
          <w:cantSplit/>
        </w:trPr>
        <w:tc>
          <w:tcPr>
            <w:tcW w:type="dxa" w:w="2154"/>
            <w:vAlign w:val="center"/>
            <w:tcMar>
              <w:top w:w="90" w:type="dxa"/>
              <w:start w:w="110" w:type="dxa"/>
              <w:bottom w:w="90" w:type="dxa"/>
              <w:end w:w="110" w:type="dxa"/>
            </w:tcMar>
          </w:tcPr>
          <w:p>
            <w:pPr>
              <w:spacing w:after="0" w:line="288" w:lineRule="auto"/>
              <w:jc w:val="center"/>
            </w:pPr>
            <w:r>
              <w:rPr>
                <w:rFonts w:ascii="宋体" w:hAnsi="宋体" w:eastAsia="宋体"/>
                <w:sz w:val="18"/>
              </w:rPr>
              <w:t>用户认证与授权</w:t>
            </w:r>
          </w:p>
        </w:tc>
        <w:tc>
          <w:tcPr>
            <w:tcW w:type="dxa" w:w="3742"/>
            <w:vAlign w:val="center"/>
            <w:tcMar>
              <w:top w:w="90" w:type="dxa"/>
              <w:start w:w="110" w:type="dxa"/>
              <w:bottom w:w="90" w:type="dxa"/>
              <w:end w:w="110" w:type="dxa"/>
            </w:tcMar>
          </w:tcPr>
          <w:p>
            <w:pPr>
              <w:spacing w:after="0" w:line="288" w:lineRule="auto"/>
              <w:jc w:val="left"/>
            </w:pPr>
            <w:r>
              <w:rPr>
                <w:rFonts w:ascii="宋体" w:hAnsi="宋体" w:eastAsia="宋体"/>
                <w:sz w:val="18"/>
              </w:rPr>
              <w:t>平台登录状态、用户身份和菜单或报告访问权限。</w:t>
            </w:r>
          </w:p>
        </w:tc>
        <w:tc>
          <w:tcPr>
            <w:tcW w:type="dxa" w:w="2381"/>
            <w:vAlign w:val="center"/>
            <w:tcMar>
              <w:top w:w="90" w:type="dxa"/>
              <w:start w:w="110" w:type="dxa"/>
              <w:bottom w:w="90" w:type="dxa"/>
              <w:end w:w="110" w:type="dxa"/>
            </w:tcMar>
          </w:tcPr>
          <w:p>
            <w:pPr>
              <w:spacing w:after="0" w:line="288" w:lineRule="auto"/>
              <w:jc w:val="left"/>
            </w:pPr>
            <w:r>
              <w:rPr>
                <w:rFonts w:ascii="宋体" w:hAnsi="宋体" w:eastAsia="宋体"/>
                <w:sz w:val="18"/>
              </w:rPr>
              <w:t>☑ 涉及（复用灵镜及一事通能力）</w:t>
            </w:r>
          </w:p>
        </w:tc>
      </w:tr>
      <w:tr>
        <w:trPr>
          <w:cantSplit/>
        </w:trPr>
        <w:tc>
          <w:tcPr>
            <w:tcW w:type="dxa" w:w="2154"/>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文件与数据输入输出</w:t>
            </w:r>
          </w:p>
        </w:tc>
        <w:tc>
          <w:tcPr>
            <w:tcW w:type="dxa" w:w="3742"/>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工作流文件上传、报告下载及扫描参数输入。</w:t>
            </w:r>
          </w:p>
        </w:tc>
        <w:tc>
          <w:tcPr>
            <w:tcW w:type="dxa" w:w="2381"/>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 涉及</w:t>
            </w:r>
          </w:p>
        </w:tc>
      </w:tr>
      <w:tr>
        <w:trPr>
          <w:cantSplit/>
        </w:trPr>
        <w:tc>
          <w:tcPr>
            <w:tcW w:type="dxa" w:w="2154"/>
            <w:vAlign w:val="center"/>
            <w:tcMar>
              <w:top w:w="90" w:type="dxa"/>
              <w:start w:w="110" w:type="dxa"/>
              <w:bottom w:w="90" w:type="dxa"/>
              <w:end w:w="110" w:type="dxa"/>
            </w:tcMar>
          </w:tcPr>
          <w:p>
            <w:pPr>
              <w:spacing w:after="0" w:line="288" w:lineRule="auto"/>
              <w:jc w:val="center"/>
            </w:pPr>
            <w:r>
              <w:rPr>
                <w:rFonts w:ascii="宋体" w:hAnsi="宋体" w:eastAsia="宋体"/>
                <w:sz w:val="18"/>
              </w:rPr>
              <w:t>敏感数据处理</w:t>
            </w:r>
          </w:p>
        </w:tc>
        <w:tc>
          <w:tcPr>
            <w:tcW w:type="dxa" w:w="3742"/>
            <w:vAlign w:val="center"/>
            <w:tcMar>
              <w:top w:w="90" w:type="dxa"/>
              <w:start w:w="110" w:type="dxa"/>
              <w:bottom w:w="90" w:type="dxa"/>
              <w:end w:w="110" w:type="dxa"/>
            </w:tcMar>
          </w:tcPr>
          <w:p>
            <w:pPr>
              <w:spacing w:after="0" w:line="288" w:lineRule="auto"/>
              <w:jc w:val="left"/>
            </w:pPr>
            <w:r>
              <w:rPr>
                <w:rFonts w:ascii="宋体" w:hAnsi="宋体" w:eastAsia="宋体"/>
                <w:sz w:val="18"/>
              </w:rPr>
              <w:t>上传文件是否包含个人信息、三级及以上数据。</w:t>
            </w:r>
          </w:p>
        </w:tc>
        <w:tc>
          <w:tcPr>
            <w:tcW w:type="dxa" w:w="2381"/>
            <w:vAlign w:val="center"/>
            <w:tcMar>
              <w:top w:w="90" w:type="dxa"/>
              <w:start w:w="110" w:type="dxa"/>
              <w:bottom w:w="90" w:type="dxa"/>
              <w:end w:w="110" w:type="dxa"/>
            </w:tcMar>
          </w:tcPr>
          <w:p>
            <w:pPr>
              <w:spacing w:after="0" w:line="288" w:lineRule="auto"/>
              <w:jc w:val="left"/>
            </w:pPr>
            <w:r>
              <w:rPr>
                <w:rFonts w:ascii="宋体" w:hAnsi="宋体" w:eastAsia="宋体"/>
                <w:sz w:val="18"/>
              </w:rPr>
              <w:t>□ 需由业务按实际上传内容确认</w:t>
            </w:r>
          </w:p>
        </w:tc>
      </w:tr>
      <w:tr>
        <w:trPr>
          <w:cantSplit/>
        </w:trPr>
        <w:tc>
          <w:tcPr>
            <w:tcW w:type="dxa" w:w="2154"/>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会话与审计</w:t>
            </w:r>
          </w:p>
        </w:tc>
        <w:tc>
          <w:tcPr>
            <w:tcW w:type="dxa" w:w="3742"/>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任务发起、文件处理、报告访问等过程记录。</w:t>
            </w:r>
          </w:p>
        </w:tc>
        <w:tc>
          <w:tcPr>
            <w:tcW w:type="dxa" w:w="2381"/>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 涉及</w:t>
            </w:r>
          </w:p>
        </w:tc>
      </w:tr>
    </w:tbl>
    <w:p>
      <w:pPr>
        <w:spacing w:after="20"/>
      </w:pPr>
    </w:p>
    <w:p>
      <w:pPr>
        <w:spacing w:line="348" w:lineRule="auto" w:after="80"/>
        <w:jc w:val="both"/>
      </w:pPr>
      <w:r>
        <w:rPr>
          <w:rFonts w:ascii="宋体" w:hAnsi="宋体" w:eastAsia="宋体"/>
          <w:sz w:val="21"/>
        </w:rPr>
        <w:t>涉及项应依据我行《应用系统安全需求规范》及灵镜平台现有安全要求落实；上传内容的数据等级、访问范围和留存期限需在上线前确认。</w:t>
      </w:r>
    </w:p>
    <w:p>
      <w:pPr>
        <w:pStyle w:val="2"/>
        <w:keepNext/>
        <w:pageBreakBefore w:val="0"/>
        <w:spacing w:before="100" w:after="100"/>
      </w:pPr>
      <w:r>
        <w:rPr>
          <w:rFonts w:ascii="黑体" w:hAnsi="黑体" w:eastAsia="黑体"/>
          <w:b/>
          <w:color w:val="1F4E78"/>
          <w:sz w:val="26"/>
        </w:rPr>
        <w:t>4.3 非功能需求[按需]</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3"/>
        <w:gridCol w:w="4153"/>
      </w:tblGrid>
      <w:tr>
        <w:trPr>
          <w:tblHeader w:val="true"/>
          <w:cantSplit/>
        </w:trPr>
        <w:tc>
          <w:tcPr>
            <w:tcW w:type="dxa" w:w="1814"/>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类别</w:t>
            </w:r>
          </w:p>
        </w:tc>
        <w:tc>
          <w:tcPr>
            <w:tcW w:type="dxa" w:w="6463"/>
            <w:shd w:fill="1F4E78"/>
            <w:vAlign w:val="center"/>
            <w:tcMar>
              <w:top w:w="90" w:type="dxa"/>
              <w:start w:w="110" w:type="dxa"/>
              <w:bottom w:w="90" w:type="dxa"/>
              <w:end w:w="110" w:type="dxa"/>
            </w:tcMar>
          </w:tcPr>
          <w:p>
            <w:pPr>
              <w:spacing w:after="0"/>
              <w:jc w:val="center"/>
            </w:pPr>
            <w:r>
              <w:rPr>
                <w:rFonts w:ascii="黑体" w:hAnsi="黑体" w:eastAsia="黑体"/>
                <w:b/>
                <w:color w:val="FFFFFF"/>
                <w:sz w:val="18"/>
              </w:rPr>
              <w:t>要求</w:t>
            </w:r>
          </w:p>
        </w:tc>
      </w:tr>
      <w:tr>
        <w:trPr>
          <w:cantSplit/>
        </w:trPr>
        <w:tc>
          <w:tcPr>
            <w:tcW w:type="dxa" w:w="1814"/>
            <w:vAlign w:val="center"/>
            <w:tcMar>
              <w:top w:w="90" w:type="dxa"/>
              <w:start w:w="110" w:type="dxa"/>
              <w:bottom w:w="90" w:type="dxa"/>
              <w:end w:w="110" w:type="dxa"/>
            </w:tcMar>
          </w:tcPr>
          <w:p>
            <w:pPr>
              <w:spacing w:after="0" w:line="288" w:lineRule="auto"/>
              <w:jc w:val="center"/>
            </w:pPr>
            <w:r>
              <w:rPr>
                <w:rFonts w:ascii="宋体" w:hAnsi="宋体" w:eastAsia="宋体"/>
                <w:sz w:val="18"/>
              </w:rPr>
              <w:t>兼容性</w:t>
            </w:r>
          </w:p>
        </w:tc>
        <w:tc>
          <w:tcPr>
            <w:tcW w:type="dxa" w:w="6463"/>
            <w:vAlign w:val="center"/>
            <w:tcMar>
              <w:top w:w="90" w:type="dxa"/>
              <w:start w:w="110" w:type="dxa"/>
              <w:bottom w:w="90" w:type="dxa"/>
              <w:end w:w="110" w:type="dxa"/>
            </w:tcMar>
          </w:tcPr>
          <w:p>
            <w:pPr>
              <w:spacing w:after="0" w:line="288" w:lineRule="auto"/>
              <w:jc w:val="left"/>
            </w:pPr>
            <w:r>
              <w:rPr>
                <w:rFonts w:ascii="宋体" w:hAnsi="宋体" w:eastAsia="宋体"/>
                <w:sz w:val="18"/>
              </w:rPr>
              <w:t>兼容既有 Dify YML 与 AI 智能工厂 JSON 样例，并能够识别不支持的文件。</w:t>
            </w:r>
          </w:p>
        </w:tc>
      </w:tr>
      <w:tr>
        <w:trPr>
          <w:cantSplit/>
        </w:trPr>
        <w:tc>
          <w:tcPr>
            <w:tcW w:type="dxa" w:w="1814"/>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可靠性</w:t>
            </w:r>
          </w:p>
        </w:tc>
        <w:tc>
          <w:tcPr>
            <w:tcW w:type="dxa" w:w="6463"/>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扫描任务状态可查询，失败原因明确，重试不覆盖其他任务文件及报告。</w:t>
            </w:r>
          </w:p>
        </w:tc>
      </w:tr>
      <w:tr>
        <w:trPr>
          <w:cantSplit/>
        </w:trPr>
        <w:tc>
          <w:tcPr>
            <w:tcW w:type="dxa" w:w="1814"/>
            <w:vAlign w:val="center"/>
            <w:tcMar>
              <w:top w:w="90" w:type="dxa"/>
              <w:start w:w="110" w:type="dxa"/>
              <w:bottom w:w="90" w:type="dxa"/>
              <w:end w:w="110" w:type="dxa"/>
            </w:tcMar>
          </w:tcPr>
          <w:p>
            <w:pPr>
              <w:spacing w:after="0" w:line="288" w:lineRule="auto"/>
              <w:jc w:val="center"/>
            </w:pPr>
            <w:r>
              <w:rPr>
                <w:rFonts w:ascii="宋体" w:hAnsi="宋体" w:eastAsia="宋体"/>
                <w:sz w:val="18"/>
              </w:rPr>
              <w:t>安全性</w:t>
            </w:r>
          </w:p>
        </w:tc>
        <w:tc>
          <w:tcPr>
            <w:tcW w:type="dxa" w:w="6463"/>
            <w:vAlign w:val="center"/>
            <w:tcMar>
              <w:top w:w="90" w:type="dxa"/>
              <w:start w:w="110" w:type="dxa"/>
              <w:bottom w:w="90" w:type="dxa"/>
              <w:end w:w="110" w:type="dxa"/>
            </w:tcMar>
          </w:tcPr>
          <w:p>
            <w:pPr>
              <w:spacing w:after="0" w:line="288" w:lineRule="auto"/>
              <w:jc w:val="left"/>
            </w:pPr>
            <w:r>
              <w:rPr>
                <w:rFonts w:ascii="宋体" w:hAnsi="宋体" w:eastAsia="宋体"/>
                <w:sz w:val="18"/>
              </w:rPr>
              <w:t>落实文件类型、大小和路径校验，以及任务隔离、访问控制和下载鉴权。</w:t>
            </w:r>
          </w:p>
        </w:tc>
      </w:tr>
      <w:tr>
        <w:trPr>
          <w:cantSplit/>
        </w:trPr>
        <w:tc>
          <w:tcPr>
            <w:tcW w:type="dxa" w:w="1814"/>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一致性</w:t>
            </w:r>
          </w:p>
        </w:tc>
        <w:tc>
          <w:tcPr>
            <w:tcW w:type="dxa" w:w="6463"/>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JSON/YML 两类结果使用统一报告字段，预览内容与下载文件保持一致。</w:t>
            </w:r>
          </w:p>
        </w:tc>
      </w:tr>
      <w:tr>
        <w:trPr>
          <w:cantSplit/>
        </w:trPr>
        <w:tc>
          <w:tcPr>
            <w:tcW w:type="dxa" w:w="1814"/>
            <w:vAlign w:val="center"/>
            <w:tcMar>
              <w:top w:w="90" w:type="dxa"/>
              <w:start w:w="110" w:type="dxa"/>
              <w:bottom w:w="90" w:type="dxa"/>
              <w:end w:w="110" w:type="dxa"/>
            </w:tcMar>
          </w:tcPr>
          <w:p>
            <w:pPr>
              <w:spacing w:after="0" w:line="288" w:lineRule="auto"/>
              <w:jc w:val="center"/>
            </w:pPr>
            <w:r>
              <w:rPr>
                <w:rFonts w:ascii="宋体" w:hAnsi="宋体" w:eastAsia="宋体"/>
                <w:sz w:val="18"/>
              </w:rPr>
              <w:t>可扩展性</w:t>
            </w:r>
          </w:p>
        </w:tc>
        <w:tc>
          <w:tcPr>
            <w:tcW w:type="dxa" w:w="6463"/>
            <w:vAlign w:val="center"/>
            <w:tcMar>
              <w:top w:w="90" w:type="dxa"/>
              <w:start w:w="110" w:type="dxa"/>
              <w:bottom w:w="90" w:type="dxa"/>
              <w:end w:w="110" w:type="dxa"/>
            </w:tcMar>
          </w:tcPr>
          <w:p>
            <w:pPr>
              <w:spacing w:after="0" w:line="288" w:lineRule="auto"/>
              <w:jc w:val="left"/>
            </w:pPr>
            <w:r>
              <w:rPr>
                <w:rFonts w:ascii="宋体" w:hAnsi="宋体" w:eastAsia="宋体"/>
                <w:sz w:val="18"/>
              </w:rPr>
              <w:t>保留新增资产适配器和扫描接口的能力，支持后续接入 Python/Java 高码 Agent。</w:t>
            </w:r>
          </w:p>
        </w:tc>
      </w:tr>
      <w:tr>
        <w:trPr>
          <w:cantSplit/>
        </w:trPr>
        <w:tc>
          <w:tcPr>
            <w:tcW w:type="dxa" w:w="1814"/>
            <w:shd w:fill="F8FBFD"/>
            <w:vAlign w:val="center"/>
            <w:tcMar>
              <w:top w:w="90" w:type="dxa"/>
              <w:start w:w="110" w:type="dxa"/>
              <w:bottom w:w="90" w:type="dxa"/>
              <w:end w:w="110" w:type="dxa"/>
            </w:tcMar>
          </w:tcPr>
          <w:p>
            <w:pPr>
              <w:spacing w:after="0" w:line="288" w:lineRule="auto"/>
              <w:jc w:val="center"/>
            </w:pPr>
            <w:r>
              <w:rPr>
                <w:rFonts w:ascii="宋体" w:hAnsi="宋体" w:eastAsia="宋体"/>
                <w:sz w:val="18"/>
              </w:rPr>
              <w:t>性能</w:t>
            </w:r>
          </w:p>
        </w:tc>
        <w:tc>
          <w:tcPr>
            <w:tcW w:type="dxa" w:w="6463"/>
            <w:shd w:fill="F8FBFD"/>
            <w:vAlign w:val="center"/>
            <w:tcMar>
              <w:top w:w="90" w:type="dxa"/>
              <w:start w:w="110" w:type="dxa"/>
              <w:bottom w:w="90" w:type="dxa"/>
              <w:end w:w="110" w:type="dxa"/>
            </w:tcMar>
          </w:tcPr>
          <w:p>
            <w:pPr>
              <w:spacing w:after="0" w:line="288" w:lineRule="auto"/>
              <w:jc w:val="left"/>
            </w:pPr>
            <w:r>
              <w:rPr>
                <w:rFonts w:ascii="宋体" w:hAnsi="宋体" w:eastAsia="宋体"/>
                <w:sz w:val="18"/>
              </w:rPr>
              <w:t>页面持续反馈任务状态；具体并发能力和处理时限在联调阶段确认。</w:t>
            </w:r>
          </w:p>
        </w:tc>
      </w:tr>
    </w:tbl>
    <w:p>
      <w:pPr>
        <w:spacing w:after="20"/>
      </w:pPr>
    </w:p>
    <w:p>
      <w:pPr>
        <w:pStyle w:val="2"/>
        <w:keepNext/>
        <w:pageBreakBefore/>
        <w:spacing w:before="100" w:after="100"/>
      </w:pPr>
      <w:r>
        <w:rPr>
          <w:rFonts w:ascii="黑体" w:hAnsi="黑体" w:eastAsia="黑体"/>
          <w:b/>
          <w:color w:val="1F4E78"/>
          <w:sz w:val="26"/>
        </w:rPr>
        <w:t>4.4 涉及的系统/组件/功能清单[按需]</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9"/>
        <w:gridCol w:w="2769"/>
        <w:gridCol w:w="2769"/>
      </w:tblGrid>
      <w:tr>
        <w:trPr>
          <w:tblHeader w:val="true"/>
          <w:cantSplit/>
        </w:trPr>
        <w:tc>
          <w:tcPr>
            <w:tcW w:type="dxa" w:w="737"/>
            <w:shd w:fill="1F4E78"/>
            <w:vAlign w:val="center"/>
            <w:tcMar>
              <w:top w:w="90" w:type="dxa"/>
              <w:start w:w="110" w:type="dxa"/>
              <w:bottom w:w="90" w:type="dxa"/>
              <w:end w:w="110" w:type="dxa"/>
            </w:tcMar>
          </w:tcPr>
          <w:p>
            <w:pPr>
              <w:spacing w:after="0"/>
              <w:jc w:val="center"/>
            </w:pPr>
            <w:r>
              <w:rPr>
                <w:rFonts w:ascii="黑体" w:hAnsi="黑体" w:eastAsia="黑体"/>
                <w:b/>
                <w:color w:val="FFFFFF"/>
                <w:sz w:val="17"/>
              </w:rPr>
              <w:t>序号</w:t>
            </w:r>
          </w:p>
        </w:tc>
        <w:tc>
          <w:tcPr>
            <w:tcW w:type="dxa" w:w="2778"/>
            <w:shd w:fill="1F4E78"/>
            <w:vAlign w:val="center"/>
            <w:tcMar>
              <w:top w:w="90" w:type="dxa"/>
              <w:start w:w="110" w:type="dxa"/>
              <w:bottom w:w="90" w:type="dxa"/>
              <w:end w:w="110" w:type="dxa"/>
            </w:tcMar>
          </w:tcPr>
          <w:p>
            <w:pPr>
              <w:spacing w:after="0"/>
              <w:jc w:val="center"/>
            </w:pPr>
            <w:r>
              <w:rPr>
                <w:rFonts w:ascii="黑体" w:hAnsi="黑体" w:eastAsia="黑体"/>
                <w:b/>
                <w:color w:val="FFFFFF"/>
                <w:sz w:val="17"/>
              </w:rPr>
              <w:t>系统/组件</w:t>
            </w:r>
          </w:p>
        </w:tc>
        <w:tc>
          <w:tcPr>
            <w:tcW w:type="dxa" w:w="4762"/>
            <w:shd w:fill="1F4E78"/>
            <w:vAlign w:val="center"/>
            <w:tcMar>
              <w:top w:w="90" w:type="dxa"/>
              <w:start w:w="110" w:type="dxa"/>
              <w:bottom w:w="90" w:type="dxa"/>
              <w:end w:w="110" w:type="dxa"/>
            </w:tcMar>
          </w:tcPr>
          <w:p>
            <w:pPr>
              <w:spacing w:after="0"/>
              <w:jc w:val="center"/>
            </w:pPr>
            <w:r>
              <w:rPr>
                <w:rFonts w:ascii="黑体" w:hAnsi="黑体" w:eastAsia="黑体"/>
                <w:b/>
                <w:color w:val="FFFFFF"/>
                <w:sz w:val="17"/>
              </w:rPr>
              <w:t>本期职责或改造内容</w:t>
            </w:r>
          </w:p>
        </w:tc>
      </w:tr>
      <w:tr>
        <w:trPr>
          <w:cantSplit/>
        </w:trPr>
        <w:tc>
          <w:tcPr>
            <w:tcW w:type="dxa" w:w="737"/>
            <w:vAlign w:val="center"/>
            <w:tcMar>
              <w:top w:w="90" w:type="dxa"/>
              <w:start w:w="110" w:type="dxa"/>
              <w:bottom w:w="90" w:type="dxa"/>
              <w:end w:w="110" w:type="dxa"/>
            </w:tcMar>
          </w:tcPr>
          <w:p>
            <w:pPr>
              <w:spacing w:after="0" w:line="288" w:lineRule="auto"/>
              <w:jc w:val="center"/>
            </w:pPr>
            <w:r>
              <w:rPr>
                <w:rFonts w:ascii="宋体" w:hAnsi="宋体" w:eastAsia="宋体"/>
                <w:sz w:val="17"/>
              </w:rPr>
              <w:t>1</w:t>
            </w:r>
          </w:p>
        </w:tc>
        <w:tc>
          <w:tcPr>
            <w:tcW w:type="dxa" w:w="2778"/>
            <w:vAlign w:val="center"/>
            <w:tcMar>
              <w:top w:w="90" w:type="dxa"/>
              <w:start w:w="110" w:type="dxa"/>
              <w:bottom w:w="90" w:type="dxa"/>
              <w:end w:w="110" w:type="dxa"/>
            </w:tcMar>
          </w:tcPr>
          <w:p>
            <w:pPr>
              <w:spacing w:after="0" w:line="288" w:lineRule="auto"/>
              <w:jc w:val="left"/>
            </w:pPr>
            <w:r>
              <w:rPr>
                <w:rFonts w:ascii="宋体" w:hAnsi="宋体" w:eastAsia="宋体"/>
                <w:sz w:val="17"/>
              </w:rPr>
              <w:t>LT80.01_smirror_mgt_backend</w:t>
            </w:r>
          </w:p>
        </w:tc>
        <w:tc>
          <w:tcPr>
            <w:tcW w:type="dxa" w:w="4762"/>
            <w:vAlign w:val="center"/>
            <w:tcMar>
              <w:top w:w="90" w:type="dxa"/>
              <w:start w:w="110" w:type="dxa"/>
              <w:bottom w:w="90" w:type="dxa"/>
              <w:end w:w="110" w:type="dxa"/>
            </w:tcMar>
          </w:tcPr>
          <w:p>
            <w:pPr>
              <w:spacing w:after="0" w:line="288" w:lineRule="auto"/>
              <w:jc w:val="left"/>
            </w:pPr>
            <w:r>
              <w:rPr>
                <w:rFonts w:ascii="宋体" w:hAnsi="宋体" w:eastAsia="宋体"/>
                <w:sz w:val="17"/>
              </w:rPr>
              <w:t>承载文件接收、类型判断、扫描能力路由、任务状态、报告及埋点数据服务。</w:t>
            </w:r>
          </w:p>
        </w:tc>
      </w:tr>
      <w:tr>
        <w:trPr>
          <w:cantSplit/>
        </w:trPr>
        <w:tc>
          <w:tcPr>
            <w:tcW w:type="dxa" w:w="737"/>
            <w:shd w:fill="F8FBFD"/>
            <w:vAlign w:val="center"/>
            <w:tcMar>
              <w:top w:w="90" w:type="dxa"/>
              <w:start w:w="110" w:type="dxa"/>
              <w:bottom w:w="90" w:type="dxa"/>
              <w:end w:w="110" w:type="dxa"/>
            </w:tcMar>
          </w:tcPr>
          <w:p>
            <w:pPr>
              <w:spacing w:after="0" w:line="288" w:lineRule="auto"/>
              <w:jc w:val="center"/>
            </w:pPr>
            <w:r>
              <w:rPr>
                <w:rFonts w:ascii="宋体" w:hAnsi="宋体" w:eastAsia="宋体"/>
                <w:sz w:val="17"/>
              </w:rPr>
              <w:t>2</w:t>
            </w:r>
          </w:p>
        </w:tc>
        <w:tc>
          <w:tcPr>
            <w:tcW w:type="dxa" w:w="2778"/>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LT80.01_smirror_frontend_react</w:t>
            </w:r>
          </w:p>
        </w:tc>
        <w:tc>
          <w:tcPr>
            <w:tcW w:type="dxa" w:w="4762"/>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新增工作流安全扫描、任务状态、报告预览和下载相关页面。</w:t>
            </w:r>
          </w:p>
        </w:tc>
      </w:tr>
      <w:tr>
        <w:trPr>
          <w:cantSplit/>
        </w:trPr>
        <w:tc>
          <w:tcPr>
            <w:tcW w:type="dxa" w:w="737"/>
            <w:vAlign w:val="center"/>
            <w:tcMar>
              <w:top w:w="90" w:type="dxa"/>
              <w:start w:w="110" w:type="dxa"/>
              <w:bottom w:w="90" w:type="dxa"/>
              <w:end w:w="110" w:type="dxa"/>
            </w:tcMar>
          </w:tcPr>
          <w:p>
            <w:pPr>
              <w:spacing w:after="0" w:line="288" w:lineRule="auto"/>
              <w:jc w:val="center"/>
            </w:pPr>
            <w:r>
              <w:rPr>
                <w:rFonts w:ascii="宋体" w:hAnsi="宋体" w:eastAsia="宋体"/>
                <w:sz w:val="17"/>
              </w:rPr>
              <w:t>3</w:t>
            </w:r>
          </w:p>
        </w:tc>
        <w:tc>
          <w:tcPr>
            <w:tcW w:type="dxa" w:w="2778"/>
            <w:vAlign w:val="center"/>
            <w:tcMar>
              <w:top w:w="90" w:type="dxa"/>
              <w:start w:w="110" w:type="dxa"/>
              <w:bottom w:w="90" w:type="dxa"/>
              <w:end w:w="110" w:type="dxa"/>
            </w:tcMar>
          </w:tcPr>
          <w:p>
            <w:pPr>
              <w:spacing w:after="0" w:line="288" w:lineRule="auto"/>
              <w:jc w:val="left"/>
            </w:pPr>
            <w:r>
              <w:rPr>
                <w:rFonts w:ascii="宋体" w:hAnsi="宋体" w:eastAsia="宋体"/>
                <w:sz w:val="17"/>
              </w:rPr>
              <w:t>既有 JSON/YML 静态扫描能力</w:t>
            </w:r>
          </w:p>
        </w:tc>
        <w:tc>
          <w:tcPr>
            <w:tcW w:type="dxa" w:w="4762"/>
            <w:vAlign w:val="center"/>
            <w:tcMar>
              <w:top w:w="90" w:type="dxa"/>
              <w:start w:w="110" w:type="dxa"/>
              <w:bottom w:w="90" w:type="dxa"/>
              <w:end w:w="110" w:type="dxa"/>
            </w:tcMar>
          </w:tcPr>
          <w:p>
            <w:pPr>
              <w:spacing w:after="0" w:line="288" w:lineRule="auto"/>
              <w:jc w:val="left"/>
            </w:pPr>
            <w:r>
              <w:rPr>
                <w:rFonts w:ascii="宋体" w:hAnsi="宋体" w:eastAsia="宋体"/>
                <w:sz w:val="17"/>
              </w:rPr>
              <w:t>作为扫描引擎被服务化调用，保持既有规则和核心结果一致。</w:t>
            </w:r>
          </w:p>
        </w:tc>
      </w:tr>
      <w:tr>
        <w:trPr>
          <w:cantSplit/>
        </w:trPr>
        <w:tc>
          <w:tcPr>
            <w:tcW w:type="dxa" w:w="737"/>
            <w:shd w:fill="F8FBFD"/>
            <w:vAlign w:val="center"/>
            <w:tcMar>
              <w:top w:w="90" w:type="dxa"/>
              <w:start w:w="110" w:type="dxa"/>
              <w:bottom w:w="90" w:type="dxa"/>
              <w:end w:w="110" w:type="dxa"/>
            </w:tcMar>
          </w:tcPr>
          <w:p>
            <w:pPr>
              <w:spacing w:after="0" w:line="288" w:lineRule="auto"/>
              <w:jc w:val="center"/>
            </w:pPr>
            <w:r>
              <w:rPr>
                <w:rFonts w:ascii="宋体" w:hAnsi="宋体" w:eastAsia="宋体"/>
                <w:sz w:val="17"/>
              </w:rPr>
              <w:t>4</w:t>
            </w:r>
          </w:p>
        </w:tc>
        <w:tc>
          <w:tcPr>
            <w:tcW w:type="dxa" w:w="2778"/>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COS / file_record 等存储能力</w:t>
            </w:r>
          </w:p>
        </w:tc>
        <w:tc>
          <w:tcPr>
            <w:tcW w:type="dxa" w:w="4762"/>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分区保存上传文件与报告，记录文件元数据、任务关联和访问位置。</w:t>
            </w:r>
          </w:p>
        </w:tc>
      </w:tr>
      <w:tr>
        <w:trPr>
          <w:cantSplit/>
        </w:trPr>
        <w:tc>
          <w:tcPr>
            <w:tcW w:type="dxa" w:w="737"/>
            <w:vAlign w:val="center"/>
            <w:tcMar>
              <w:top w:w="90" w:type="dxa"/>
              <w:start w:w="110" w:type="dxa"/>
              <w:bottom w:w="90" w:type="dxa"/>
              <w:end w:w="110" w:type="dxa"/>
            </w:tcMar>
          </w:tcPr>
          <w:p>
            <w:pPr>
              <w:spacing w:after="0" w:line="288" w:lineRule="auto"/>
              <w:jc w:val="center"/>
            </w:pPr>
            <w:r>
              <w:rPr>
                <w:rFonts w:ascii="宋体" w:hAnsi="宋体" w:eastAsia="宋体"/>
                <w:sz w:val="17"/>
              </w:rPr>
              <w:t>5</w:t>
            </w:r>
          </w:p>
        </w:tc>
        <w:tc>
          <w:tcPr>
            <w:tcW w:type="dxa" w:w="2778"/>
            <w:vAlign w:val="center"/>
            <w:tcMar>
              <w:top w:w="90" w:type="dxa"/>
              <w:start w:w="110" w:type="dxa"/>
              <w:bottom w:w="90" w:type="dxa"/>
              <w:end w:w="110" w:type="dxa"/>
            </w:tcMar>
          </w:tcPr>
          <w:p>
            <w:pPr>
              <w:spacing w:after="0" w:line="288" w:lineRule="auto"/>
              <w:jc w:val="left"/>
            </w:pPr>
            <w:r>
              <w:rPr>
                <w:rFonts w:ascii="宋体" w:hAnsi="宋体" w:eastAsia="宋体"/>
                <w:sz w:val="17"/>
              </w:rPr>
              <w:t>灵镜平台 / 一事通</w:t>
            </w:r>
          </w:p>
        </w:tc>
        <w:tc>
          <w:tcPr>
            <w:tcW w:type="dxa" w:w="4762"/>
            <w:vAlign w:val="center"/>
            <w:tcMar>
              <w:top w:w="90" w:type="dxa"/>
              <w:start w:w="110" w:type="dxa"/>
              <w:bottom w:w="90" w:type="dxa"/>
              <w:end w:w="110" w:type="dxa"/>
            </w:tcMar>
          </w:tcPr>
          <w:p>
            <w:pPr>
              <w:spacing w:after="0" w:line="288" w:lineRule="auto"/>
              <w:jc w:val="left"/>
            </w:pPr>
            <w:r>
              <w:rPr>
                <w:rFonts w:ascii="宋体" w:hAnsi="宋体" w:eastAsia="宋体"/>
                <w:sz w:val="17"/>
              </w:rPr>
              <w:t>提供统一入口、菜单路由、身份认证、权限承接及部署运行环境。</w:t>
            </w:r>
          </w:p>
        </w:tc>
      </w:tr>
      <w:tr>
        <w:trPr>
          <w:cantSplit/>
        </w:trPr>
        <w:tc>
          <w:tcPr>
            <w:tcW w:type="dxa" w:w="737"/>
            <w:shd w:fill="F8FBFD"/>
            <w:vAlign w:val="center"/>
            <w:tcMar>
              <w:top w:w="90" w:type="dxa"/>
              <w:start w:w="110" w:type="dxa"/>
              <w:bottom w:w="90" w:type="dxa"/>
              <w:end w:w="110" w:type="dxa"/>
            </w:tcMar>
          </w:tcPr>
          <w:p>
            <w:pPr>
              <w:spacing w:after="0" w:line="288" w:lineRule="auto"/>
              <w:jc w:val="center"/>
            </w:pPr>
            <w:r>
              <w:rPr>
                <w:rFonts w:ascii="宋体" w:hAnsi="宋体" w:eastAsia="宋体"/>
                <w:sz w:val="17"/>
              </w:rPr>
              <w:t>6</w:t>
            </w:r>
          </w:p>
        </w:tc>
        <w:tc>
          <w:tcPr>
            <w:tcW w:type="dxa" w:w="2778"/>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工作流扫描任务及埋点数据</w:t>
            </w:r>
          </w:p>
        </w:tc>
        <w:tc>
          <w:tcPr>
            <w:tcW w:type="dxa" w:w="4762"/>
            <w:shd w:fill="F8FBFD"/>
            <w:vAlign w:val="center"/>
            <w:tcMar>
              <w:top w:w="90" w:type="dxa"/>
              <w:start w:w="110" w:type="dxa"/>
              <w:bottom w:w="90" w:type="dxa"/>
              <w:end w:w="110" w:type="dxa"/>
            </w:tcMar>
          </w:tcPr>
          <w:p>
            <w:pPr>
              <w:spacing w:after="0" w:line="288" w:lineRule="auto"/>
              <w:jc w:val="left"/>
            </w:pPr>
            <w:r>
              <w:rPr>
                <w:rFonts w:ascii="宋体" w:hAnsi="宋体" w:eastAsia="宋体"/>
                <w:sz w:val="17"/>
              </w:rPr>
              <w:t>保存任务状态、文件类型、结果摘要、报告位置和必要审计信息。</w:t>
            </w:r>
          </w:p>
        </w:tc>
      </w:tr>
    </w:tbl>
    <w:p>
      <w:pPr>
        <w:spacing w:after="20"/>
      </w:pPr>
    </w:p>
    <w:p>
      <w:pPr>
        <w:pStyle w:val="1"/>
        <w:keepNext/>
        <w:pageBreakBefore w:val="0"/>
        <w:spacing w:before="160" w:after="100"/>
      </w:pPr>
      <w:r>
        <w:rPr>
          <w:rFonts w:ascii="黑体" w:hAnsi="黑体" w:eastAsia="黑体"/>
          <w:b/>
          <w:color w:val="1F4E78"/>
          <w:sz w:val="30"/>
        </w:rPr>
        <w:t>5 特性投入估算[按需]</w:t>
      </w:r>
    </w:p>
    <w:p>
      <w:pPr>
        <w:spacing w:line="348" w:lineRule="auto" w:after="80"/>
        <w:jc w:val="both"/>
      </w:pPr>
      <w:r>
        <w:rPr>
          <w:rFonts w:ascii="宋体" w:hAnsi="宋体" w:eastAsia="宋体"/>
          <w:sz w:val="21"/>
        </w:rPr>
        <w:t>待结合灵镜平台接口联调范围、前后端页面工作量、存储改造方式及 JSON/YML 回归测试集规模进一步评估。</w:t>
      </w:r>
    </w:p>
    <w:p>
      <w:pPr>
        <w:pStyle w:val="1"/>
        <w:keepNext/>
        <w:pageBreakBefore w:val="0"/>
        <w:spacing w:before="160" w:after="100"/>
      </w:pPr>
      <w:r>
        <w:rPr>
          <w:rFonts w:ascii="黑体" w:hAnsi="黑体" w:eastAsia="黑体"/>
          <w:b/>
          <w:color w:val="1F4E78"/>
          <w:sz w:val="30"/>
        </w:rPr>
        <w:t>6 期望上线时间[必需]</w:t>
      </w:r>
    </w:p>
    <w:p>
      <w:pPr>
        <w:spacing w:line="348" w:lineRule="auto" w:after="80"/>
        <w:jc w:val="both"/>
      </w:pPr>
      <w:r>
        <w:rPr>
          <w:rFonts w:ascii="宋体" w:hAnsi="宋体" w:eastAsia="宋体"/>
          <w:sz w:val="21"/>
        </w:rPr>
        <w:t>2026-09（待确认）</w:t>
      </w:r>
    </w:p>
    <w:sectPr w:rsidR="009010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89"/>
    <w:rsid w:val="00013089"/>
    <w:rsid w:val="000A72CE"/>
    <w:rsid w:val="00901091"/>
    <w:rsid w:val="00F52D36"/>
    <w:rsid w:val="00FA5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08A576-3C61-45C2-8298-688B1769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48" w:lineRule="auto" w:after="80"/>
    </w:pPr>
    <w:rPr>
      <w:rFonts w:ascii="宋体" w:hAnsi="宋体" w:eastAsia="宋体"/>
      <w:sz w:val="21"/>
    </w:rPr>
  </w:style>
  <w:style w:type="paragraph" w:styleId="1">
    <w:name w:val="heading 1"/>
    <w:basedOn w:val="a"/>
    <w:next w:val="a"/>
    <w:link w:val="10"/>
    <w:uiPriority w:val="9"/>
    <w:qFormat/>
    <w:rsid w:val="000130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30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30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30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308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308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308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308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308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30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30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30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3089"/>
    <w:rPr>
      <w:rFonts w:cstheme="majorBidi"/>
      <w:color w:val="0F4761" w:themeColor="accent1" w:themeShade="BF"/>
      <w:sz w:val="28"/>
      <w:szCs w:val="28"/>
    </w:rPr>
  </w:style>
  <w:style w:type="character" w:customStyle="1" w:styleId="50">
    <w:name w:val="标题 5 字符"/>
    <w:basedOn w:val="a0"/>
    <w:link w:val="5"/>
    <w:uiPriority w:val="9"/>
    <w:semiHidden/>
    <w:rsid w:val="00013089"/>
    <w:rPr>
      <w:rFonts w:cstheme="majorBidi"/>
      <w:color w:val="0F4761" w:themeColor="accent1" w:themeShade="BF"/>
      <w:sz w:val="24"/>
    </w:rPr>
  </w:style>
  <w:style w:type="character" w:customStyle="1" w:styleId="60">
    <w:name w:val="标题 6 字符"/>
    <w:basedOn w:val="a0"/>
    <w:link w:val="6"/>
    <w:uiPriority w:val="9"/>
    <w:semiHidden/>
    <w:rsid w:val="00013089"/>
    <w:rPr>
      <w:rFonts w:cstheme="majorBidi"/>
      <w:b/>
      <w:bCs/>
      <w:color w:val="0F4761" w:themeColor="accent1" w:themeShade="BF"/>
    </w:rPr>
  </w:style>
  <w:style w:type="character" w:customStyle="1" w:styleId="70">
    <w:name w:val="标题 7 字符"/>
    <w:basedOn w:val="a0"/>
    <w:link w:val="7"/>
    <w:uiPriority w:val="9"/>
    <w:semiHidden/>
    <w:rsid w:val="00013089"/>
    <w:rPr>
      <w:rFonts w:cstheme="majorBidi"/>
      <w:b/>
      <w:bCs/>
      <w:color w:val="595959" w:themeColor="text1" w:themeTint="A6"/>
    </w:rPr>
  </w:style>
  <w:style w:type="character" w:customStyle="1" w:styleId="80">
    <w:name w:val="标题 8 字符"/>
    <w:basedOn w:val="a0"/>
    <w:link w:val="8"/>
    <w:uiPriority w:val="9"/>
    <w:semiHidden/>
    <w:rsid w:val="00013089"/>
    <w:rPr>
      <w:rFonts w:cstheme="majorBidi"/>
      <w:color w:val="595959" w:themeColor="text1" w:themeTint="A6"/>
    </w:rPr>
  </w:style>
  <w:style w:type="character" w:customStyle="1" w:styleId="90">
    <w:name w:val="标题 9 字符"/>
    <w:basedOn w:val="a0"/>
    <w:link w:val="9"/>
    <w:uiPriority w:val="9"/>
    <w:semiHidden/>
    <w:rsid w:val="00013089"/>
    <w:rPr>
      <w:rFonts w:eastAsiaTheme="majorEastAsia" w:cstheme="majorBidi"/>
      <w:color w:val="595959" w:themeColor="text1" w:themeTint="A6"/>
    </w:rPr>
  </w:style>
  <w:style w:type="paragraph" w:styleId="a3">
    <w:name w:val="Title"/>
    <w:basedOn w:val="a"/>
    <w:next w:val="a"/>
    <w:link w:val="a4"/>
    <w:uiPriority w:val="10"/>
    <w:qFormat/>
    <w:rsid w:val="000130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30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30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30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3089"/>
    <w:pPr>
      <w:spacing w:before="160"/>
      <w:jc w:val="center"/>
    </w:pPr>
    <w:rPr>
      <w:i/>
      <w:iCs/>
      <w:color w:val="404040" w:themeColor="text1" w:themeTint="BF"/>
    </w:rPr>
  </w:style>
  <w:style w:type="character" w:customStyle="1" w:styleId="a8">
    <w:name w:val="引用 字符"/>
    <w:basedOn w:val="a0"/>
    <w:link w:val="a7"/>
    <w:uiPriority w:val="29"/>
    <w:rsid w:val="00013089"/>
    <w:rPr>
      <w:i/>
      <w:iCs/>
      <w:color w:val="404040" w:themeColor="text1" w:themeTint="BF"/>
    </w:rPr>
  </w:style>
  <w:style w:type="paragraph" w:styleId="a9">
    <w:name w:val="List Paragraph"/>
    <w:basedOn w:val="a"/>
    <w:uiPriority w:val="34"/>
    <w:qFormat/>
    <w:rsid w:val="00013089"/>
    <w:pPr>
      <w:ind w:left="720"/>
      <w:contextualSpacing/>
    </w:pPr>
  </w:style>
  <w:style w:type="character" w:styleId="aa">
    <w:name w:val="Intense Emphasis"/>
    <w:basedOn w:val="a0"/>
    <w:uiPriority w:val="21"/>
    <w:qFormat/>
    <w:rsid w:val="00013089"/>
    <w:rPr>
      <w:i/>
      <w:iCs/>
      <w:color w:val="0F4761" w:themeColor="accent1" w:themeShade="BF"/>
    </w:rPr>
  </w:style>
  <w:style w:type="paragraph" w:styleId="ab">
    <w:name w:val="Intense Quote"/>
    <w:basedOn w:val="a"/>
    <w:next w:val="a"/>
    <w:link w:val="ac"/>
    <w:uiPriority w:val="30"/>
    <w:qFormat/>
    <w:rsid w:val="00013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3089"/>
    <w:rPr>
      <w:i/>
      <w:iCs/>
      <w:color w:val="0F4761" w:themeColor="accent1" w:themeShade="BF"/>
    </w:rPr>
  </w:style>
  <w:style w:type="character" w:styleId="ad">
    <w:name w:val="Intense Reference"/>
    <w:basedOn w:val="a0"/>
    <w:uiPriority w:val="32"/>
    <w:qFormat/>
    <w:rsid w:val="000130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dc:creator>
  <cp:keywords/>
  <dc:description/>
  <cp:lastModifiedBy>vic</cp:lastModifiedBy>
  <cp:revision>2</cp:revision>
  <dcterms:created xsi:type="dcterms:W3CDTF">2026-09-09T00:51:00Z</dcterms:created>
  <dcterms:modified xsi:type="dcterms:W3CDTF">2026-09-09T00:51:00Z</dcterms:modified>
</cp:coreProperties>
</file>