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428" w:rsidRDefault="00BE5B17">
      <w:pPr>
        <w:spacing w:after="40"/>
        <w:jc w:val="center"/>
      </w:pPr>
      <w:r>
        <w:rPr>
          <w:b/>
          <w:bCs/>
          <w:color w:val="1F3A5F"/>
          <w:sz w:val="34"/>
          <w:szCs w:val="34"/>
        </w:rPr>
        <w:t>Dinâmica e Evolução Temporal de Comunidades no MathOverflow</w:t>
      </w:r>
    </w:p>
    <w:p w:rsidR="004B1428" w:rsidRDefault="00BE5B17">
      <w:pPr>
        <w:spacing w:after="40"/>
        <w:jc w:val="center"/>
      </w:pPr>
      <w:r>
        <w:rPr>
          <w:sz w:val="22"/>
          <w:szCs w:val="22"/>
        </w:rPr>
        <w:t>Relatório final — Computação Social</w:t>
      </w:r>
    </w:p>
    <w:p w:rsidR="004B1428" w:rsidRDefault="00BE5B17">
      <w:pPr>
        <w:spacing w:after="160"/>
        <w:jc w:val="center"/>
      </w:pPr>
      <w:r>
        <w:rPr>
          <w:color w:val="666666"/>
          <w:sz w:val="20"/>
          <w:szCs w:val="20"/>
        </w:rPr>
        <w:t>Grupo: [preencher nomes dos integrantes]</w:t>
      </w:r>
    </w:p>
    <w:p w:rsidR="004B1428" w:rsidRDefault="00BE5B17">
      <w:pPr>
        <w:pStyle w:val="Ttulo1"/>
        <w:spacing w:before="200" w:after="80"/>
      </w:pPr>
      <w:r>
        <w:t>Resumo</w:t>
      </w:r>
    </w:p>
    <w:p w:rsidR="004B1428" w:rsidRDefault="00BE5B17">
      <w:pPr>
        <w:spacing w:after="100" w:line="264" w:lineRule="auto"/>
        <w:jc w:val="both"/>
      </w:pPr>
      <w:r>
        <w:t>Analisamos 506.550 interações (2009–2016) entre 24.818 usuários do MathOverflow para caracterizar como comunidades de discussão se formam, persistem e se dissolvem. Segmentamos a rede em janelas deslizantes de 180 e 365 dias (50% de sobreposição), detectamos comunidades com Leiden e as rastreamos por similaridade de Jaccard. As comunidades são efêmeras: apenas 6–23% das linhagens chegam ao fim da série, e cerca de 55% dos membros mudam entre janelas consecutivas. Um controle de ruído do algoritmo mostrou qu</w:t>
      </w:r>
      <w:r>
        <w:t>e o Jaccard bruto subestima a estabilidade e muda a leitura da comparação entre camadas. Remover os 5% de usuários mais centrais reduz a estabilidade das comunidades muito mais que remover nós aleatórios. Respostas e comentários têm estabilidade quase equivalente após a normalização.</w:t>
      </w:r>
    </w:p>
    <w:p w:rsidR="004B1428" w:rsidRDefault="00BE5B17">
      <w:pPr>
        <w:pStyle w:val="Ttulo1"/>
        <w:spacing w:before="200" w:after="80"/>
      </w:pPr>
      <w:r>
        <w:t>1. Problema e perguntas de pesquisa</w:t>
      </w:r>
    </w:p>
    <w:p w:rsidR="004B1428" w:rsidRDefault="00BE5B17">
      <w:pPr>
        <w:spacing w:after="100" w:line="264" w:lineRule="auto"/>
        <w:jc w:val="both"/>
      </w:pPr>
      <w:r>
        <w:t>Em plataformas de perguntas e respostas, a colaboração nasce de demandas pontuais, o que produz estruturas sociais fluidas. Entender como os grupos coesos se reorganizam é central em Computação Social, pois a sustentabilidade da plataforma depende de núcleos de especialistas e da capacidade de absorver novos membros. Respondemos a três perguntas: (RQ1) as comunidades mantêm estabilidade estrutural ou operam com alta rotatividade? (RQ2) a saída de usuários centrais e a presença de pontes estão associadas à d</w:t>
      </w:r>
      <w:r>
        <w:t>esestabilização das comunidades? (RQ3) a dinâmica difere entre interações de resolução (respostas) e de debate (comentários)?</w:t>
      </w:r>
    </w:p>
    <w:p w:rsidR="004B1428" w:rsidRDefault="00BE5B17">
      <w:pPr>
        <w:spacing w:after="100" w:line="264" w:lineRule="auto"/>
        <w:jc w:val="both"/>
      </w:pPr>
      <w:r>
        <w:t>A detecção estática de comunidades é bem coberta por métodos de modularidade (Blondel et al., 2008; Traag et al., 2019). Palla, Barabási e Vicsek (2007) propuseram rastrear comunidades por snapshots e mostraram que a persistência de grupos grandes depende da renovação de membros. Paranjape, Benson e Leskovec (2017) estudaram motivos temporais em redes Stack Exchange em escalas de horas a dias; aqui olhamos a escala de meses a anos.</w:t>
      </w:r>
    </w:p>
    <w:p w:rsidR="004B1428" w:rsidRDefault="00BE5B17">
      <w:pPr>
        <w:pStyle w:val="Ttulo1"/>
        <w:spacing w:before="200" w:after="80"/>
      </w:pPr>
      <w:r>
        <w:t>2. Dados e método</w:t>
      </w:r>
    </w:p>
    <w:p w:rsidR="004B1428" w:rsidRDefault="00BE5B17">
      <w:pPr>
        <w:spacing w:after="100" w:line="264" w:lineRule="auto"/>
        <w:jc w:val="both"/>
      </w:pPr>
      <w:r>
        <w:rPr>
          <w:b/>
          <w:bCs/>
        </w:rPr>
        <w:t xml:space="preserve">Dados. </w:t>
      </w:r>
      <w:r>
        <w:t>Usamos o sx-mathoverflow do SNAP (Leskovec &amp; Krevl, 2014): 506.550 arestas dirigidas e com carimbo de tempo, 24.818 usuários, 2.350 dias. As camadas são respostas a perguntas (a2q, 107.581 arestas), comentários em perguntas (c2q, 203.639) e comentários em respostas (c2a, 195.330). Os comentários (c2q + c2a) formam a camada de debate. Removemos laços (autointerações, p. ex. 56.990 em c2q).</w:t>
      </w:r>
    </w:p>
    <w:p w:rsidR="004B1428" w:rsidRDefault="00BE5B17">
      <w:pPr>
        <w:spacing w:after="100" w:line="264" w:lineRule="auto"/>
        <w:jc w:val="both"/>
      </w:pPr>
      <w:r>
        <w:rPr>
          <w:b/>
          <w:bCs/>
        </w:rPr>
        <w:t xml:space="preserve">Pipeline. </w:t>
      </w:r>
      <w:r>
        <w:t xml:space="preserve">(i) Janelas de 180 e 365 dias com passo de metade da largura (25 e 12 janelas). (ii) Em cada janela, grafo ponderado pelo número de interações; o Leiden maximiza a modularidade no grafo não dirigido (resolução 1), e descartamos comunidades com menos de 10 nós. (iii) Entre t e t+1, ligamos A→B se Jaccard ≥ 0,2 e classificamos sobrevivência, nascimento, morte, fusão e divisão; linhagens seguem o melhor vínculo. (iv) Por comunidade: densidade interna, condutância e rotatividade (fração que sai e fração nova). </w:t>
      </w:r>
      <w:r>
        <w:t>(v) Especialistas são os 5% de maior PageRank ponderado na janela; pontes, os 5% de maior betweenness (aproximada com cutoff=4 em janelas grandes). Implementação em Python com igraph/leidenalg; o pareamento de Jaccard foi escrito diretamente, sem CDlib.</w:t>
      </w:r>
    </w:p>
    <w:p w:rsidR="004B1428" w:rsidRDefault="00BE5B17">
      <w:pPr>
        <w:spacing w:after="100" w:line="264" w:lineRule="auto"/>
        <w:jc w:val="both"/>
      </w:pPr>
      <w:r>
        <w:rPr>
          <w:b/>
          <w:bCs/>
        </w:rPr>
        <w:t xml:space="preserve">Controles. </w:t>
      </w:r>
      <w:r>
        <w:t>O Leiden é estocástico, então medimos o teto de ruído: Jaccard entre duas execuções na mesma janela com sementes diferentes. A estabilidade normalizada é o Jaccard t→t+1 dividido por esse teto. Todas as métricas principais foram repetidas com 5 sementes. Para RQ2 fizemos regressões (OLS e logística) com tamanho controlado e um contrafactual: reconstruímos G(t+1) sem os especialistas de t e comparamos com a remoção de 5% de nós aleatórios (20 repetições).</w:t>
      </w:r>
    </w:p>
    <w:p w:rsidR="004B1428" w:rsidRDefault="00BE5B17">
      <w:pPr>
        <w:pStyle w:val="Ttulo1"/>
        <w:spacing w:before="200" w:after="80"/>
      </w:pPr>
      <w:r>
        <w:t>3. Resultados</w:t>
      </w:r>
    </w:p>
    <w:p w:rsidR="004B1428" w:rsidRDefault="00BE5B17">
      <w:pPr>
        <w:pStyle w:val="Ttulo2"/>
        <w:spacing w:before="120" w:after="60"/>
      </w:pPr>
      <w:r>
        <w:t>3.1 Estabilidade e ciclo de vida (RQ1)</w:t>
      </w:r>
    </w:p>
    <w:p w:rsidR="004B1428" w:rsidRDefault="00BE5B17">
      <w:pPr>
        <w:spacing w:after="100" w:line="264" w:lineRule="auto"/>
        <w:jc w:val="both"/>
      </w:pPr>
      <w:r>
        <w:t>A modularidade cresce ao longo da série (de 0,29 a 0,53 na rede completa com janelas de 180 dias), indicando separação progressiva em comunidades. Há em média 11,4 comunidades por janela, com 349 nós. A estabilidade, porém, é baixa: o melhor Jaccard com a janela seguinte é de 0,19, ou 0,37 do teto de ruído (0,51). Entre comunidades ligadas, ~55% dos membros saem e ~57% são novos. Apenas 9,6% das linhagens (180 d) e 22% (365 d) chegam à última janela, e a mediana de vida é de uma janela (Figura 1). Com θ = 0</w:t>
      </w:r>
      <w:r>
        <w:t>,2 quase não há fusões ou divisões; com θ = 0,1 aparecem 31 fusões e 22 divisões, contra 55 mortes.</w:t>
      </w:r>
    </w:p>
    <w:p w:rsidR="004B1428" w:rsidRDefault="00BE5B17">
      <w:pPr>
        <w:spacing w:before="60" w:after="40"/>
        <w:jc w:val="center"/>
      </w:pPr>
      <w:r>
        <w:rPr>
          <w:noProof/>
        </w:rPr>
        <w:drawing>
          <wp:inline distT="0" distB="0" distL="0" distR="0" wp14:anchorId="26982A33" wp14:editId="36979D60">
            <wp:extent cx="6096000" cy="1628775"/>
            <wp:effectExtent l="0" t="0" r="0" b="0"/>
            <wp:docPr id="1" name="fig_layers_w180.png" descr="fig_layers_w180.png" title="fig_layers_w1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428" w:rsidRDefault="00BE5B17">
      <w:pPr>
        <w:spacing w:after="140"/>
        <w:jc w:val="center"/>
      </w:pPr>
      <w:r>
        <w:rPr>
          <w:i/>
          <w:iCs/>
          <w:color w:val="444444"/>
          <w:sz w:val="18"/>
          <w:szCs w:val="18"/>
        </w:rPr>
        <w:t>Figura 1. Modularidade, estabilidade (melhor Jaccard em t+1) e sobrevivência de linhagens (Kaplan-Meier), janelas de 180 dias.</w:t>
      </w:r>
    </w:p>
    <w:p w:rsidR="004B1428" w:rsidRDefault="00BE5B17">
      <w:pPr>
        <w:pStyle w:val="Ttulo2"/>
        <w:spacing w:before="120" w:after="60"/>
      </w:pPr>
      <w:r>
        <w:t>3.2 Saída de especialistas e pontes (RQ2)</w:t>
      </w:r>
    </w:p>
    <w:p w:rsidR="004B1428" w:rsidRDefault="00BE5B17">
      <w:pPr>
        <w:spacing w:after="100" w:line="264" w:lineRule="auto"/>
        <w:jc w:val="both"/>
      </w:pPr>
      <w:r>
        <w:t>Com estabilidade contínua e tamanho controlado, a fração de especialistas que saem tem coeficiente negativo sobre a estabilidade em todas as 8 configurações (p &lt; 0,05 em 7). No modelo logístico de divisão/fusão/morte, o efeito é significativo em 3 de 8. Pontes de alta betweenness associam-se a maior estabilidade (Spearman de +0,27 a +0,49), mas o efeito enfraquece com controles. O tamanho é o preditor dominante (R² de 0,3 a 0,45). O contrafactual dá a evidência mais direta (Tabela 1, Figura 2): remover os e</w:t>
      </w:r>
      <w:r>
        <w:t>specialistas reduz o Jaccard em 0,076 (rede completa) e 0,093 (comentários), enquanto remover nós aleatórios não altera a estabilidade (+0,01); a diferença é significativa em todas as camadas (Wilcoxon pareado, p &lt; 0,0001). A modularidade sobe ao remover hubs, o que é esperado, pois eles conectam comunidades; não indica mais coesão.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1800"/>
        <w:gridCol w:w="1800"/>
        <w:gridCol w:w="1800"/>
        <w:gridCol w:w="1800"/>
      </w:tblGrid>
      <w:tr w:rsidR="004B1428">
        <w:trPr>
          <w:tblHeader/>
        </w:trPr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ΔJaccard (especialistas)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ΔJaccard (aleatório)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ΔQ (especialistas)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ΔQ (aleatório)</w:t>
            </w:r>
          </w:p>
        </w:tc>
      </w:tr>
      <w:tr w:rsidR="004B1428"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Completa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0,076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+0,011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+0,192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+0,005</w:t>
            </w:r>
          </w:p>
        </w:tc>
      </w:tr>
      <w:tr w:rsidR="004B1428"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Respostas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0,019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+0,001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+0,109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+0,009</w:t>
            </w:r>
          </w:p>
        </w:tc>
      </w:tr>
      <w:tr w:rsidR="004B1428"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Comentários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</w:t>
            </w:r>
            <w:r>
              <w:rPr>
                <w:color w:val="000000"/>
                <w:sz w:val="18"/>
                <w:szCs w:val="18"/>
              </w:rPr>
              <w:t>0,093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+0,007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+0,201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+0,005</w:t>
            </w:r>
          </w:p>
        </w:tc>
      </w:tr>
    </w:tbl>
    <w:p w:rsidR="004B1428" w:rsidRDefault="00BE5B17">
      <w:pPr>
        <w:spacing w:after="140"/>
        <w:jc w:val="center"/>
      </w:pPr>
      <w:r>
        <w:rPr>
          <w:i/>
          <w:iCs/>
          <w:color w:val="444444"/>
          <w:sz w:val="18"/>
          <w:szCs w:val="18"/>
        </w:rPr>
        <w:t>Tabela 1. Contrafactual (180 d, 24 transições por camada): variação relativa à rede completa.</w:t>
      </w:r>
    </w:p>
    <w:p w:rsidR="004B1428" w:rsidRDefault="00BE5B17">
      <w:pPr>
        <w:spacing w:before="60" w:after="40"/>
        <w:jc w:val="center"/>
      </w:pPr>
      <w:r>
        <w:rPr>
          <w:noProof/>
        </w:rPr>
        <w:drawing>
          <wp:inline distT="0" distB="0" distL="0" distR="0" wp14:anchorId="717D4436" wp14:editId="6DAED1BD">
            <wp:extent cx="4476750" cy="1790700"/>
            <wp:effectExtent l="0" t="0" r="0" b="0"/>
            <wp:docPr id="2" name="fig_counterfactual.png" descr="fig_counterfactual.png" title="fig_counterfac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428" w:rsidRDefault="00BE5B17">
      <w:pPr>
        <w:spacing w:after="140"/>
        <w:jc w:val="center"/>
      </w:pPr>
      <w:r>
        <w:rPr>
          <w:i/>
          <w:iCs/>
          <w:color w:val="444444"/>
          <w:sz w:val="18"/>
          <w:szCs w:val="18"/>
        </w:rPr>
        <w:t>Figura 2. Efeito da remoção dos 5% mais centrais versus 5% aleatórios (média e IC 95%).</w:t>
      </w:r>
    </w:p>
    <w:p w:rsidR="004B1428" w:rsidRDefault="00BE5B17">
      <w:pPr>
        <w:pStyle w:val="Ttulo2"/>
        <w:spacing w:before="120" w:after="60"/>
      </w:pPr>
      <w:r>
        <w:t>3.3 Respostas versus comentários (RQ3)</w:t>
      </w:r>
    </w:p>
    <w:p w:rsidR="004B1428" w:rsidRDefault="00BE5B17">
      <w:pPr>
        <w:spacing w:after="100" w:line="264" w:lineRule="auto"/>
        <w:jc w:val="both"/>
      </w:pPr>
      <w:r>
        <w:t>Em valores brutos, a rede de comentários tem comunidades maiores, mais estáveis (Jaccard 0,19 contra 0,13 em 180 d) e menos modulares (Q 0,46 contra 0,56) que a de respostas, e maior condutância (0,45 contra 0,36, comunidades menos separadas). Isso contraria a hipótese de que debates seriam mais instáveis. Porém o teto de ruído também difere (0,54 contra 0,38): a rede de respostas é mais esparsa e fragmentada (≈20 comunidades por janela contra ≈12), o que reduz o Jaccard mecanicamente. Normalizada, a difere</w:t>
      </w:r>
      <w:r>
        <w:t>nça quase desaparece (Tabela 2); em 180 dias as respostas ficam um pouco menos estáveis (0,334 contra 0,359, 2–3 desvios-padrão entre sementes) e em 365 dias não há diferença clara.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100"/>
        <w:gridCol w:w="1560"/>
        <w:gridCol w:w="1400"/>
        <w:gridCol w:w="1850"/>
        <w:gridCol w:w="1828"/>
      </w:tblGrid>
      <w:tr w:rsidR="004B1428"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Janela (d)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Jaccard t→t+1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Teto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Normalizada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Linhagens até o fim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Completa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0,187 ± 0,004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0,371 ± 0,009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9,6%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Completa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0,217 ± 0,005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0,558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0,389 ± 0,008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22,1%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Respostas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0,128 ± 0,003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0,383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0,334 ± 0,011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5,7%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Respostas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0,137 ± 0,004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0,377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0,363 ± 0,017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13,0%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Comentários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180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0,192 ± 0,003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0,536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0,359 ± 0,005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9,2%</w:t>
            </w:r>
          </w:p>
        </w:tc>
      </w:tr>
      <w:tr w:rsidR="004B1428"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r>
              <w:rPr>
                <w:color w:val="000000"/>
                <w:sz w:val="18"/>
                <w:szCs w:val="18"/>
              </w:rPr>
              <w:t>Comentários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365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0,216 ± 0,005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0,551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0,393 ± 0,007</w:t>
            </w:r>
          </w:p>
        </w:tc>
        <w:tc>
          <w:tcPr>
            <w:tcW w:w="18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1428" w:rsidRDefault="00BE5B17">
            <w:pPr>
              <w:jc w:val="center"/>
            </w:pPr>
            <w:r>
              <w:rPr>
                <w:color w:val="000000"/>
                <w:sz w:val="18"/>
                <w:szCs w:val="18"/>
              </w:rPr>
              <w:t>22,5%</w:t>
            </w:r>
          </w:p>
        </w:tc>
      </w:tr>
    </w:tbl>
    <w:p w:rsidR="004B1428" w:rsidRDefault="00BE5B17">
      <w:pPr>
        <w:spacing w:after="140"/>
        <w:jc w:val="center"/>
      </w:pPr>
      <w:r>
        <w:rPr>
          <w:i/>
          <w:iCs/>
          <w:color w:val="444444"/>
          <w:sz w:val="18"/>
          <w:szCs w:val="18"/>
        </w:rPr>
        <w:t>Tabela 2. Média ± desvio-padrão em 5 sementes do Leiden.</w:t>
      </w:r>
    </w:p>
    <w:p w:rsidR="004B1428" w:rsidRDefault="00BE5B17">
      <w:pPr>
        <w:pStyle w:val="Ttulo1"/>
        <w:spacing w:before="200" w:after="80"/>
      </w:pPr>
      <w:r>
        <w:t>4. Discussão e limitações</w:t>
      </w:r>
    </w:p>
    <w:p w:rsidR="004B1428" w:rsidRDefault="00BE5B17">
      <w:pPr>
        <w:spacing w:after="100" w:line="264" w:lineRule="auto"/>
        <w:jc w:val="both"/>
      </w:pPr>
      <w:r>
        <w:t>A leitura conjunta é que a plataforma tem poucos núcleos grandes e uma cauda de grupos de curta duração, e que os usuários mais centrais sustentam a coesão estrutural: sem eles, as comunidades se rearranjam. A conclusão sobre as camadas depende da normalização; sem o controle de ruído, concluiríamos erradamente que comentários são mais estáveis. Limitações: (a) janelas sobrepostas tornam as observações dependentes, e os p-valores são otimistas; (b) o contrafactual é estrutural e não prova causalidade da saí</w:t>
      </w:r>
      <w:r>
        <w:t>da real; (c) com resolução 1 há poucas comunidades grandes, e com γ = 2 quase nenhuma sobrevive, de modo que resultados dependem da resolução; (d) não há rótulos de tópico para validar se as comunidades correspondem a áreas da matemática; (e) o poder para eventos discretos de fusão e divisão é baixo.</w:t>
      </w:r>
    </w:p>
    <w:p w:rsidR="004B1428" w:rsidRDefault="00BE5B17">
      <w:pPr>
        <w:pStyle w:val="Ttulo1"/>
        <w:spacing w:before="200" w:after="80"/>
      </w:pPr>
      <w:r>
        <w:t>5. Conclusão</w:t>
      </w:r>
    </w:p>
    <w:p w:rsidR="004B1428" w:rsidRDefault="00BE5B17">
      <w:pPr>
        <w:spacing w:after="100" w:line="264" w:lineRule="auto"/>
        <w:jc w:val="both"/>
      </w:pPr>
      <w:r>
        <w:t>As comunidades do MathOverflow são pouco duráveis (RQ1), a saída de usuários centrais está associada à desestabilização estrutural e a remoção deles a provoca de forma mais forte que a de nós aleatórios (RQ2), e respostas e comentários têm dinâmica semelhante depois de descontado o ruído do detector, com leve desvantagem de estabilidade para respostas em janelas curtas (RQ3). Código, dados derivados e figuras estão no repositório do projeto.</w:t>
      </w:r>
    </w:p>
    <w:p w:rsidR="004B1428" w:rsidRDefault="00BE5B17">
      <w:pPr>
        <w:pStyle w:val="Ttulo1"/>
        <w:spacing w:before="200" w:after="80"/>
      </w:pPr>
      <w:r>
        <w:t>Referências</w:t>
      </w:r>
    </w:p>
    <w:p w:rsidR="004B1428" w:rsidRDefault="00BE5B17">
      <w:pPr>
        <w:spacing w:after="40"/>
      </w:pPr>
      <w:r>
        <w:t>Blondel, V. D.; Guillaume, J.-L.; Lambiotte, R.; Lefebvre, E. (2008). Fast unfolding of communities in large networks. J. Stat. Mech.: Theory Exp.</w:t>
      </w:r>
    </w:p>
    <w:p w:rsidR="004B1428" w:rsidRDefault="00BE5B17">
      <w:pPr>
        <w:spacing w:after="40"/>
      </w:pPr>
      <w:r>
        <w:t>Leskovec, J.; Krevl, A. (2014). SNAP Datasets: Stanford Large Network Dataset Collection. http://snap.stanford.edu/data</w:t>
      </w:r>
    </w:p>
    <w:p w:rsidR="004B1428" w:rsidRDefault="00BE5B17">
      <w:pPr>
        <w:spacing w:after="40"/>
      </w:pPr>
      <w:r>
        <w:t>Palla, G.; Barabási, A.-L.; Vicsek, T. (2007). Quantifying social group evolution. Nature 446, 664–667.</w:t>
      </w:r>
    </w:p>
    <w:p w:rsidR="004B1428" w:rsidRDefault="00BE5B17">
      <w:pPr>
        <w:spacing w:after="40"/>
      </w:pPr>
      <w:r>
        <w:t>Paranjape, A.; Benson, A. R.; Leskovec, J. (2017). Motifs in temporal networks. Proc. WSDM.</w:t>
      </w:r>
    </w:p>
    <w:p w:rsidR="004B1428" w:rsidRDefault="00BE5B17">
      <w:pPr>
        <w:spacing w:after="40"/>
      </w:pPr>
      <w:r>
        <w:t>Traag, V. A.; Waltman, L.; van Eck, N. J. (2019). From Louvain to Leiden: guaranteeing well-connected communities. Sci. Rep. 9, 5233.</w:t>
      </w:r>
    </w:p>
    <w:p w:rsidR="004B1428" w:rsidRDefault="00BE5B17">
      <w:pPr>
        <w:pStyle w:val="Ttulo1"/>
        <w:pageBreakBefore/>
      </w:pPr>
      <w:r>
        <w:t>Anexo: uso de IA generativa</w:t>
      </w:r>
    </w:p>
    <w:p w:rsidR="004B1428" w:rsidRDefault="00BE5B17">
      <w:pPr>
        <w:spacing w:after="100" w:line="264" w:lineRule="auto"/>
        <w:jc w:val="both"/>
      </w:pPr>
      <w:r>
        <w:t>O uso de IA generativa na elaboração da proposta concentrou-se no planejamento e na delimitação do escopo: avaliação de viabilidade dos conjuntos de dados, refinamento de hipóteses (betweenness versus grau) e mapeamento de ferramentas.</w:t>
      </w:r>
    </w:p>
    <w:p w:rsidR="004B1428" w:rsidRDefault="00BE5B17">
      <w:pPr>
        <w:spacing w:after="100" w:line="264" w:lineRule="auto"/>
        <w:jc w:val="both"/>
      </w:pPr>
      <w:r>
        <w:t>Na fase de execução, um assistente de IA (Claude, Anthropic) foi usado para escrever o código do pipeline (carregamento, janelas, Leiden, rastreio, regressões, contrafactual), executá-lo e rascunhar este relatório e os slides. Durante o processo, o assistente identificou que as contagens de arestas por camada da proposta estavam incorretas (valores corrigidos na Seção 2) e propôs o controle de ruído do algoritmo, que alterou a conclusão da RQ3. Todos os números deste relatório vêm de arquivos gerados em res</w:t>
      </w:r>
      <w:r>
        <w:t>ults/ e podem ser reproduzidos com os scripts do repositório. As decisões metodológicas e a interpretação devem ser revisadas e validadas pelos integrantes do grupo.</w:t>
      </w:r>
    </w:p>
    <w:sectPr w:rsidR="004B1428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B17" w:rsidRDefault="00BE5B17">
      <w:r>
        <w:separator/>
      </w:r>
    </w:p>
  </w:endnote>
  <w:endnote w:type="continuationSeparator" w:id="0">
    <w:p w:rsidR="00BE5B17" w:rsidRDefault="00BE5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1428" w:rsidRDefault="00BE5B17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5392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B17" w:rsidRDefault="00BE5B17">
      <w:r>
        <w:separator/>
      </w:r>
    </w:p>
  </w:footnote>
  <w:footnote w:type="continuationSeparator" w:id="0">
    <w:p w:rsidR="00BE5B17" w:rsidRDefault="00BE5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2750C"/>
    <w:multiLevelType w:val="hybridMultilevel"/>
    <w:tmpl w:val="35BCE70E"/>
    <w:lvl w:ilvl="0" w:tplc="9F96D098" w:tentative="1">
      <w:start w:val="1"/>
      <w:numFmt w:val="bullet"/>
      <w:lvlText w:val="●"/>
      <w:lvlJc w:val="left"/>
      <w:pPr>
        <w:ind w:left="720" w:hanging="360"/>
      </w:pPr>
    </w:lvl>
    <w:lvl w:ilvl="1" w:tplc="FCCA6F96" w:tentative="1">
      <w:start w:val="1"/>
      <w:numFmt w:val="bullet"/>
      <w:lvlText w:val="○"/>
      <w:lvlJc w:val="left"/>
      <w:pPr>
        <w:ind w:left="1440" w:hanging="360"/>
      </w:pPr>
    </w:lvl>
    <w:lvl w:ilvl="2" w:tplc="483EC9B4" w:tentative="1">
      <w:start w:val="1"/>
      <w:numFmt w:val="bullet"/>
      <w:lvlText w:val="■"/>
      <w:lvlJc w:val="left"/>
      <w:pPr>
        <w:ind w:left="2160" w:hanging="360"/>
      </w:pPr>
    </w:lvl>
    <w:lvl w:ilvl="3" w:tplc="980ECAFE" w:tentative="1">
      <w:start w:val="1"/>
      <w:numFmt w:val="bullet"/>
      <w:lvlText w:val="●"/>
      <w:lvlJc w:val="left"/>
      <w:pPr>
        <w:ind w:left="2880" w:hanging="360"/>
      </w:pPr>
    </w:lvl>
    <w:lvl w:ilvl="4" w:tplc="1BB2C36E" w:tentative="1">
      <w:start w:val="1"/>
      <w:numFmt w:val="bullet"/>
      <w:lvlText w:val="○"/>
      <w:lvlJc w:val="left"/>
      <w:pPr>
        <w:ind w:left="3600" w:hanging="360"/>
      </w:pPr>
    </w:lvl>
    <w:lvl w:ilvl="5" w:tplc="D98095E2" w:tentative="1">
      <w:start w:val="1"/>
      <w:numFmt w:val="bullet"/>
      <w:lvlText w:val="■"/>
      <w:lvlJc w:val="left"/>
      <w:pPr>
        <w:ind w:left="4320" w:hanging="360"/>
      </w:pPr>
    </w:lvl>
    <w:lvl w:ilvl="6" w:tplc="6A129816" w:tentative="1">
      <w:start w:val="1"/>
      <w:numFmt w:val="bullet"/>
      <w:lvlText w:val="●"/>
      <w:lvlJc w:val="left"/>
      <w:pPr>
        <w:ind w:left="5040" w:hanging="360"/>
      </w:pPr>
    </w:lvl>
    <w:lvl w:ilvl="7" w:tplc="1C4E322E" w:tentative="1">
      <w:start w:val="1"/>
      <w:numFmt w:val="bullet"/>
      <w:lvlText w:val="●"/>
      <w:lvlJc w:val="left"/>
      <w:pPr>
        <w:ind w:left="5760" w:hanging="360"/>
      </w:pPr>
    </w:lvl>
    <w:lvl w:ilvl="8" w:tplc="779282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16061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28"/>
    <w:rsid w:val="001A2B2A"/>
    <w:rsid w:val="001F0B9F"/>
    <w:rsid w:val="004B1428"/>
    <w:rsid w:val="00953929"/>
    <w:rsid w:val="00BE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62FB44"/>
  <w15:docId w15:val="{65AAC79A-7E75-4016-8526-A8A724BE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A5F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F5D8C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1537</Words>
  <Characters>8289</Characters>
  <Application>Microsoft Office Word</Application>
  <DocSecurity>0</DocSecurity>
  <Lines>172</Lines>
  <Paragraphs>115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Dinâmica e Evolução Temporal de Comunidades no MathOverflow</dc:title>
  <dc:creator>Grupo Computação Social</dc:creator>
  <cp:lastModifiedBy>Victor Yuji Yano</cp:lastModifiedBy>
  <cp:revision>2</cp:revision>
  <cp:lastPrinted>2026-10-13T18:25:00Z</cp:lastPrinted>
  <dcterms:created xsi:type="dcterms:W3CDTF">2026-10-13T18:25:00Z</dcterms:created>
  <dcterms:modified xsi:type="dcterms:W3CDTF">2026-10-13T18:25:00Z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cao">
    <vt:lpwstr>Confidencial Peers</vt:lpwstr>
  </property>
</Properties>
</file>