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EAA" w:rsidRDefault="00C93EAA" w:rsidP="00C93EAA">
      <w:pPr>
        <w:pStyle w:val="1"/>
      </w:pPr>
      <w:r>
        <w:rPr>
          <w:rFonts w:hint="eastAsia"/>
        </w:rPr>
        <w:t>附件一</w:t>
      </w:r>
    </w:p>
    <w:p w:rsidR="00C93EAA" w:rsidRDefault="00C93EAA" w:rsidP="00C93EAA">
      <w:pPr>
        <w:tabs>
          <w:tab w:val="left" w:pos="900"/>
        </w:tabs>
        <w:spacing w:line="360" w:lineRule="auto"/>
        <w:ind w:firstLineChars="175" w:firstLine="420"/>
        <w:rPr>
          <w:sz w:val="24"/>
        </w:rPr>
      </w:pPr>
      <w:r>
        <w:rPr>
          <w:sz w:val="24"/>
        </w:rPr>
        <w:t>根据《</w:t>
      </w:r>
      <w:r>
        <w:rPr>
          <w:sz w:val="24"/>
        </w:rPr>
        <w:t>GB/T 1.1—2009</w:t>
      </w:r>
      <w:r>
        <w:rPr>
          <w:sz w:val="24"/>
        </w:rPr>
        <w:t>标准化工作导则》的规定，标准行文内容都是由</w:t>
      </w:r>
      <w:r>
        <w:rPr>
          <w:rFonts w:hint="eastAsia"/>
          <w:sz w:val="24"/>
        </w:rPr>
        <w:t>“</w:t>
      </w:r>
      <w:r>
        <w:rPr>
          <w:sz w:val="24"/>
        </w:rPr>
        <w:t>规范性要素</w:t>
      </w:r>
      <w:r>
        <w:rPr>
          <w:rFonts w:hint="eastAsia"/>
          <w:sz w:val="24"/>
        </w:rPr>
        <w:t>”</w:t>
      </w:r>
      <w:r>
        <w:rPr>
          <w:sz w:val="24"/>
        </w:rPr>
        <w:t>和</w:t>
      </w:r>
      <w:r>
        <w:rPr>
          <w:rFonts w:hint="eastAsia"/>
          <w:sz w:val="24"/>
        </w:rPr>
        <w:t>“</w:t>
      </w:r>
      <w:r>
        <w:rPr>
          <w:sz w:val="24"/>
        </w:rPr>
        <w:t>资料性要素</w:t>
      </w:r>
      <w:r>
        <w:rPr>
          <w:rFonts w:hint="eastAsia"/>
          <w:sz w:val="24"/>
        </w:rPr>
        <w:t>”</w:t>
      </w:r>
      <w:r>
        <w:rPr>
          <w:sz w:val="24"/>
        </w:rPr>
        <w:t>组成。</w:t>
      </w:r>
    </w:p>
    <w:p w:rsidR="00C93EAA" w:rsidRDefault="00C93EAA" w:rsidP="00C93EAA">
      <w:pPr>
        <w:tabs>
          <w:tab w:val="left" w:pos="900"/>
        </w:tabs>
        <w:spacing w:line="360" w:lineRule="auto"/>
        <w:ind w:firstLineChars="175" w:firstLine="420"/>
        <w:rPr>
          <w:sz w:val="24"/>
        </w:rPr>
      </w:pPr>
      <w:r>
        <w:rPr>
          <w:sz w:val="24"/>
        </w:rPr>
        <w:t>规范性要素是</w:t>
      </w:r>
      <w:r>
        <w:rPr>
          <w:rFonts w:hint="eastAsia"/>
          <w:sz w:val="24"/>
        </w:rPr>
        <w:t>“</w:t>
      </w:r>
      <w:r>
        <w:rPr>
          <w:sz w:val="24"/>
        </w:rPr>
        <w:t>声明</w:t>
      </w:r>
      <w:r>
        <w:rPr>
          <w:rFonts w:hint="eastAsia"/>
          <w:sz w:val="24"/>
        </w:rPr>
        <w:t>为</w:t>
      </w:r>
      <w:r>
        <w:rPr>
          <w:sz w:val="24"/>
        </w:rPr>
        <w:t>符合标准而应遵守条款的要素</w:t>
      </w:r>
      <w:r>
        <w:rPr>
          <w:rFonts w:hint="eastAsia"/>
          <w:sz w:val="24"/>
        </w:rPr>
        <w:t>”</w:t>
      </w:r>
      <w:r>
        <w:rPr>
          <w:sz w:val="24"/>
          <w:szCs w:val="24"/>
          <w:vertAlign w:val="superscript"/>
        </w:rPr>
        <w:t>[</w:t>
      </w:r>
      <w:r>
        <w:rPr>
          <w:rFonts w:hint="eastAsia"/>
          <w:sz w:val="24"/>
          <w:szCs w:val="24"/>
          <w:vertAlign w:val="superscript"/>
        </w:rPr>
        <w:t>21</w:t>
      </w:r>
      <w:r>
        <w:rPr>
          <w:sz w:val="24"/>
          <w:szCs w:val="24"/>
          <w:vertAlign w:val="superscript"/>
        </w:rPr>
        <w:t>]</w:t>
      </w:r>
      <w:r>
        <w:rPr>
          <w:sz w:val="24"/>
        </w:rPr>
        <w:t>。如果某一事物在实施过程中需要严格遵守规范性要素的内容，而对于其他非规范性要素则并不需要严格遵守，即可满足要求。</w:t>
      </w:r>
    </w:p>
    <w:p w:rsidR="00C93EAA" w:rsidRDefault="00C93EAA" w:rsidP="00C93EAA">
      <w:pPr>
        <w:tabs>
          <w:tab w:val="left" w:pos="900"/>
        </w:tabs>
        <w:spacing w:line="360" w:lineRule="auto"/>
        <w:ind w:firstLineChars="175" w:firstLine="420"/>
        <w:rPr>
          <w:sz w:val="24"/>
        </w:rPr>
      </w:pPr>
      <w:r>
        <w:rPr>
          <w:sz w:val="24"/>
        </w:rPr>
        <w:t>资料性要素是</w:t>
      </w:r>
      <w:r>
        <w:rPr>
          <w:rFonts w:hint="eastAsia"/>
          <w:sz w:val="24"/>
        </w:rPr>
        <w:t>“</w:t>
      </w:r>
      <w:r>
        <w:rPr>
          <w:sz w:val="24"/>
        </w:rPr>
        <w:t>标识标准、介绍标准，提供标准附加信息的要素</w:t>
      </w:r>
      <w:r>
        <w:rPr>
          <w:rFonts w:hint="eastAsia"/>
          <w:sz w:val="24"/>
        </w:rPr>
        <w:t>”</w:t>
      </w:r>
      <w:r>
        <w:rPr>
          <w:sz w:val="24"/>
        </w:rPr>
        <w:t>。该要素的内容是为了提供给标准使用者一些资料来参考执行，并不需要使用者遵守其中各项内容的规定。</w:t>
      </w:r>
    </w:p>
    <w:p w:rsidR="00C93EAA" w:rsidRDefault="00C93EAA" w:rsidP="00C93EAA">
      <w:pPr>
        <w:spacing w:line="360" w:lineRule="auto"/>
        <w:ind w:firstLine="420"/>
        <w:rPr>
          <w:sz w:val="24"/>
        </w:rPr>
      </w:pPr>
      <w:r>
        <w:rPr>
          <w:sz w:val="24"/>
        </w:rPr>
        <w:t>《</w:t>
      </w:r>
      <w:r>
        <w:rPr>
          <w:sz w:val="24"/>
        </w:rPr>
        <w:t>GB/T 1.1—2009</w:t>
      </w:r>
      <w:r>
        <w:rPr>
          <w:sz w:val="24"/>
        </w:rPr>
        <w:t>标准化工作导则》对组成标准的各类要素的典型编排进行了规定，如表</w:t>
      </w:r>
      <w:r>
        <w:rPr>
          <w:sz w:val="24"/>
        </w:rPr>
        <w:t>1</w:t>
      </w:r>
      <w:r>
        <w:rPr>
          <w:sz w:val="24"/>
        </w:rPr>
        <w:t>.1</w:t>
      </w:r>
      <w:r>
        <w:rPr>
          <w:sz w:val="24"/>
        </w:rPr>
        <w:t>所示。</w:t>
      </w:r>
    </w:p>
    <w:p w:rsidR="00C93EAA" w:rsidRDefault="00C93EAA" w:rsidP="00C93EAA">
      <w:pPr>
        <w:spacing w:line="360" w:lineRule="auto"/>
        <w:ind w:firstLine="420"/>
        <w:jc w:val="center"/>
        <w:rPr>
          <w:b/>
        </w:rPr>
      </w:pPr>
      <w:r>
        <w:rPr>
          <w:b/>
        </w:rPr>
        <w:t>表</w:t>
      </w:r>
      <w:r>
        <w:rPr>
          <w:b/>
        </w:rPr>
        <w:t>1.</w:t>
      </w:r>
      <w:r>
        <w:rPr>
          <w:b/>
        </w:rPr>
        <w:t xml:space="preserve">1  </w:t>
      </w:r>
      <w:r>
        <w:rPr>
          <w:b/>
        </w:rPr>
        <w:t>标准各类要素的典型编排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8"/>
        <w:gridCol w:w="3150"/>
        <w:gridCol w:w="3846"/>
      </w:tblGrid>
      <w:tr w:rsidR="00C93EAA" w:rsidTr="00D91A5A">
        <w:trPr>
          <w:jc w:val="center"/>
        </w:trPr>
        <w:tc>
          <w:tcPr>
            <w:tcW w:w="2278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要素一级类型</w:t>
            </w:r>
          </w:p>
        </w:tc>
        <w:tc>
          <w:tcPr>
            <w:tcW w:w="3150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要素二级类型</w:t>
            </w:r>
          </w:p>
        </w:tc>
        <w:tc>
          <w:tcPr>
            <w:tcW w:w="3846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要素的编排</w:t>
            </w:r>
          </w:p>
        </w:tc>
      </w:tr>
      <w:tr w:rsidR="00C93EAA" w:rsidTr="00D91A5A">
        <w:trPr>
          <w:jc w:val="center"/>
        </w:trPr>
        <w:tc>
          <w:tcPr>
            <w:tcW w:w="2278" w:type="dxa"/>
            <w:tcBorders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资料性要素</w:t>
            </w:r>
          </w:p>
        </w:tc>
        <w:tc>
          <w:tcPr>
            <w:tcW w:w="3150" w:type="dxa"/>
            <w:tcBorders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  <w:rPr>
                <w:i/>
              </w:rPr>
            </w:pPr>
            <w:r>
              <w:t>资料性概述要素</w:t>
            </w:r>
          </w:p>
        </w:tc>
        <w:tc>
          <w:tcPr>
            <w:tcW w:w="3846" w:type="dxa"/>
            <w:tcBorders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  <w:rPr>
                <w:i/>
              </w:rPr>
            </w:pPr>
            <w:r w:rsidRPr="00A56B83">
              <w:t>封面</w:t>
            </w:r>
          </w:p>
        </w:tc>
      </w:tr>
      <w:tr w:rsidR="00C93EAA" w:rsidTr="00D91A5A">
        <w:trPr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目次</w:t>
            </w:r>
          </w:p>
        </w:tc>
      </w:tr>
      <w:tr w:rsidR="00C93EAA" w:rsidTr="00D91A5A">
        <w:trPr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Pr="00A56B83" w:rsidRDefault="00C93EAA" w:rsidP="00D91A5A">
            <w:pPr>
              <w:spacing w:line="360" w:lineRule="auto"/>
              <w:jc w:val="center"/>
            </w:pPr>
            <w:r w:rsidRPr="00A56B83">
              <w:t>前言</w:t>
            </w:r>
          </w:p>
        </w:tc>
      </w:tr>
      <w:tr w:rsidR="00C93EAA" w:rsidTr="00D91A5A">
        <w:trPr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引言</w:t>
            </w:r>
          </w:p>
        </w:tc>
      </w:tr>
      <w:tr w:rsidR="00C93EAA" w:rsidTr="00D91A5A">
        <w:trPr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规范性要素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  <w:rPr>
                <w:i/>
              </w:rPr>
            </w:pPr>
            <w:r>
              <w:t>规范性一般要素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Pr="00A56B83" w:rsidRDefault="00C93EAA" w:rsidP="00D91A5A">
            <w:pPr>
              <w:spacing w:line="360" w:lineRule="auto"/>
              <w:jc w:val="center"/>
            </w:pPr>
            <w:r w:rsidRPr="00A56B83">
              <w:t>标准名称</w:t>
            </w:r>
          </w:p>
        </w:tc>
      </w:tr>
      <w:tr w:rsidR="00C93EAA" w:rsidTr="00D91A5A">
        <w:trPr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  <w:rPr>
                <w:i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Pr="00A56B83" w:rsidRDefault="00C93EAA" w:rsidP="00D91A5A">
            <w:pPr>
              <w:spacing w:line="360" w:lineRule="auto"/>
              <w:jc w:val="center"/>
            </w:pPr>
            <w:r w:rsidRPr="00A56B83">
              <w:t>范围</w:t>
            </w:r>
          </w:p>
        </w:tc>
      </w:tr>
      <w:tr w:rsidR="00C93EAA" w:rsidTr="00D91A5A">
        <w:trPr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规范性引用文件</w:t>
            </w:r>
          </w:p>
        </w:tc>
      </w:tr>
      <w:tr w:rsidR="00C93EAA" w:rsidTr="00D91A5A">
        <w:trPr>
          <w:trHeight w:val="397"/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规范性要素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规范性技术要素</w:t>
            </w:r>
          </w:p>
        </w:tc>
        <w:tc>
          <w:tcPr>
            <w:tcW w:w="384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术语和定义</w:t>
            </w:r>
          </w:p>
          <w:p w:rsidR="00C93EAA" w:rsidRDefault="00C93EAA" w:rsidP="00D91A5A">
            <w:pPr>
              <w:spacing w:line="360" w:lineRule="auto"/>
              <w:jc w:val="center"/>
            </w:pPr>
            <w:r>
              <w:t>符号、代号和缩略语</w:t>
            </w:r>
          </w:p>
          <w:p w:rsidR="00C93EAA" w:rsidRDefault="00C93EAA" w:rsidP="00D91A5A">
            <w:pPr>
              <w:spacing w:line="360" w:lineRule="auto"/>
              <w:jc w:val="center"/>
            </w:pPr>
            <w:r>
              <w:t>要求</w:t>
            </w:r>
          </w:p>
          <w:p w:rsidR="00C93EAA" w:rsidRDefault="00C93EAA" w:rsidP="00D91A5A">
            <w:pPr>
              <w:spacing w:line="360" w:lineRule="auto"/>
              <w:jc w:val="center"/>
            </w:pPr>
            <w:r>
              <w:t>… …</w:t>
            </w:r>
          </w:p>
          <w:p w:rsidR="00C93EAA" w:rsidRDefault="00C93EAA" w:rsidP="00D91A5A">
            <w:pPr>
              <w:spacing w:line="360" w:lineRule="auto"/>
              <w:jc w:val="center"/>
            </w:pPr>
            <w:r>
              <w:t>规范性附录</w:t>
            </w:r>
          </w:p>
        </w:tc>
      </w:tr>
      <w:tr w:rsidR="00C93EAA" w:rsidTr="00D91A5A">
        <w:trPr>
          <w:trHeight w:val="397"/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</w:tr>
      <w:tr w:rsidR="00C93EAA" w:rsidTr="00D91A5A">
        <w:trPr>
          <w:trHeight w:val="397"/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</w:tr>
      <w:tr w:rsidR="00C93EAA" w:rsidTr="00D91A5A">
        <w:trPr>
          <w:trHeight w:val="397"/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</w:tr>
      <w:tr w:rsidR="00C93EAA" w:rsidTr="00D91A5A">
        <w:trPr>
          <w:trHeight w:val="397"/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84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</w:tr>
      <w:tr w:rsidR="00C93EAA" w:rsidTr="00D91A5A">
        <w:trPr>
          <w:trHeight w:val="90"/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资料性要素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资料性补充要素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资料性附录</w:t>
            </w:r>
          </w:p>
        </w:tc>
      </w:tr>
      <w:tr w:rsidR="00C93EAA" w:rsidTr="00D91A5A">
        <w:trPr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规范性要素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规范性技术要素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规范性附录</w:t>
            </w:r>
          </w:p>
        </w:tc>
      </w:tr>
      <w:tr w:rsidR="00C93EAA" w:rsidTr="00D91A5A">
        <w:trPr>
          <w:jc w:val="center"/>
        </w:trPr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lastRenderedPageBreak/>
              <w:t>资料性要素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资料性补充要素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参考文献</w:t>
            </w:r>
          </w:p>
        </w:tc>
      </w:tr>
      <w:tr w:rsidR="00C93EAA" w:rsidTr="00D91A5A">
        <w:trPr>
          <w:jc w:val="center"/>
        </w:trPr>
        <w:tc>
          <w:tcPr>
            <w:tcW w:w="227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</w:p>
        </w:tc>
        <w:tc>
          <w:tcPr>
            <w:tcW w:w="384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93EAA" w:rsidRDefault="00C93EAA" w:rsidP="00D91A5A">
            <w:pPr>
              <w:spacing w:line="360" w:lineRule="auto"/>
              <w:jc w:val="center"/>
            </w:pPr>
            <w:r>
              <w:t>索引</w:t>
            </w:r>
          </w:p>
        </w:tc>
      </w:tr>
    </w:tbl>
    <w:p w:rsidR="00C93EAA" w:rsidRDefault="00C93EAA" w:rsidP="00C93EAA">
      <w:pPr>
        <w:spacing w:beforeLines="50" w:before="156" w:line="360" w:lineRule="auto"/>
        <w:ind w:firstLine="420"/>
        <w:jc w:val="left"/>
        <w:rPr>
          <w:sz w:val="24"/>
        </w:rPr>
      </w:pPr>
      <w:r>
        <w:rPr>
          <w:sz w:val="24"/>
        </w:rPr>
        <w:t>表</w:t>
      </w:r>
      <w:r>
        <w:rPr>
          <w:sz w:val="24"/>
        </w:rPr>
        <w:t>1</w:t>
      </w:r>
      <w:r>
        <w:rPr>
          <w:sz w:val="24"/>
        </w:rPr>
        <w:t>.1</w:t>
      </w:r>
      <w:r>
        <w:rPr>
          <w:sz w:val="24"/>
        </w:rPr>
        <w:t>中斜体要素是标准的必备要素，其他要素是可选要素</w:t>
      </w:r>
      <w:r>
        <w:rPr>
          <w:rFonts w:hint="eastAsia"/>
          <w:sz w:val="24"/>
        </w:rPr>
        <w:t>。将以上</w:t>
      </w:r>
      <w:r>
        <w:rPr>
          <w:sz w:val="24"/>
        </w:rPr>
        <w:t>必备</w:t>
      </w:r>
      <w:r>
        <w:rPr>
          <w:rFonts w:hint="eastAsia"/>
          <w:sz w:val="24"/>
        </w:rPr>
        <w:t>和可选要素用正则表达式表示，</w:t>
      </w:r>
      <w:r>
        <w:rPr>
          <w:sz w:val="24"/>
        </w:rPr>
        <w:t>见式（</w:t>
      </w:r>
      <w:r>
        <w:rPr>
          <w:sz w:val="24"/>
        </w:rPr>
        <w:t>1</w:t>
      </w:r>
      <w:r>
        <w:rPr>
          <w:sz w:val="24"/>
        </w:rPr>
        <w:t>.1</w:t>
      </w:r>
      <w:r>
        <w:rPr>
          <w:sz w:val="24"/>
        </w:rPr>
        <w:t>），其中</w:t>
      </w:r>
      <w:r>
        <w:rPr>
          <w:rFonts w:hint="eastAsia"/>
          <w:sz w:val="24"/>
        </w:rPr>
        <w:t>“</w:t>
      </w:r>
      <w:r>
        <w:rPr>
          <w:sz w:val="24"/>
        </w:rPr>
        <w:t>正文</w:t>
      </w:r>
      <w:r>
        <w:rPr>
          <w:rFonts w:hint="eastAsia"/>
          <w:sz w:val="24"/>
        </w:rPr>
        <w:t>”</w:t>
      </w:r>
      <w:r>
        <w:rPr>
          <w:sz w:val="24"/>
        </w:rPr>
        <w:t>是标准名称、范围、规范性引用文件、术语和定义、符号、代号和缩略语，以及要求的总称。</w:t>
      </w:r>
    </w:p>
    <w:p w:rsidR="00C93EAA" w:rsidRDefault="00C93EAA" w:rsidP="00C93EAA">
      <w:pPr>
        <w:spacing w:line="360" w:lineRule="auto"/>
        <w:ind w:firstLineChars="350" w:firstLine="840"/>
        <w:rPr>
          <w:sz w:val="24"/>
        </w:rPr>
      </w:pPr>
      <w:r w:rsidRPr="00CA7CF1">
        <w:rPr>
          <w:position w:val="-16"/>
          <w:sz w:val="24"/>
        </w:rPr>
        <w:object w:dxaOrig="73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8.75pt" o:ole="">
            <v:imagedata r:id="rId7" o:title=""/>
          </v:shape>
          <o:OLEObject Type="Embed" ProgID="Equation.3" ShapeID="_x0000_i1025" DrawAspect="Content" ObjectID="_1619616912" r:id="rId8"/>
        </w:object>
      </w: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.1</w:t>
      </w:r>
      <w:r>
        <w:rPr>
          <w:sz w:val="24"/>
        </w:rPr>
        <w:t>）</w:t>
      </w:r>
    </w:p>
    <w:p w:rsidR="00C93EAA" w:rsidRDefault="00C93EAA" w:rsidP="00C93EAA">
      <w:pPr>
        <w:numPr>
          <w:ilvl w:val="1"/>
          <w:numId w:val="1"/>
        </w:numPr>
        <w:tabs>
          <w:tab w:val="left" w:pos="845"/>
          <w:tab w:val="left" w:pos="900"/>
        </w:tabs>
        <w:spacing w:line="360" w:lineRule="auto"/>
        <w:rPr>
          <w:sz w:val="24"/>
        </w:rPr>
      </w:pPr>
      <w:r>
        <w:rPr>
          <w:sz w:val="24"/>
        </w:rPr>
        <w:t>？</w:t>
      </w:r>
      <w:r>
        <w:rPr>
          <w:sz w:val="24"/>
        </w:rPr>
        <w:t>——</w:t>
      </w:r>
      <w:r>
        <w:rPr>
          <w:rFonts w:hint="eastAsia"/>
          <w:sz w:val="24"/>
        </w:rPr>
        <w:t>表示表达式可以出现零次或一次</w:t>
      </w:r>
    </w:p>
    <w:p w:rsidR="00C93EAA" w:rsidRDefault="00C93EAA" w:rsidP="00C93EAA">
      <w:pPr>
        <w:numPr>
          <w:ilvl w:val="1"/>
          <w:numId w:val="1"/>
        </w:numPr>
        <w:tabs>
          <w:tab w:val="left" w:pos="845"/>
          <w:tab w:val="left" w:pos="900"/>
        </w:tabs>
        <w:spacing w:line="360" w:lineRule="auto"/>
        <w:rPr>
          <w:sz w:val="24"/>
        </w:rPr>
      </w:pPr>
      <w:r>
        <w:rPr>
          <w:sz w:val="24"/>
        </w:rPr>
        <w:t>* ——</w:t>
      </w:r>
      <w:r>
        <w:rPr>
          <w:rFonts w:hint="eastAsia"/>
          <w:sz w:val="24"/>
        </w:rPr>
        <w:t>表示表达式可以出现零次或多次</w:t>
      </w:r>
    </w:p>
    <w:p w:rsidR="00C93EAA" w:rsidRDefault="00C93EAA" w:rsidP="00C93EAA">
      <w:pPr>
        <w:spacing w:line="360" w:lineRule="auto"/>
        <w:ind w:firstLine="420"/>
        <w:rPr>
          <w:sz w:val="24"/>
          <w:szCs w:val="24"/>
        </w:rPr>
      </w:pPr>
      <w:r>
        <w:rPr>
          <w:sz w:val="24"/>
        </w:rPr>
        <w:t>即标准必须包含封面、前言、正文三个要素块；封面和前言之间可以包含目次；前言和正文之间可以包含引言；正文之后可以包含附录、参考文献、索引等要素，附录可以有多个。</w:t>
      </w:r>
    </w:p>
    <w:p w:rsidR="00C93EAA" w:rsidRDefault="00C93EAA" w:rsidP="00C93EAA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标准正文部分层次举例</w:t>
      </w:r>
      <w:r>
        <w:rPr>
          <w:sz w:val="24"/>
        </w:rPr>
        <w:t>如表</w:t>
      </w:r>
      <w:r>
        <w:rPr>
          <w:sz w:val="24"/>
        </w:rPr>
        <w:t>1</w:t>
      </w:r>
      <w:r>
        <w:rPr>
          <w:sz w:val="24"/>
        </w:rPr>
        <w:t>.2</w:t>
      </w:r>
      <w:r>
        <w:rPr>
          <w:sz w:val="24"/>
        </w:rPr>
        <w:t>所示。</w:t>
      </w:r>
    </w:p>
    <w:p w:rsidR="00C93EAA" w:rsidRDefault="00C93EAA" w:rsidP="00C93EAA">
      <w:pPr>
        <w:spacing w:line="360" w:lineRule="auto"/>
        <w:ind w:left="420"/>
        <w:jc w:val="center"/>
        <w:rPr>
          <w:sz w:val="24"/>
          <w:szCs w:val="24"/>
        </w:rPr>
      </w:pPr>
      <w:r>
        <w:rPr>
          <w:b/>
        </w:rPr>
        <w:t>表</w:t>
      </w:r>
      <w:r>
        <w:rPr>
          <w:b/>
        </w:rPr>
        <w:t>1</w:t>
      </w:r>
      <w:r>
        <w:rPr>
          <w:b/>
        </w:rPr>
        <w:t xml:space="preserve">.2  </w:t>
      </w:r>
      <w:r>
        <w:rPr>
          <w:b/>
        </w:rPr>
        <w:t>标准正文部分层次</w:t>
      </w:r>
      <w:r>
        <w:rPr>
          <w:rFonts w:hint="eastAsia"/>
          <w:b/>
        </w:rPr>
        <w:t>举例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1"/>
        <w:gridCol w:w="6599"/>
      </w:tblGrid>
      <w:tr w:rsidR="00C93EAA" w:rsidTr="00D91A5A">
        <w:trPr>
          <w:trHeight w:val="435"/>
          <w:jc w:val="center"/>
        </w:trPr>
        <w:tc>
          <w:tcPr>
            <w:tcW w:w="96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层次</w:t>
            </w:r>
          </w:p>
        </w:tc>
        <w:tc>
          <w:tcPr>
            <w:tcW w:w="6599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编号示例</w:t>
            </w:r>
          </w:p>
        </w:tc>
      </w:tr>
      <w:tr w:rsidR="00C93EAA" w:rsidTr="00D91A5A">
        <w:trPr>
          <w:trHeight w:val="435"/>
          <w:jc w:val="center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章</w:t>
            </w:r>
          </w:p>
        </w:tc>
        <w:tc>
          <w:tcPr>
            <w:tcW w:w="6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3</w:t>
            </w:r>
          </w:p>
        </w:tc>
      </w:tr>
      <w:tr w:rsidR="00C93EAA" w:rsidTr="00D91A5A">
        <w:trPr>
          <w:trHeight w:val="467"/>
          <w:jc w:val="center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条</w:t>
            </w:r>
          </w:p>
        </w:tc>
        <w:tc>
          <w:tcPr>
            <w:tcW w:w="6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  <w:rPr>
                <w:b/>
                <w:bCs/>
              </w:rPr>
            </w:pPr>
            <w:r>
              <w:t>3.1</w:t>
            </w:r>
          </w:p>
        </w:tc>
      </w:tr>
      <w:tr w:rsidR="00C93EAA" w:rsidTr="00D91A5A">
        <w:trPr>
          <w:trHeight w:val="435"/>
          <w:jc w:val="center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条</w:t>
            </w:r>
          </w:p>
        </w:tc>
        <w:tc>
          <w:tcPr>
            <w:tcW w:w="6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3.1.1</w:t>
            </w:r>
          </w:p>
        </w:tc>
      </w:tr>
      <w:tr w:rsidR="00C93EAA" w:rsidTr="00D91A5A">
        <w:trPr>
          <w:trHeight w:val="435"/>
          <w:jc w:val="center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段</w:t>
            </w:r>
          </w:p>
        </w:tc>
        <w:tc>
          <w:tcPr>
            <w:tcW w:w="6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[</w:t>
            </w:r>
            <w:r>
              <w:t>无编号</w:t>
            </w:r>
            <w:r>
              <w:t>]</w:t>
            </w:r>
          </w:p>
        </w:tc>
      </w:tr>
      <w:tr w:rsidR="00C93EAA" w:rsidTr="00D91A5A">
        <w:trPr>
          <w:trHeight w:val="435"/>
          <w:jc w:val="center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列项</w:t>
            </w:r>
          </w:p>
        </w:tc>
        <w:tc>
          <w:tcPr>
            <w:tcW w:w="6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列项符号：字母编号</w:t>
            </w:r>
            <w:r>
              <w:t>a)</w:t>
            </w:r>
            <w:r>
              <w:t>、</w:t>
            </w:r>
            <w:r>
              <w:t>b)</w:t>
            </w:r>
            <w:r>
              <w:t>和下一层次的数字编号</w:t>
            </w:r>
            <w:r>
              <w:t>1)</w:t>
            </w:r>
            <w:r>
              <w:t>、</w:t>
            </w:r>
            <w:r>
              <w:t>2)</w:t>
            </w:r>
          </w:p>
        </w:tc>
      </w:tr>
      <w:tr w:rsidR="00C93EAA" w:rsidTr="00D91A5A">
        <w:trPr>
          <w:trHeight w:val="435"/>
          <w:jc w:val="center"/>
        </w:trPr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附录</w:t>
            </w:r>
          </w:p>
        </w:tc>
        <w:tc>
          <w:tcPr>
            <w:tcW w:w="6599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93EAA" w:rsidRDefault="00C93EAA" w:rsidP="00D91A5A">
            <w:pPr>
              <w:jc w:val="center"/>
            </w:pPr>
            <w:r>
              <w:t>附录</w:t>
            </w:r>
            <w:r>
              <w:t>A</w:t>
            </w:r>
          </w:p>
        </w:tc>
      </w:tr>
    </w:tbl>
    <w:p w:rsidR="00C93EAA" w:rsidRDefault="00C93EAA" w:rsidP="00C93EAA">
      <w:pPr>
        <w:numPr>
          <w:ilvl w:val="0"/>
          <w:numId w:val="2"/>
        </w:numPr>
        <w:tabs>
          <w:tab w:val="left" w:pos="845"/>
        </w:tabs>
        <w:spacing w:beforeLines="50" w:before="156" w:line="360" w:lineRule="auto"/>
        <w:rPr>
          <w:sz w:val="24"/>
          <w:szCs w:val="24"/>
        </w:rPr>
      </w:pPr>
      <w:r>
        <w:rPr>
          <w:sz w:val="24"/>
        </w:rPr>
        <w:t>章</w:t>
      </w:r>
    </w:p>
    <w:p w:rsidR="00C93EAA" w:rsidRDefault="00C93EAA" w:rsidP="00C93EAA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章是标准行文规则里区分内容的基本单位。从标准正文的</w:t>
      </w:r>
      <w:r>
        <w:rPr>
          <w:rFonts w:hint="eastAsia"/>
          <w:sz w:val="24"/>
        </w:rPr>
        <w:t>“</w:t>
      </w:r>
      <w:r>
        <w:rPr>
          <w:sz w:val="24"/>
          <w:szCs w:val="24"/>
        </w:rPr>
        <w:t>范围</w:t>
      </w:r>
      <w:r>
        <w:rPr>
          <w:rFonts w:hint="eastAsia"/>
          <w:sz w:val="24"/>
        </w:rPr>
        <w:t>”</w:t>
      </w:r>
      <w:r>
        <w:rPr>
          <w:sz w:val="24"/>
          <w:szCs w:val="24"/>
        </w:rPr>
        <w:t>部分开始对章进行编号，而且在此处必须要用阿拉伯数字来进行编号和排序，从数字</w:t>
      </w:r>
      <w:r>
        <w:rPr>
          <w:sz w:val="24"/>
          <w:szCs w:val="24"/>
        </w:rPr>
        <w:t>1</w:t>
      </w:r>
      <w:r>
        <w:rPr>
          <w:sz w:val="24"/>
          <w:szCs w:val="24"/>
        </w:rPr>
        <w:t>开始，依次编号至正文部分结束，也就是在附录之前。阿拉伯数字编号之后需紧跟章标题。</w:t>
      </w:r>
    </w:p>
    <w:p w:rsidR="00C93EAA" w:rsidRDefault="00C93EAA" w:rsidP="00C93EAA">
      <w:pPr>
        <w:numPr>
          <w:ilvl w:val="0"/>
          <w:numId w:val="2"/>
        </w:numPr>
        <w:tabs>
          <w:tab w:val="left" w:pos="84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条</w:t>
      </w:r>
    </w:p>
    <w:p w:rsidR="00C93EAA" w:rsidRDefault="00C93EAA" w:rsidP="00C93EAA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条是章的下一级划分单位。也同章一样需使用阿拉伯数字来进行编号，章与层次间的编号用</w:t>
      </w:r>
      <w:r>
        <w:rPr>
          <w:rFonts w:hint="eastAsia"/>
          <w:sz w:val="24"/>
        </w:rPr>
        <w:t>“</w:t>
      </w:r>
      <w:r>
        <w:rPr>
          <w:sz w:val="24"/>
          <w:szCs w:val="24"/>
        </w:rPr>
        <w:t>.</w:t>
      </w:r>
      <w:r>
        <w:rPr>
          <w:rFonts w:hint="eastAsia"/>
          <w:sz w:val="24"/>
        </w:rPr>
        <w:t>”</w:t>
      </w:r>
      <w:r>
        <w:rPr>
          <w:sz w:val="24"/>
          <w:szCs w:val="24"/>
        </w:rPr>
        <w:t>来连接，如第</w:t>
      </w:r>
      <w:r>
        <w:rPr>
          <w:sz w:val="24"/>
          <w:szCs w:val="24"/>
        </w:rPr>
        <w:t>2</w:t>
      </w:r>
      <w:r>
        <w:rPr>
          <w:sz w:val="24"/>
          <w:szCs w:val="24"/>
        </w:rPr>
        <w:t>章划分为两个层次后，这两层的编号为</w:t>
      </w:r>
      <w:r>
        <w:rPr>
          <w:sz w:val="24"/>
          <w:szCs w:val="24"/>
        </w:rPr>
        <w:t>2.1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2.2</w:t>
      </w:r>
      <w:r>
        <w:rPr>
          <w:sz w:val="24"/>
          <w:szCs w:val="24"/>
        </w:rPr>
        <w:t>。类似的，</w:t>
      </w:r>
      <w:r>
        <w:rPr>
          <w:sz w:val="24"/>
          <w:szCs w:val="24"/>
        </w:rPr>
        <w:t>2.1</w:t>
      </w:r>
      <w:r>
        <w:rPr>
          <w:sz w:val="24"/>
          <w:szCs w:val="24"/>
        </w:rPr>
        <w:t>层划分的子层用</w:t>
      </w:r>
      <w:r>
        <w:rPr>
          <w:sz w:val="24"/>
          <w:szCs w:val="24"/>
        </w:rPr>
        <w:t>2.1.1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2.1.2</w:t>
      </w:r>
      <w:r>
        <w:rPr>
          <w:sz w:val="24"/>
          <w:szCs w:val="24"/>
        </w:rPr>
        <w:t>等来进行编号。</w:t>
      </w:r>
    </w:p>
    <w:p w:rsidR="00C93EAA" w:rsidRDefault="00C93EAA" w:rsidP="00C93EAA">
      <w:pPr>
        <w:numPr>
          <w:ilvl w:val="0"/>
          <w:numId w:val="2"/>
        </w:numPr>
        <w:tabs>
          <w:tab w:val="left" w:pos="84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段</w:t>
      </w:r>
    </w:p>
    <w:p w:rsidR="00C93EAA" w:rsidRDefault="00C93EAA" w:rsidP="00C93EAA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段是章或条的下一级划分单位，段是不能编号的。</w:t>
      </w:r>
    </w:p>
    <w:p w:rsidR="00C93EAA" w:rsidRDefault="00C93EAA" w:rsidP="00C93EAA">
      <w:pPr>
        <w:numPr>
          <w:ilvl w:val="0"/>
          <w:numId w:val="2"/>
        </w:numPr>
        <w:tabs>
          <w:tab w:val="left" w:pos="84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列项</w:t>
      </w:r>
    </w:p>
    <w:p w:rsidR="00C93EAA" w:rsidRDefault="00C93EAA" w:rsidP="00C93EAA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列项是一段文字后跟着的冒号引出。列项前的符号有两种，破折号或者圆点，但需通篇统一，不可参杂乱用。如有列项区分的需求，则应使用字母在列项文字前进行区别。</w:t>
      </w:r>
    </w:p>
    <w:p w:rsidR="00C93EAA" w:rsidRDefault="00C93EAA" w:rsidP="00C93EA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结合以上对正文部分的介绍，正文部分可形成的树形结构</w:t>
      </w:r>
      <w:r>
        <w:rPr>
          <w:sz w:val="24"/>
        </w:rPr>
        <w:t>如图</w:t>
      </w:r>
      <w:r>
        <w:rPr>
          <w:sz w:val="24"/>
        </w:rPr>
        <w:t>1</w:t>
      </w:r>
      <w:r>
        <w:rPr>
          <w:sz w:val="24"/>
        </w:rPr>
        <w:t>.1</w:t>
      </w:r>
      <w:r>
        <w:rPr>
          <w:sz w:val="24"/>
        </w:rPr>
        <w:t>所示。</w:t>
      </w:r>
    </w:p>
    <w:p w:rsidR="00C93EAA" w:rsidRDefault="00C93EAA" w:rsidP="00C93EA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C7B062" wp14:editId="72C68CEB">
            <wp:extent cx="5734050" cy="3114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93EAA" w:rsidRDefault="00C93EAA" w:rsidP="00C93EAA">
      <w:pPr>
        <w:spacing w:line="360" w:lineRule="auto"/>
        <w:jc w:val="center"/>
        <w:rPr>
          <w:b/>
          <w:sz w:val="24"/>
          <w:szCs w:val="24"/>
        </w:rPr>
      </w:pPr>
      <w:r>
        <w:rPr>
          <w:b/>
        </w:rPr>
        <w:t>图</w:t>
      </w:r>
      <w:r>
        <w:rPr>
          <w:b/>
        </w:rPr>
        <w:t>1</w:t>
      </w:r>
      <w:bookmarkStart w:id="0" w:name="_GoBack"/>
      <w:bookmarkEnd w:id="0"/>
      <w:r>
        <w:rPr>
          <w:b/>
        </w:rPr>
        <w:t xml:space="preserve">.1  </w:t>
      </w:r>
      <w:r>
        <w:rPr>
          <w:b/>
        </w:rPr>
        <w:t>正文部分的树形结构示意图</w:t>
      </w:r>
    </w:p>
    <w:p w:rsidR="008152A2" w:rsidRPr="00C93EAA" w:rsidRDefault="008152A2"/>
    <w:sectPr w:rsidR="008152A2" w:rsidRPr="00C9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5E9" w:rsidRDefault="008B55E9" w:rsidP="00C93EAA">
      <w:r>
        <w:separator/>
      </w:r>
    </w:p>
  </w:endnote>
  <w:endnote w:type="continuationSeparator" w:id="0">
    <w:p w:rsidR="008B55E9" w:rsidRDefault="008B55E9" w:rsidP="00C9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5E9" w:rsidRDefault="008B55E9" w:rsidP="00C93EAA">
      <w:r>
        <w:separator/>
      </w:r>
    </w:p>
  </w:footnote>
  <w:footnote w:type="continuationSeparator" w:id="0">
    <w:p w:rsidR="008B55E9" w:rsidRDefault="008B55E9" w:rsidP="00C93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F1984"/>
    <w:multiLevelType w:val="multilevel"/>
    <w:tmpl w:val="0E9F1984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D870B5"/>
    <w:multiLevelType w:val="multilevel"/>
    <w:tmpl w:val="77D870B5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2">
      <w:start w:val="1"/>
      <w:numFmt w:val="decimal"/>
      <w:lvlText w:val="(%3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A6"/>
    <w:rsid w:val="003022EC"/>
    <w:rsid w:val="00385A54"/>
    <w:rsid w:val="008152A2"/>
    <w:rsid w:val="008B55E9"/>
    <w:rsid w:val="00BF05A6"/>
    <w:rsid w:val="00C11A61"/>
    <w:rsid w:val="00C93EAA"/>
    <w:rsid w:val="00D0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2BD8A-B0D0-4E5C-B9D3-E90FE7E3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E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E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E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E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E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we</dc:creator>
  <cp:keywords/>
  <dc:description/>
  <cp:lastModifiedBy>fan we</cp:lastModifiedBy>
  <cp:revision>2</cp:revision>
  <dcterms:created xsi:type="dcterms:W3CDTF">2019-05-17T08:45:00Z</dcterms:created>
  <dcterms:modified xsi:type="dcterms:W3CDTF">2019-05-17T08:47:00Z</dcterms:modified>
</cp:coreProperties>
</file>