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600" w:right="600" w:firstLine="0"/>
        <w:rPr>
          <w:rFonts w:ascii="Times New Roman" w:cs="Times New Roman" w:eastAsia="Times New Roman" w:hAnsi="Times New Roman"/>
          <w:color w:val="242424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424"/>
          <w:sz w:val="24"/>
          <w:szCs w:val="24"/>
          <w:highlight w:val="white"/>
          <w:rtl w:val="0"/>
        </w:rPr>
        <w:t xml:space="preserve">These rates are 15% commissionable</w:t>
      </w:r>
      <w:r w:rsidDel="00000000" w:rsidR="00000000" w:rsidRPr="00000000">
        <w:rPr>
          <w:rFonts w:ascii="Times New Roman" w:cs="Times New Roman" w:eastAsia="Times New Roman" w:hAnsi="Times New Roman"/>
          <w:color w:val="242424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02">
      <w:pPr>
        <w:ind w:left="600" w:right="600" w:firstLine="0"/>
        <w:rPr>
          <w:rFonts w:ascii="Times New Roman" w:cs="Times New Roman" w:eastAsia="Times New Roman" w:hAnsi="Times New Roman"/>
          <w:color w:val="242424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424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