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Guests requesting a private (non-sharing) room at Enashipai Resort will incur a </w:t>
      </w:r>
      <w:r w:rsidDel="00000000" w:rsidR="00000000" w:rsidRPr="00000000">
        <w:rPr>
          <w:i w:val="1"/>
          <w:iCs w:val="1"/>
          <w:rtl w:val="0"/>
        </w:rPr>
        <w:t xml:space="preserve">single supplement</w:t>
      </w:r>
      <w:r w:rsidDel="00000000" w:rsidR="00000000" w:rsidRPr="00000000">
        <w:rPr>
          <w:rtl w:val="0"/>
        </w:rPr>
        <w:t xml:space="preserve"> based on the </w:t>
      </w:r>
      <w:r w:rsidDel="00000000" w:rsidR="00000000" w:rsidRPr="00000000">
        <w:rPr>
          <w:b w:val="1"/>
          <w:bCs w:val="1"/>
          <w:rtl w:val="0"/>
        </w:rPr>
        <w:t xml:space="preserve">Fountain Room</w:t>
      </w:r>
      <w:r w:rsidDel="00000000" w:rsidR="00000000" w:rsidRPr="00000000">
        <w:rPr>
          <w:rtl w:val="0"/>
        </w:rPr>
        <w:t xml:space="preserve"> rate. This applies to clients who prefer not to share a cottage.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