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>
  <w:body>
    <w:p ns1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ns1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ns1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ns1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ns1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ns1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ns1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ns1:paraId="00000008">
      <w:pPr>
        <w:spacing w:after="0" w:before="0" w:line="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ns1:paraId="00000009">
      <w:pPr>
        <w:pStyle w:val="Title"/>
        <w:spacing w:line="240" w:lineRule="auto"/>
        <w:rPr>
          <w:rFonts w:ascii="Helvetica Neue Light" w:cs="Helvetica Neue Light" w:eastAsia="Helvetica Neue Light" w:hAnsi="Helvetica Neue Light"/>
          <w:b w:val="0"/>
          <w:bCs w:val="0"/>
          <w:color w:val="5b7085"/>
          <w:sz w:val="72"/>
          <w:szCs w:val="72"/>
        </w:rPr>
      </w:pPr>
      <w:r>
        <w:t>InsurMinds</w:t>
      </w:r>
    </w:p>
    <w:p ns1:paraId="0000000A">
      <w:pPr>
        <w:pStyle w:val="Title"/>
        <w:spacing w:line="240" w:lineRule="auto"/>
        <w:rPr>
          <w:rFonts w:ascii="Helvetica Neue" w:cs="Helvetica Neue" w:eastAsia="Helvetica Neue" w:hAnsi="Helvetica Neue"/>
          <w:sz w:val="72"/>
          <w:szCs w:val="72"/>
        </w:rPr>
      </w:pPr>
      <w:r>
        <w:t>Plataforma de análise e comparação de apólices D&amp;O</w:t>
      </w:r>
    </w:p>
    <w:p ns1:paraId="0000000B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0C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0D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0E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0F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10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11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12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13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14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1"/>
        <w:tblW w:w="10400.0" w:type="dxa"/>
        <w:jc w:val="center"/>
        <w:tblLayout w:type="fixed"/>
        <w:tblLook w:val="0600"/>
      </w:tblPr>
      <w:tblGrid>
        <w:gridCol w:w="3200"/>
        <w:gridCol w:w="400"/>
        <w:gridCol w:w="3200"/>
        <w:gridCol w:w="400"/>
        <w:gridCol w:w="3200"/>
        <w:tblGridChange w:id="0">
          <w:tblGrid>
            <w:gridCol w:w="3200"/>
            <w:gridCol w:w="400"/>
            <w:gridCol w:w="3200"/>
            <w:gridCol w:w="400"/>
            <w:gridCol w:w="3200"/>
          </w:tblGrid>
        </w:tblGridChange>
      </w:tblGrid>
      <w:tr>
        <w:trPr>
          <w:cantSplit w:val="0"/>
          <w:tblHeader w:val="0"/>
        </w:trPr>
        <w:tc>
          <w:tcPr/>
          <w:p>
            <w:r>
              <w:t>STATUS · MVP local validado</w:t>
              <w:br/>
              <w:t/>
            </w:r>
          </w:p>
        </w:tc>
        <w:tc>
          <w:tcPr/>
          <w:p>
            <w:r/>
          </w:p>
        </w:tc>
        <w:tc>
          <w:tcPr/>
          <w:p>
            <w:r>
              <w:t>OWNER</w:t>
              <w:br/>
              <w:t>InsurMinds</w:t>
            </w:r>
          </w:p>
        </w:tc>
        <w:tc>
          <w:tcPr/>
          <w:p>
            <w:r/>
          </w:p>
        </w:tc>
        <w:tc>
          <w:tcPr/>
          <w:p>
            <w:r>
              <w:t>LAST UPDATED · 05/10/2026</w:t>
              <w:br/>
              <w:t/>
            </w:r>
          </w:p>
        </w:tc>
      </w:tr>
    </w:tbl>
    <w:p ns1:paraId="0000001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2"/>
        <w:tblW w:w="10155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815"/>
        <w:gridCol w:w="8340"/>
        <w:tblGridChange w:id="0">
          <w:tblGrid>
            <w:gridCol w:w="1815"/>
            <w:gridCol w:w="8340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Authors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</w:tr>
      <w:tr>
        <w:trPr>
          <w:cantSplit w:val="1"/>
          <w:trHeight w:val="404.3103027343749" w:hRule="atLeast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Reviewers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Revisão especializada de precisão pendente</w:t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Related docs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README.md e docs/ARQUITETURA.md</w:t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Scope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MVP local para extração e comparação assistida de apólices D&amp;O</w:t>
            </w:r>
          </w:p>
        </w:tc>
      </w:tr>
    </w:tbl>
    <w:p ns1:paraId="00000026"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t>1. Abstract</w:t>
      </w:r>
    </w:p>
    <w:p ns1:paraId="0000002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O InsurMinds é um MVP local que recebe apólices D&amp;O em PDF ou imagem, extrai texto e evidências com o Google Gemini, estrutura 16 campos relevantes e permite comparar duas ou mais apólices. A arquitetura separa recepção, leitura documental, extração multimodal, validação, persistência, consulta e comparação determinística.</w:t>
      </w:r>
    </w:p>
    <w:p ns1:paraId="00000028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Limites: 20 MB, 300 páginas e 2 milhões de caracteres. O processamento usa blocos de até 60 mil caracteres, 20 páginas e 4 imagens. Evidências textuais são verificadas localmente; interpretações e leituras visuais exigem revisão humana.</w:t>
      </w:r>
    </w:p>
    <w:p ns1:paraId="00000029">
      <w:pPr>
        <w:spacing w:after="0" w:line="120" w:lineRule="auto"/>
        <w:jc w:val="both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2A">
      <w:pPr>
        <w:pStyle w:val="Heading1"/>
        <w:rPr>
          <w:rFonts w:ascii="Helvetica Neue" w:cs="Helvetica Neue" w:eastAsia="Helvetica Neue" w:hAnsi="Helvetica Neue"/>
        </w:rPr>
      </w:pPr>
      <w:r>
        <w:t>2. Goals and Non-Goals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Goals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Non-goals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Extrair campos e evidências de PDF e imagem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Análise jurídica definitiva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Comparar pelo menos duas apólices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Cobrir todos os tipos de seguro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Preservar página e trecho de origem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Integração com seguradoras reais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Permitir demonstração reproduzível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Alta disponibilidade e multiusuário</w:t>
            </w:r>
          </w:p>
        </w:tc>
      </w:tr>
    </w:tbl>
    <w:p ns1:paraId="00000035">
      <w:pPr>
        <w:pStyle w:val="Heading1"/>
        <w:spacing w:before="0" w:line="216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ns1:paraId="00000036">
      <w:pPr>
        <w:pStyle w:val="Heading1"/>
        <w:rPr>
          <w:rFonts w:ascii="Helvetica Neue" w:cs="Helvetica Neue" w:eastAsia="Helvetica Neue" w:hAnsi="Helvetica Neue"/>
        </w:rPr>
      </w:pPr>
      <w:r>
        <w:t>3. Background and Problem Statement</w:t>
      </w:r>
    </w:p>
    <w:p ns1:paraId="0000003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Apólices D&amp;O são extensas, heterogêneas e redigidas em linguagem jurídica. Comparar limites, franquias, coberturas e exclusões exige rastrear cada condição até sua página de origem.</w:t>
      </w:r>
    </w:p>
    <w:p ns1:paraId="00000038">
      <w:pPr>
        <w:spacing w:after="110" w:line="300" w:lineRule="auto"/>
        <w:jc w:val="both"/>
        <w:rPr>
          <w:rFonts w:ascii="Helvetica Neue" w:cs="Helvetica Neue" w:eastAsia="Helvetica Neue" w:hAnsi="Helvetica Neue"/>
          <w:color w:val="000000"/>
        </w:rPr>
      </w:pPr>
      <w:r>
        <w:t>O sistema delimita o problema à análise assistida de documentos fornecidos pelo usuário. A IA interpreta o conteúdo, mas a aplicação mantém a fonte, a página e o trecho citado como evidência. A comparação é determinística para evitar conclusões inventadas.</w:t>
      </w:r>
    </w:p>
    <w:p ns1:paraId="00000039">
      <w:pPr>
        <w:pStyle w:val="Heading1"/>
        <w:rPr>
          <w:rFonts w:ascii="Helvetica Neue" w:cs="Helvetica Neue" w:eastAsia="Helvetica Neue" w:hAnsi="Helvetica Neue"/>
        </w:rPr>
        <w:keepNext/>
      </w:pPr>
      <w:r>
        <w:t>4. Proposed Architecture</w:t>
      </w:r>
    </w:p>
    <w:p ns1:paraId="0000003A">
      <w:pPr>
        <w:spacing w:after="0" w:line="144" w:lineRule="auto"/>
        <w:rPr>
          <w:rFonts w:ascii="Helvetica Neue" w:cs="Helvetica Neue" w:eastAsia="Helvetica Neue" w:hAnsi="Helvetica Neue"/>
        </w:rPr>
        <w:keepNext/>
      </w:pPr>
      <w:r>
        <w:rPr>
          <w:rtl w:val="0"/>
        </w:rPr>
      </w:r>
    </w:p>
    <w:p ns1:paraId="0000003B">
      <w:pPr>
        <w:rPr>
          <w:rFonts w:ascii="Helvetica Neue" w:cs="Helvetica Neue" w:eastAsia="Helvetica Neue" w:hAnsi="Helvetica Neue"/>
        </w:rPr>
        <w:keepNext/>
      </w:pPr>
      <w:r>
        <w:rPr>
          <w:rFonts w:ascii="Helvetica Neue" w:cs="Helvetica Neue" w:eastAsia="Helvetica Neue" w:hAnsi="Helvetica Neue"/>
        </w:rPr>
        <w:drawing>
          <ns2:inline distB="0" distT="0" distL="0" distR="0">
            <ns2:extent cx="6126480" cy="3139821"/>
            <ns2:effectExtent b="0" l="0" r="0" t="0"/>
            <ns2:docPr id="1" name="image1.png"/>
            <ns3:graphic>
              <ns3:graphicData uri="http://schemas.openxmlformats.org/drawingml/2006/picture">
                <ns4:pic>
                  <ns4:nvPicPr>
                    <ns4:cNvPr id="0" name="image1.png"/>
                    <ns4:cNvPicPr preferRelativeResize="0"/>
                  </ns4:nvPicPr>
                  <ns4:blipFill>
                    <ns3:blip ns5:embed="rId8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6126480" cy="3139821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>
        <w:rPr>
          <w:rtl w:val="0"/>
        </w:rPr>
      </w:r>
    </w:p>
    <w:p ns1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t>Figura 1. Arquitetura do InsurMinds.</w:t>
      </w:r>
    </w:p>
    <w:p ns1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rPr>
          <w:rtl w:val="0"/>
        </w:rPr>
      </w:r>
    </w:p>
    <w:p ns1:paraId="0000003E">
      <w:pPr>
        <w:pStyle w:val="Heading3"/>
        <w:spacing w:after="90" w:line="280" w:lineRule="auto"/>
        <w:rPr/>
      </w:pPr>
      <w:r>
        <w:t>Core components</w:t>
      </w:r>
    </w:p>
    <w:p ns1:paraId="0000003F">
      <w:pPr>
        <w:spacing w:after="0" w:before="20" w:line="240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tbl>
      <w:tblPr>
        <w:tblStyle w:val="Table4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268"/>
        <w:gridCol w:w="3164"/>
        <w:gridCol w:w="2374"/>
        <w:gridCol w:w="2634"/>
        <w:tblGridChange w:id="0">
          <w:tblGrid>
            <w:gridCol w:w="2268"/>
            <w:gridCol w:w="3164"/>
            <w:gridCol w:w="2374"/>
            <w:gridCol w:w="263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Component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Responsibility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Primary storage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Failure behavior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Interface React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Upload, consulta, evidência, comparação e exportação.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Estado da sessão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Exibe erro acionável.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API Starlette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Valida entradas e coordena o pipeline.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SQLite e arquivos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Retorna erro e permite retry.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Leitor documental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Extrai texto e imagens por página.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Arquivo original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Rejeita entrada inválida.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Agente Gemini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Extrai JSON por bloco; retoma checkpoints.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Checkpoints locais / API Gemini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Falha fechada, sem inventar fatos.</w:t>
            </w:r>
          </w:p>
        </w:tc>
      </w:tr>
      <w:tr>
        <w:trPr>
          <w:cantSplit w:val="1"/>
          <w:trHeight w:val="58" w:hRule="atLeast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Validador e comparação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Confere quotes e calcula diferenças.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Fatos persistidos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Descarta evidência inválida.</w:t>
            </w:r>
          </w:p>
        </w:tc>
      </w:tr>
    </w:tbl>
    <w:p ns1:paraId="00000058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ns1:paraId="00000059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ns1:paraId="0000005A">
      <w:pPr>
        <w:pStyle w:val="Heading1"/>
        <w:rPr>
          <w:rFonts w:ascii="Helvetica Neue" w:cs="Helvetica Neue" w:eastAsia="Helvetica Neue" w:hAnsi="Helvetica Neue"/>
        </w:rPr>
        <w:keepNext/>
      </w:pPr>
      <w:r>
        <w:t>5. Request Lifecycle</w:t>
      </w:r>
    </w:p>
    <w:p ns1:paraId="0000005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O usuário envia um PDF, PNG, JPG ou WebP pela interface React. A API Starlette valida o tipo, limita tamanho e páginas, salva o arquivo e cria o registro de análise.</w:t>
      </w:r>
    </w:p>
    <w:p ns1:paraId="0000005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 recepção valida conteúdo, tamanho, PDF criptografado e limites. A aplicação deve operar em loopback, sem autenticação ou isolamento multiusuário.</w:t>
      </w:r>
    </w:p>
    <w:p ns1:paraId="0000005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O leitor documental converte páginas em texto quando possível e renderiza imagens para páginas escaneadas. O pipeline monta uma entrada multimodal com o número de cada página e seus dados visuais.</w:t>
      </w:r>
    </w:p>
    <w:p ns1:paraId="0000005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Cada bloco é enviado ao Gemini 3.8 Flash. Pydantic valida a estrutura e o verificador confere as citações nas páginas originais. A consolidação preserva múltiplas evidências e valores divergentes em variants, com needs_review.</w:t>
      </w:r>
    </w:p>
    <w:p ns1:paraId="0000005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O estado da análise e seus fatos são gravados no SQLite antes de a interface exibir o resultado. O arquivo original permanece em data/ para permitir auditoria e abertura da evidência.</w:t>
      </w:r>
    </w:p>
    <w:p ns1:paraId="0000006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Timeout de 90 segundos, até três tentativas por modelo, espera exponencial e intervalo mínimo de 15 segundos. Fallback para Gemini 3.7 em indisponibilidade, sem contornar cotas. Checkpoints atômicos permitem retomar blocos concluídos.</w:t>
      </w:r>
    </w:p>
    <w:p ns1:paraId="0000006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Ao concluir, a API retorna fatos, alertas e páginas de evidência. A interface permite consulta contextual, comparação, abertura do trecho de origem e exportação em PDF ou JSON.</w:t>
      </w:r>
    </w:p>
    <w:p ns1:paraId="00000062">
      <w:pPr>
        <w:pStyle w:val="Heading1"/>
        <w:spacing w:before="0" w:line="168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ns1:paraId="00000063">
      <w:pPr>
        <w:pStyle w:val="Heading1"/>
        <w:rPr>
          <w:rFonts w:ascii="Helvetica Neue" w:cs="Helvetica Neue" w:eastAsia="Helvetica Neue" w:hAnsi="Helvetica Neue"/>
        </w:rPr>
      </w:pPr>
      <w:r>
        <w:t>6. API and Data Contracts</w:t>
      </w:r>
    </w:p>
    <w:p ns1:paraId="00000064">
      <w:pPr>
        <w:pStyle w:val="Heading3"/>
        <w:spacing w:after="90" w:line="280" w:lineRule="auto"/>
        <w:rPr/>
      </w:pPr>
      <w:r>
        <w:t>Primary data contract</w:t>
      </w:r>
    </w:p>
    <w:p ns1:paraId="00000065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Field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Type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Required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Description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policy_id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UUID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Identificador da análise.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document_type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enum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do_policy, uncertain ou other.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facts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array[Fact]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Catálogo de 16 campos D&amp;O.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value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string|null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Valor extraído.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quote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string|null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Primeira citação; evidence contém todas as referências.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page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integer|null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Página original da primeira referência.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evidence_status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enum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verified, visual_review ou missing.</w:t>
            </w:r>
          </w:p>
        </w:tc>
      </w:tr>
    </w:tbl>
    <w:p ns1:paraId="00000086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p ns1:paraId="00000087">
      <w:pPr>
        <w:pStyle w:val="Heading3"/>
        <w:spacing w:after="90" w:line="280" w:lineRule="auto"/>
        <w:rPr/>
        <w:keepNext/>
      </w:pPr>
      <w:r>
        <w:t>Contract guarantees</w:t>
      </w:r>
    </w:p>
    <w:p ns1:paraId="00000088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  <w:keepNext/>
      </w:pPr>
      <w:r>
        <w:rPr>
          <w:rtl w:val="0"/>
        </w:rPr>
      </w:r>
    </w:p>
    <w:p ns1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Nenhum fato com valor é exibido como verificado sem quote, page e correspondência local na página. Evidências exclusivamente visuais recebem visual_review e exigem conferência humana.</w:t>
      </w:r>
    </w:p>
    <w:p ns1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Estados: queued, reading, extracting, ready e error. Comparações preservam uma fotografia dos fatos e usam um catálogo estável de 16 campos.</w:t>
      </w:r>
    </w:p>
    <w:p ns1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O registro guarda modelo configurado, models_used, progresso completed_chunks/total_chunks/cached_chunks, páginas, fatos, variants, needs_review e avisos.</w:t>
      </w:r>
    </w:p>
    <w:p ns1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O JSON estruturado é a fonte da aplicação para a demonstração, não uma interpretação jurídica definitiva nem prova de cobertura contratada.</w:t>
      </w:r>
    </w:p>
    <w:p ns1:paraId="0000008D">
      <w:pPr>
        <w:spacing w:after="110" w:line="300" w:lineRule="auto"/>
        <w:rPr>
          <w:rFonts w:ascii="Helvetica Neue" w:cs="Helvetica Neue" w:eastAsia="Helvetica Neue" w:hAnsi="Helvetica Neue"/>
        </w:rPr>
      </w:pPr>
      <w:r>
        <w:t>A definição versionada do contrato é publicada em</w:t>
      </w:r>
    </w:p>
    <w:p ns1:paraId="0000008E">
      <w:pPr>
        <w:spacing w:after="110" w:line="300" w:lineRule="auto"/>
        <w:rPr>
          <w:rFonts w:ascii="Helvetica Neue" w:cs="Helvetica Neue" w:eastAsia="Helvetica Neue" w:hAnsi="Helvetica Neue"/>
        </w:rPr>
      </w:pPr>
      <w:r>
        <w:t>backend/models.py e na documentação do repositório.</w:t>
      </w:r>
    </w:p>
    <w:p ns1:paraId="0000008F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ns1:paraId="00000090">
      <w:pPr>
        <w:pStyle w:val="Heading1"/>
        <w:rPr>
          <w:rFonts w:ascii="Helvetica Neue" w:cs="Helvetica Neue" w:eastAsia="Helvetica Neue" w:hAnsi="Helvetica Neue"/>
        </w:rPr>
      </w:pPr>
      <w:r>
        <w:t>7. Consistency, Idempotency, and Replay</w:t>
      </w:r>
    </w:p>
    <w:p ns1:paraId="00000091">
      <w:pPr>
        <w:spacing w:after="0" w:line="96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92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Exemplos são idempotentes por IDs fixos. Uploads recebem UUID; blocos já concluídos podem ser reutilizados por hash de conteúdo, prompt, schema e modelos. A comparação é determinística e não considera a numeração da página ao comparar valores.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Scenario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Expected behavior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Reasoning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Documento reenviado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Novo UUID; reutiliza checkpoints compatíveis.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Evita misturar evidências.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Gemini indisponível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Retries, fallback e retomada; error se esgotados.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Preserva custo e observabilidade.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Quote não encontrado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Valor descartado ou visual_review.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Evita dado sem suporte.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Modelo alterado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Registra models_used e invalida checkpoints incompatíveis.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Permite reproduzir contexto.</w:t>
            </w:r>
          </w:p>
        </w:tc>
      </w:tr>
    </w:tbl>
    <w:p ns1:paraId="000000A2">
      <w:pPr>
        <w:pStyle w:val="Heading1"/>
        <w:spacing w:before="0" w:line="269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ns1:paraId="000000A3">
      <w:pPr>
        <w:pStyle w:val="Heading1"/>
        <w:rPr>
          <w:rFonts w:ascii="Helvetica Neue" w:cs="Helvetica Neue" w:eastAsia="Helvetica Neue" w:hAnsi="Helvetica Neue"/>
        </w:rPr>
      </w:pPr>
      <w:r>
        <w:t>8. Security and Privacy Considerations</w:t>
      </w:r>
    </w:p>
    <w:p ns1:paraId="000000A4">
      <w:pPr>
        <w:spacing w:after="0" w:line="96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A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 versão acadêmica não implementa autenticação, autorização ou tenancy. Uma implantação pública deve adicionar identidade e segregação por usuário.</w:t>
      </w:r>
    </w:p>
    <w:p ns1:paraId="000000A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Documentos podem conter dados pessoais e informações corporativas sensíveis. O MVP evita registrar conteúdo integral em logs e mantém arquivos no diretório data/.</w:t>
      </w:r>
    </w:p>
    <w:p ns1:paraId="000000A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GEMINI_API_KEY permanece no servidor. GEMINI_MODEL define o modelo principal e GEMINI_FALLBACK_MODELS define as alternativas. O ZIP e o Git excluem .env, data e documentos privados.</w:t>
      </w:r>
    </w:p>
    <w:p ns1:paraId="000000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Endpoints de reprocessamento, exportação e carga de exemplos devem permanecer protegidos em qualquer exposição pública. Limites de páginas, caracteres e MIME são defaults de segurança e custo.</w:t>
      </w:r>
    </w:p>
    <w:p ns1:paraId="000000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 retenção atual é local e indefinida até exclusão manual. Uma evolução deve definir prazo, exclusão segura, criptografia, residência e auditoria.</w:t>
      </w:r>
    </w:p>
    <w:p ns1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ns1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ns1:paraId="000000AC">
      <w:pPr>
        <w:pStyle w:val="Heading1"/>
        <w:rPr>
          <w:rFonts w:ascii="Helvetica Neue" w:cs="Helvetica Neue" w:eastAsia="Helvetica Neue" w:hAnsi="Helvetica Neue"/>
        </w:rPr>
      </w:pPr>
      <w:r>
        <w:t>9. Operational Readiness</w:t>
      </w:r>
    </w:p>
    <w:tbl>
      <w:tblPr>
        <w:tblStyle w:val="Table7"/>
        <w:tblW w:w="1044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2268"/>
        <w:gridCol w:w="3521"/>
        <w:gridCol w:w="2306"/>
        <w:gridCol w:w="2345"/>
        <w:tblGridChange w:id="0">
          <w:tblGrid>
            <w:gridCol w:w="2268"/>
            <w:gridCol w:w="3521"/>
            <w:gridCol w:w="2306"/>
            <w:gridCol w:w="234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Signal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SLO or alert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Owner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Launch gate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Análises concluídas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Acompanhar taxa de sucesso.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Required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Tempo de processamento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Medir p95 por documento.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Recommended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Falhas e retries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Alertar erros do provedor.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Required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Configuração e segredo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Verificar ausência de chave em commits.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Required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Integridade de evidências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Executar suíte a cada alteração.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Required</w:t>
            </w:r>
          </w:p>
        </w:tc>
      </w:tr>
      <w:tr>
        <w:trPr>
          <w:cantSplit w:val="1"/>
          <w:tblHeader w:val="0"/>
        </w:trPr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/>
          </w:p>
        </w:tc>
      </w:tr>
    </w:tbl>
    <w:p ns1:paraId="000000C9">
      <w:pPr>
        <w:pStyle w:val="Heading1"/>
        <w:spacing w:before="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ns1:paraId="000000CA">
      <w:pPr>
        <w:pStyle w:val="Heading1"/>
        <w:rPr>
          <w:rFonts w:ascii="Helvetica Neue" w:cs="Helvetica Neue" w:eastAsia="Helvetica Neue" w:hAnsi="Helvetica Neue"/>
        </w:rPr>
      </w:pPr>
      <w:r>
        <w:t>10. Alternatives Considered</w:t>
      </w:r>
    </w:p>
    <w:p ns1:paraId="000000CB">
      <w:pPr>
        <w:spacing w:after="0" w:line="14.399999999999999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ns1:paraId="000000CC">
      <w:pPr>
        <w:spacing w:after="0" w:line="192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8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03"/>
        <w:gridCol w:w="3313"/>
        <w:gridCol w:w="3824"/>
        <w:tblGridChange w:id="0">
          <w:tblGrid>
            <w:gridCol w:w="3303"/>
            <w:gridCol w:w="3313"/>
            <w:gridCol w:w="382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Alternative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Why it was considered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Why it was not selected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OCR dedicado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Maior controle sobre digitalizações.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Aumenta infraestrutura no MVP.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LLM local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Reduz dependência externa.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Exige hardware e avaliação.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Comparação gerada por LLM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Narrativa potencialmente rica.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Maior risco de invenção.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Banco vetorial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Busca semântica futura.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Não é necessário no catálogo atual.</w:t>
            </w:r>
          </w:p>
        </w:tc>
      </w:tr>
    </w:tbl>
    <w:p ns1:paraId="000000DC">
      <w:pPr>
        <w:pStyle w:val="Heading1"/>
        <w:spacing w:before="0" w:line="269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ns1:paraId="000000DD">
      <w:pPr>
        <w:pStyle w:val="Heading1"/>
        <w:rPr>
          <w:rFonts w:ascii="Helvetica Neue" w:cs="Helvetica Neue" w:eastAsia="Helvetica Neue" w:hAnsi="Helvetica Neue"/>
        </w:rPr>
      </w:pPr>
      <w:r>
        <w:t>11. Open Questions</w:t>
      </w:r>
    </w:p>
    <w:p ns1:paraId="000000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Qual provedor de OCR e modelo deve ser homologado para documentos reais em produção?</w:t>
      </w:r>
    </w:p>
    <w:p ns1:paraId="000000D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Quais campos e regras jurídicas devem receber revisão obrigatória de especialista?</w:t>
      </w:r>
    </w:p>
    <w:p ns1:paraId="000000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 solução deve permanecer local ou evoluir para nuvem com isolamento por organização?</w:t>
      </w:r>
    </w:p>
    <w:p ns1:paraId="000000E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Qual política de retenção e controle de acesso será exigida para apólices reais?</w:t>
      </w:r>
    </w:p>
    <w:p ns1:paraId="000000E2">
      <w:pPr>
        <w:pStyle w:val="Heading1"/>
        <w:spacing w:before="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ns1:paraId="000000E3">
      <w:pPr>
        <w:pStyle w:val="Heading1"/>
        <w:rPr>
          <w:rFonts w:ascii="Helvetica Neue" w:cs="Helvetica Neue" w:eastAsia="Helvetica Neue" w:hAnsi="Helvetica Neue"/>
        </w:rPr>
      </w:pPr>
      <w:r>
        <w:t>12. Decision and Next Steps</w:t>
      </w:r>
    </w:p>
    <w:p ns1:paraId="000000E4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Validação funcional concluída com dois PDFs fictícios e Gemini 3.8 Flash: 16 critérios com evidências verificadas por documento, 10 diferenças e exportações PDF/JSON aprovadas. Registro: Validacao_IA_Exemplos.json. Suíte: 32 testes Python e um teste Node, build e QA da interface. A precisão contratual em documentos de mercado permanece sujeita à revisão especializada.</w:t>
      </w:r>
    </w:p>
    <w:tbl>
      <w:tblPr>
        <w:tblStyle w:val="Table9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954"/>
        <w:gridCol w:w="3713"/>
        <w:gridCol w:w="3773"/>
        <w:tblGridChange w:id="0">
          <w:tblGrid>
            <w:gridCol w:w="2954"/>
            <w:gridCol w:w="3713"/>
            <w:gridCol w:w="377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Milestone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Deliverable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Exit criteria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M1 concluído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Dois PDFs fictícios / IA real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Extração, comparação e exportações aprovadas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M2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Revisão de precisão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Amostra e divergências documentadas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M3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Autenticação e observabilidade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Controles testados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M4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Piloto controlado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SLOs, rollback e aprovação</w:t>
            </w:r>
          </w:p>
        </w:tc>
      </w:tr>
    </w:tbl>
    <w:p ns1:paraId="000000F4">
      <w:pPr>
        <w:spacing w:after="120" w:line="269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sectPr>
      <w:headerReference ns5:id="rId10" w:type="default"/>
      <w:headerReference ns5:id="rId11" w:type="first"/>
      <w:footerReference ns5:id="rId12" w:type="default"/>
      <w:footerReference ns5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>
      <w:t>InsurMinds | System Design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00000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00000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?>
<Relationships xmlns="http://schemas.openxmlformats.org/package/2006/relationships"><Relationship Id="rId11" Type="http://schemas.openxmlformats.org/officeDocument/2006/relationships/header" Target="header2.xml" /><Relationship Id="rId10" Type="http://schemas.openxmlformats.org/officeDocument/2006/relationships/header" Target="header1.xml" /><Relationship Id="rId13" Type="http://schemas.openxmlformats.org/officeDocument/2006/relationships/footer" Target="footer2.xml" /><Relationship Id="rId12" Type="http://schemas.openxmlformats.org/officeDocument/2006/relationships/footer" Target="footer1.xml" /><Relationship Id="rId1" Type="http://schemas.openxmlformats.org/officeDocument/2006/relationships/theme" Target="theme/theme1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footnotes" Target="footnotes.xml" /><Relationship Id="rId9" Type="http://schemas.openxmlformats.org/officeDocument/2006/relationships/hyperlink" Target="https://github.com/vicTmm/i2a2-desafio-final/blob/main/backend/models.py" TargetMode="External" /><Relationship Id="rId5" Type="http://schemas.openxmlformats.org/officeDocument/2006/relationships/numbering" Target="numbering.xml" /><Relationship Id="rId6" Type="http://schemas.openxmlformats.org/officeDocument/2006/relationships/styles" Target="styles.xml" /><Relationship Id="rId8" Type="http://schemas.openxmlformats.org/officeDocument/2006/relationships/image" Target="media/image1.png" 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