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 ns1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t>InsurMinds</w:t>
      </w:r>
    </w:p>
    <w:p ns1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t>Plataforma de análise e comparação de apólices D&amp;O</w:t>
      </w:r>
    </w:p>
    <w:p ns1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STATUS · MVP validado</w:t>
              <w:br/>
              <w:t/>
            </w:r>
          </w:p>
        </w:tc>
        <w:tc>
          <w:tcPr/>
          <w:p>
            <w:r/>
          </w:p>
        </w:tc>
        <w:tc>
          <w:tcPr/>
          <w:p>
            <w:r>
              <w:t>RESPONSÁVEL · InsurMinds</w:t>
              <w:br/>
              <w:t/>
            </w:r>
          </w:p>
        </w:tc>
        <w:tc>
          <w:tcPr/>
          <w:p>
            <w:r/>
          </w:p>
        </w:tc>
        <w:tc>
          <w:tcPr/>
          <w:p>
            <w:r>
              <w:t>REVISADO EM · 06/10/2026</w:t>
              <w:br/>
              <w:t/>
            </w:r>
          </w:p>
        </w:tc>
      </w:tr>
    </w:tbl>
    <w:p ns1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Autores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Equipe InsurMinds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Validação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Funcional com os PDFs fictícios do projeto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Documentação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README.md e docs/ARQUITETURA.md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Escopo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MVP local para extração e comparação assistida de apólices D&amp;O</w:t>
            </w:r>
          </w:p>
        </w:tc>
      </w:tr>
    </w:tbl>
    <w:p ns1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t>1 Resumo</w:t>
      </w:r>
    </w:p>
    <w:p ns1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O InsurMinds é um MVP local que recebe apólices D&amp;O em PDF ou imagem, extrai texto e evidências com o Google Gemini, estrutura 16 campos relevantes e permite comparar duas ou mais apólices. A arquitetura separa recepção, leitura documental, extração multimodal, validação, persistência, consulta e comparação determinística.</w:t>
      </w:r>
    </w:p>
    <w:p ns1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Limites: 20 MB, 300 páginas e 2 milhões de caracteres. O processamento usa blocos de até 60 mil caracteres, 20 páginas e 4 imagens. Evidências textuais são verificadas localmente; interpretações e leituras visuais exigem revisão humana.</w:t>
      </w:r>
    </w:p>
    <w:p ns1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2A">
      <w:pPr>
        <w:pStyle w:val="Heading1"/>
        <w:rPr>
          <w:rFonts w:ascii="Helvetica Neue" w:cs="Helvetica Neue" w:eastAsia="Helvetica Neue" w:hAnsi="Helvetica Neue"/>
        </w:rPr>
      </w:pPr>
      <w:r>
        <w:t>2 Objetivos e escopo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Objetivos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Fora do escopo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Extrair campos e evidências de PDF e imagem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Análise jurídica definitiva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Comparar pelo menos duas apólices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Cobrir todos os tipos de seguro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Preservar página e trecho de origem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Integração com seguradoras reais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Permitir demonstração reproduzível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Alta disponibilidade e multiusuário</w:t>
            </w:r>
          </w:p>
        </w:tc>
      </w:tr>
    </w:tbl>
    <w:p ns1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36">
      <w:pPr>
        <w:pStyle w:val="Heading1"/>
        <w:rPr>
          <w:rFonts w:ascii="Helvetica Neue" w:cs="Helvetica Neue" w:eastAsia="Helvetica Neue" w:hAnsi="Helvetica Neue"/>
        </w:rPr>
      </w:pPr>
      <w:r>
        <w:t>3 Contexto e problema</w:t>
      </w:r>
    </w:p>
    <w:p ns1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Apólices D&amp;O são extensas, heterogêneas e redigidas em linguagem jurídica. Comparar limites, franquias, coberturas e exclusões exige rastrear cada condição até sua página de origem.</w:t>
      </w:r>
    </w:p>
    <w:p ns1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t>O sistema delimita o problema à análise assistida de documentos fornecidos pelo usuário. A IA interpreta o conteúdo, mas a aplicação mantém a fonte, a página e o trecho citado como evidência. A comparação é determinística para evitar conclusões inventadas.</w:t>
      </w:r>
    </w:p>
    <w:p ns1:paraId="00000039">
      <w:pPr>
        <w:pStyle w:val="Heading1"/>
        <w:rPr>
          <w:rFonts w:ascii="Helvetica Neue" w:cs="Helvetica Neue" w:eastAsia="Helvetica Neue" w:hAnsi="Helvetica Neue"/>
        </w:rPr>
        <w:keepNext w:val="1"/>
      </w:pPr>
      <w:r>
        <w:t>4 Arquitetura</w:t>
      </w:r>
    </w:p>
    <w:p ns1:paraId="0000003A">
      <w:pPr>
        <w:spacing w:after="0" w:line="144" w:lineRule="auto"/>
        <w:rPr>
          <w:rFonts w:ascii="Helvetica Neue" w:cs="Helvetica Neue" w:eastAsia="Helvetica Neue" w:hAnsi="Helvetica Neue"/>
        </w:rPr>
        <w:keepNext w:val="1"/>
      </w:pPr>
      <w:r>
        <w:rPr>
          <w:rtl w:val="0"/>
        </w:rPr>
      </w:r>
    </w:p>
    <w:p ns1:paraId="0000003B">
      <w:pPr>
        <w:rPr>
          <w:rFonts w:ascii="Helvetica Neue" w:cs="Helvetica Neue" w:eastAsia="Helvetica Neue" w:hAnsi="Helvetica Neue"/>
        </w:rPr>
        <w:keepNext w:val="1"/>
      </w:pPr>
      <w:r>
        <w:rPr>
          <w:rFonts w:ascii="Helvetica Neue" w:cs="Helvetica Neue" w:eastAsia="Helvetica Neue" w:hAnsi="Helvetica Neue"/>
        </w:rPr>
        <w:drawing>
          <ns2:inline distB="0" distT="0" distL="0" distR="0">
            <ns2:extent cx="6126480" cy="3139821"/>
            <ns2:effectExtent b="0" l="0" r="0" t="0"/>
            <ns2:docPr id="1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8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3139821"/>
                    </ns3:xfrm>
                    <ns3:prstGeom prst="rect"/>
                    <ns3:ln/>
                  </ns4:spPr>
                </ns4:pic>
              </ns3:graphicData>
            </ns3:graphic>
          </ns2:inline>
        </w:drawing>
      </w:r>
      <w:r>
        <w:rPr>
          <w:rtl w:val="0"/>
        </w:rPr>
      </w:r>
    </w:p>
    <w:p ns1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t>Figura 1. Arquitetura do InsurMinds.</w:t>
      </w:r>
    </w:p>
    <w:p ns1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ns1:paraId="0000003E">
      <w:pPr>
        <w:pStyle w:val="Heading3"/>
        <w:spacing w:after="90" w:line="280" w:lineRule="auto"/>
        <w:rPr/>
      </w:pPr>
      <w:r>
        <w:t>Componentes</w:t>
      </w:r>
    </w:p>
    <w:p ns1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Componente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Responsabilidade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Persistência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Tratamento de falhas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Interface React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Upload, consulta, evidência, comparação e exportação.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Estado da sessão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Exibe erro acionável.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API Starlette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Valida entradas e coordena o pipeline.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SQLite e arquivos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Retorna erro e permite retry.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Leitor documental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Extrai texto e imagens por página.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Arquivo original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Rejeita entrada inválida.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Agente Gemini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Extrai JSON por bloco; retoma checkpoints.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Checkpoints locais / API Gemini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Falha fechada, sem inventar fatos.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Validador e comparação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Confere quotes e calcula diferenças.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Fatos persistidos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Descarta evidência inválida.</w:t>
            </w:r>
          </w:p>
        </w:tc>
      </w:tr>
    </w:tbl>
    <w:p ns1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5A">
      <w:pPr>
        <w:pStyle w:val="Heading1"/>
        <w:rPr>
          <w:rFonts w:ascii="Helvetica Neue" w:cs="Helvetica Neue" w:eastAsia="Helvetica Neue" w:hAnsi="Helvetica Neue"/>
        </w:rPr>
        <w:keepNext w:val="1"/>
      </w:pPr>
      <w:r>
        <w:t>5 Fluxo de processamento</w:t>
      </w:r>
    </w:p>
    <w:p ns1:paraId="0000005B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O usuário envia um PDF, PNG, JPG ou WebP pela interface React. A API Starlette valida o tipo, limita tamanho e páginas, salva o arquivo e cria o registro de análise.</w:t>
      </w:r>
    </w:p>
    <w:p ns1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A recepção valida conteúdo, tamanho, PDF criptografado e limites. A aplicação deve operar em loopback, sem autenticação ou isolamento multiusuário.</w:t>
      </w:r>
    </w:p>
    <w:p ns1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O leitor documental converte páginas em texto quando possível e renderiza imagens para páginas escaneadas. O pipeline monta uma entrada multimodal com o número de cada página e seus dados visuais.</w:t>
      </w:r>
    </w:p>
    <w:p ns1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Cada bloco é enviado ao Gemini 3.8 Flash. Pydantic valida a estrutura e o verificador confere as citações nas páginas originais. A consolidação preserva múltiplas evidências e valores divergentes em variants, com needs_review.</w:t>
      </w:r>
    </w:p>
    <w:p ns1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O estado da análise e seus fatos são gravados no SQLite antes de a interface exibir o resultado. O arquivo original permanece em data/ para permitir auditoria e abertura da evidência.</w:t>
      </w:r>
    </w:p>
    <w:p ns1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Timeout de 90 segundos, até três tentativas por modelo, espera exponencial e intervalo mínimo de 15 segundos. Fallback para Gemini 3.7 em indisponibilidade, sem contornar cotas. Checkpoints atômicos permitem retomar blocos concluídos.</w:t>
      </w:r>
    </w:p>
    <w:p ns1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Ao concluir, a API retorna fatos, alertas e páginas de evidência. A interface permite consulta contextual, comparação, abertura do trecho de origem e exportação em PDF ou JSON.</w:t>
      </w:r>
    </w:p>
    <w:p ns1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63">
      <w:pPr>
        <w:pStyle w:val="Heading1"/>
        <w:rPr>
          <w:rFonts w:ascii="Helvetica Neue" w:cs="Helvetica Neue" w:eastAsia="Helvetica Neue" w:hAnsi="Helvetica Neue"/>
        </w:rPr>
      </w:pPr>
      <w:r>
        <w:t>6 Contratos de dados</w:t>
      </w:r>
    </w:p>
    <w:p ns1:paraId="00000064">
      <w:pPr>
        <w:pStyle w:val="Heading3"/>
        <w:spacing w:after="90" w:line="280" w:lineRule="auto"/>
        <w:rPr/>
      </w:pPr>
      <w:r>
        <w:t>Registro público da análise</w:t>
      </w:r>
    </w:p>
    <w:p ns1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Campo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Tipo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Obrigatório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Descrição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Identificador da análise.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queued, reading, extracting, ready ou error.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facts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array[Fact]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Catálogo de 16 campos D&amp;O.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value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string|null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Valor extraído.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quote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string|null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Primeira citação; evidence contém todas as referências.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integer|null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Página original da primeira referência.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evidence_status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verified, visual_review ou missing.</w:t>
            </w:r>
          </w:p>
        </w:tc>
      </w:tr>
    </w:tbl>
    <w:p ns1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ns1:paraId="00000087">
      <w:pPr>
        <w:pStyle w:val="Heading3"/>
        <w:spacing w:after="90" w:line="280" w:lineRule="auto"/>
        <w:rPr/>
        <w:keepNext w:val="1"/>
      </w:pPr>
      <w:r>
        <w:t>Garantias do contrato</w:t>
      </w:r>
    </w:p>
    <w:p ns1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  <w:keepNext w:val="1"/>
      </w:pPr>
      <w:r>
        <w:rPr>
          <w:rtl w:val="0"/>
        </w:rPr>
      </w:r>
    </w:p>
    <w:p ns1:paraId="0000008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Nenhum fato com valor é exibido como verificado sem quote, page e correspondência local na página. Evidências exclusivamente visuais recebem visual_review e exigem conferência humana.</w:t>
      </w:r>
    </w:p>
    <w:p ns1:paraId="0000008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Estados: queued, reading, extracting, ready e error. Comparações preservam uma fotografia dos fatos e usam um catálogo estável de 16 campos.</w:t>
      </w:r>
    </w:p>
    <w:p ns1:paraId="0000008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O registro guarda modelo configurado, models_used, progresso completed_chunks/total_chunks/cached_chunks, páginas, fatos, variants, needs_review e avisos.</w:t>
      </w:r>
    </w:p>
    <w:p ns1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O JSON estruturado é a fonte da aplicação para a demonstração, não uma interpretação jurídica definitiva nem prova de cobertura contratada.</w:t>
      </w:r>
    </w:p>
    <w:p ns1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t>A definição versionada do contrato é publicada em</w:t>
      </w:r>
    </w:p>
    <w:p ns1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t>backend/models.py e na documentação do repositório.</w:t>
      </w:r>
    </w:p>
    <w:p ns1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90">
      <w:pPr>
        <w:pStyle w:val="Heading1"/>
        <w:rPr>
          <w:rFonts w:ascii="Helvetica Neue" w:cs="Helvetica Neue" w:eastAsia="Helvetica Neue" w:hAnsi="Helvetica Neue"/>
        </w:rPr>
      </w:pPr>
      <w:r>
        <w:t>7 Consistência e retomada</w:t>
      </w:r>
    </w:p>
    <w:p ns1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Exemplos são idempotentes por IDs fixos. Uploads recebem UUID; blocos já concluídos podem ser reutilizados por hash de conteúdo, prompt, schema e modelos. A comparação é determinística e não considera a numeração da página ao comparar valores.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Situação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Comportamento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Finalidade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Documento reenviado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Novo UUID; reutiliza checkpoints compatíveis.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Evita misturar evidências.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Gemini indisponível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Retries, fallback e retomada; error se esgotados.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Preserva custo e observabilidade.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Quote não encontrado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Valor descartado ou visual_review.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Evita dado sem suporte.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Modelo alterado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Registra models_used e invalida checkpoints incompatíveis.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Permite reproduzir contexto.</w:t>
            </w:r>
          </w:p>
        </w:tc>
      </w:tr>
    </w:tbl>
    <w:p ns1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A3">
      <w:pPr>
        <w:pStyle w:val="Heading1"/>
        <w:rPr>
          <w:rFonts w:ascii="Helvetica Neue" w:cs="Helvetica Neue" w:eastAsia="Helvetica Neue" w:hAnsi="Helvetica Neue"/>
        </w:rPr>
        <w:keepNext w:val="1"/>
      </w:pPr>
      <w:r>
        <w:t>8 Dados e configuração</w:t>
      </w:r>
    </w:p>
    <w:p ns1:paraId="000000A4">
      <w:pPr>
        <w:spacing w:after="0" w:line="96" w:lineRule="auto"/>
        <w:rPr>
          <w:rFonts w:ascii="Helvetica Neue" w:cs="Helvetica Neue" w:eastAsia="Helvetica Neue" w:hAnsi="Helvetica Neue"/>
        </w:rPr>
        <w:keepNext w:val="1"/>
      </w:pPr>
      <w:r>
        <w:rPr>
          <w:rtl w:val="0"/>
        </w:rPr>
      </w:r>
    </w:p>
    <w:p ns1:paraId="000000A5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A versão acadêmica não implementa autenticação, autorização ou tenancy. Uma implantação pública deve adicionar identidade e segregação por usuário.</w:t>
      </w:r>
    </w:p>
    <w:p ns1:paraId="000000A6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Documentos podem conter dados pessoais e informações corporativas sensíveis. O MVP evita registrar conteúdo integral em logs e mantém arquivos no diretório data/.</w:t>
      </w:r>
    </w:p>
    <w:p ns1:paraId="000000A7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GEMINI_API_KEY permanece no servidor. GEMINI_MODEL define o modelo principal e GEMINI_FALLBACK_MODELS define as alternativas. O ZIP e o Git excluem .env, data e documentos privados.</w:t>
      </w:r>
    </w:p>
    <w:p ns1:paraId="000000A8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Endpoints de reprocessamento, exportação e carga de exemplos devem permanecer protegidos em qualquer exposição pública. Limites de páginas, caracteres e MIME são defaults de segurança e custo.</w:t>
      </w:r>
    </w:p>
    <w:p ns1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A retenção atual é local e indefinida até exclusão manual. Uma evolução deve definir prazo, exclusão segura, criptografia, residência e auditoria.</w:t>
      </w:r>
    </w:p>
    <w:p ns1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ns1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ns1:paraId="000000AC">
      <w:pPr>
        <w:pStyle w:val="Heading1"/>
        <w:rPr>
          <w:rFonts w:ascii="Helvetica Neue" w:cs="Helvetica Neue" w:eastAsia="Helvetica Neue" w:hAnsi="Helvetica Neue"/>
        </w:rPr>
      </w:pPr>
      <w:r>
        <w:t>9 Operação local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Sinal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Verificação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Responsável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Cobertura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Análises concluídas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Estado de cada análise na biblioteca.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Equipe InsurMinds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Interface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Tempo de processamento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Progresso dos blocos na análise.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Equipe InsurMinds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Interface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Falhas e retries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Erro acionável e nova tentativa.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Equipe InsurMinds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API e interface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Configuração e segredo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Chave apenas no ambiente do servidor.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Equipe InsurMinds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Configuração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Integridade de evidências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Suíte e registro dos PDFs de demonstração.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Equipe InsurMinds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Testes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/>
          </w:p>
        </w:tc>
      </w:tr>
    </w:tbl>
    <w:p ns1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CA">
      <w:pPr>
        <w:pStyle w:val="Heading1"/>
        <w:rPr>
          <w:rFonts w:ascii="Helvetica Neue" w:cs="Helvetica Neue" w:eastAsia="Helvetica Neue" w:hAnsi="Helvetica Neue"/>
        </w:rPr>
        <w:keepNext w:val="1"/>
      </w:pPr>
      <w:r>
        <w:t>10 Decisões de implementação</w:t>
      </w:r>
    </w:p>
    <w:p ns1:paraId="000000CB">
      <w:pPr>
        <w:spacing w:after="0" w:line="14.399999999999999" w:lineRule="auto"/>
        <w:rPr>
          <w:rFonts w:ascii="Helvetica Neue" w:cs="Helvetica Neue" w:eastAsia="Helvetica Neue" w:hAnsi="Helvetica Neue"/>
        </w:rPr>
        <w:keepNext w:val="1"/>
      </w:pPr>
      <w:r>
        <w:rPr>
          <w:rtl w:val="0"/>
        </w:rPr>
      </w:r>
    </w:p>
    <w:p ns1:paraId="000000CC">
      <w:pPr>
        <w:spacing w:after="0" w:line="192" w:lineRule="auto"/>
        <w:rPr>
          <w:rFonts w:ascii="Helvetica Neue" w:cs="Helvetica Neue" w:eastAsia="Helvetica Neue" w:hAnsi="Helvetica Neue"/>
        </w:rPr>
        <w:keepNext w:val="1"/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Alternativa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Finalidade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Decisão no MVP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OCR dedicado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Maior controle sobre digitalizações.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Aumenta infraestrutura no MVP.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LLM local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Reduz dependência externa.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Exige hardware e avaliação.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Comparação gerada por LLM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Narrativa potencialmente rica.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Maior risco de invenção.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Banco vetorial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Busca semântica futura.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Não é necessário no catálogo atual.</w:t>
            </w:r>
          </w:p>
        </w:tc>
      </w:tr>
    </w:tbl>
    <w:p ns1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DD">
      <w:pPr>
        <w:pStyle w:val="Heading1"/>
        <w:rPr>
          <w:rFonts w:ascii="Helvetica Neue" w:cs="Helvetica Neue" w:eastAsia="Helvetica Neue" w:hAnsi="Helvetica Neue"/>
        </w:rPr>
        <w:keepNext w:val="1"/>
      </w:pPr>
      <w:r>
        <w:t>11 Limites da interpretação</w:t>
      </w:r>
    </w:p>
    <w:p ns1:paraId="000000DE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A comparação identifica diferenças de texto e não determina equivalência jurídica.</w:t>
      </w:r>
    </w:p>
    <w:p ns1:paraId="000000DF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Citações verificadas confirmam presença textual; a interpretação é conferida pelo usuário.</w:t>
      </w:r>
    </w:p>
    <w:p ns1:paraId="000000E0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Informações ausentes permanecem não identificadas, sem presumir cobertura ou exclusão.</w:t>
      </w:r>
    </w:p>
    <w:p ns1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Leituras de páginas rasterizadas e valores divergentes são sinalizados para revisão.</w:t>
      </w:r>
    </w:p>
    <w:p ns1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E3">
      <w:pPr>
        <w:pStyle w:val="Heading1"/>
        <w:rPr>
          <w:rFonts w:ascii="Helvetica Neue" w:cs="Helvetica Neue" w:eastAsia="Helvetica Neue" w:hAnsi="Helvetica Neue"/>
        </w:rPr>
      </w:pPr>
      <w:r>
        <w:t>12 Validação do projeto</w:t>
      </w:r>
    </w:p>
    <w:p ns1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Os dois PDFs fictícios foram processados pelo Gemini 3.8 Flash, com 16 critérios e evidências verificadas por documento. A comparação apresentou 10 diferenças e nenhuma ausência; as exportações PDF e JSON passaram. O registro está em Validacao_IA_Exemplos.json. A suíte aprovou 32 testes Python e um teste Node, além do build e da verificação de interface em desktop e celular.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Verificação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Evidência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color w:val="FFFFFF"/>
              </w:rPr>
              <w:t>Resultado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Extração com 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Dois PDFs fictícios / Gemini 3.8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16 critérios verificados por documento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Comparação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16 campos lado a lado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10 diferenças e nenhuma ausência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Exportações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PDF e JSON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Conteúdo e formato aprovados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Interface e código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Desktop, celular e suíte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Build e testes aprovados</w:t>
            </w:r>
          </w:p>
        </w:tc>
      </w:tr>
    </w:tbl>
    <w:p ns1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ns5:id="rId10" w:type="default"/>
      <w:headerReference ns5:id="rId11" w:type="first"/>
      <w:footerReference ns5:id="rId12" w:type="default"/>
      <w:footerReference ns5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>InsurMinds | System Design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00000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00000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?>
<Relationships xmlns="http://schemas.openxmlformats.org/package/2006/relationships"><Relationship Id="rId11" Type="http://schemas.openxmlformats.org/officeDocument/2006/relationships/header" Target="header2.xml" /><Relationship Id="rId10" Type="http://schemas.openxmlformats.org/officeDocument/2006/relationships/header" Target="header1.xml" /><Relationship Id="rId13" Type="http://schemas.openxmlformats.org/officeDocument/2006/relationships/footer" Target="footer2.xml" /><Relationship Id="rId12" Type="http://schemas.openxmlformats.org/officeDocument/2006/relationships/footer" Target="footer1.xml" /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hyperlink" Target="https://github.com/vicTmm/i2a2-desafio-final/blob/main/backend/models.py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8" Type="http://schemas.openxmlformats.org/officeDocument/2006/relationships/image" Target="media/image1.png" 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