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ACE2F" w14:textId="77777777" w:rsidR="001A5CA6" w:rsidRDefault="00000000">
      <w:pPr>
        <w:pStyle w:val="Ttulo"/>
      </w:pPr>
      <w:r>
        <w:t>Política de facturación y cobranza</w:t>
      </w:r>
    </w:p>
    <w:p w14:paraId="6824D4FC" w14:textId="77777777" w:rsidR="001A5CA6" w:rsidRDefault="00000000">
      <w:r>
        <w:t>Finanzas y Contabilidad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704"/>
      </w:tblGrid>
      <w:tr w:rsidR="001A5CA6" w14:paraId="1386B8BC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0BC7AC" w14:textId="77777777" w:rsidR="001A5CA6" w:rsidRDefault="00000000">
            <w:pPr>
              <w:spacing w:before="40" w:after="40"/>
            </w:pPr>
            <w:r>
              <w:rPr>
                <w:b/>
                <w:sz w:val="19"/>
              </w:rPr>
              <w:t>Control del documento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F8028E" w14:textId="77777777" w:rsidR="001A5CA6" w:rsidRDefault="00000000">
            <w:pPr>
              <w:spacing w:before="40" w:after="40"/>
            </w:pPr>
            <w:r>
              <w:rPr>
                <w:b/>
                <w:sz w:val="19"/>
              </w:rPr>
              <w:t>Registro</w:t>
            </w:r>
          </w:p>
        </w:tc>
      </w:tr>
      <w:tr w:rsidR="001A5CA6" w14:paraId="130E9EDA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69D226" w14:textId="77777777" w:rsidR="001A5CA6" w:rsidRDefault="00000000">
            <w:pPr>
              <w:spacing w:before="40" w:after="40"/>
            </w:pPr>
            <w:r>
              <w:rPr>
                <w:sz w:val="19"/>
              </w:rPr>
              <w:t>ID y 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AFCB15" w14:textId="77777777" w:rsidR="001A5CA6" w:rsidRDefault="00000000">
            <w:pPr>
              <w:spacing w:before="40" w:after="40"/>
            </w:pPr>
            <w:r>
              <w:rPr>
                <w:sz w:val="19"/>
              </w:rPr>
              <w:t>DL-POL-06 | 1.0</w:t>
            </w:r>
          </w:p>
        </w:tc>
      </w:tr>
      <w:tr w:rsidR="001A5CA6" w14:paraId="67607E60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F0C9D8" w14:textId="77777777" w:rsidR="001A5CA6" w:rsidRDefault="00000000">
            <w:pPr>
              <w:spacing w:before="40" w:after="40"/>
            </w:pPr>
            <w:r>
              <w:rPr>
                <w:sz w:val="19"/>
              </w:rPr>
              <w:t>Propietario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7C233B" w14:textId="77777777" w:rsidR="001A5CA6" w:rsidRDefault="00000000">
            <w:pPr>
              <w:spacing w:before="40" w:after="40"/>
            </w:pPr>
            <w:r>
              <w:rPr>
                <w:sz w:val="19"/>
              </w:rPr>
              <w:t>Finanzas y Cuentas por cobrar</w:t>
            </w:r>
          </w:p>
        </w:tc>
      </w:tr>
      <w:tr w:rsidR="001A5CA6" w14:paraId="332860C9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DD10F2" w14:textId="77777777" w:rsidR="001A5CA6" w:rsidRDefault="00000000">
            <w:pPr>
              <w:spacing w:before="40" w:after="40"/>
            </w:pPr>
            <w:r>
              <w:rPr>
                <w:sz w:val="19"/>
              </w:rPr>
              <w:t>Aprobador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E01F94" w14:textId="77777777" w:rsidR="001A5CA6" w:rsidRDefault="00000000">
            <w:pPr>
              <w:spacing w:before="40" w:after="40"/>
            </w:pPr>
            <w:r>
              <w:rPr>
                <w:sz w:val="19"/>
              </w:rPr>
              <w:t>Dirección General</w:t>
            </w:r>
          </w:p>
        </w:tc>
      </w:tr>
      <w:tr w:rsidR="001A5CA6" w14:paraId="5083EE89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15C7C7" w14:textId="77777777" w:rsidR="001A5CA6" w:rsidRDefault="00000000">
            <w:pPr>
              <w:spacing w:before="40" w:after="40"/>
            </w:pPr>
            <w:r>
              <w:rPr>
                <w:sz w:val="19"/>
              </w:rPr>
              <w:t>Vigencia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9DDF14" w14:textId="77777777" w:rsidR="001A5CA6" w:rsidRDefault="00000000">
            <w:pPr>
              <w:spacing w:before="40" w:after="40"/>
            </w:pPr>
            <w:r>
              <w:rPr>
                <w:sz w:val="19"/>
              </w:rPr>
              <w:t>Desde la aprobación registrada y hasta su sustitución</w:t>
            </w:r>
          </w:p>
        </w:tc>
      </w:tr>
      <w:tr w:rsidR="001A5CA6" w14:paraId="34921BE6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62E9BD" w14:textId="77777777" w:rsidR="001A5CA6" w:rsidRDefault="00000000">
            <w:pPr>
              <w:spacing w:before="40" w:after="40"/>
            </w:pPr>
            <w:r>
              <w:rPr>
                <w:sz w:val="19"/>
              </w:rPr>
              <w:t>Revisión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ADEE0D" w14:textId="77777777" w:rsidR="001A5CA6" w:rsidRDefault="00000000">
            <w:pPr>
              <w:spacing w:before="40" w:after="40"/>
            </w:pPr>
            <w:r>
              <w:rPr>
                <w:sz w:val="19"/>
              </w:rPr>
              <w:t>Anual o ante cambios relevantes</w:t>
            </w:r>
          </w:p>
        </w:tc>
      </w:tr>
      <w:tr w:rsidR="001A5CA6" w14:paraId="17E75FCA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4522B7" w14:textId="77777777" w:rsidR="001A5CA6" w:rsidRDefault="00000000">
            <w:pPr>
              <w:spacing w:before="40" w:after="40"/>
            </w:pPr>
            <w:r>
              <w:rPr>
                <w:sz w:val="19"/>
              </w:rPr>
              <w:t>Aprobación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51B05B" w14:textId="77777777" w:rsidR="001A5CA6" w:rsidRDefault="00000000">
            <w:pPr>
              <w:spacing w:before="40" w:after="40"/>
            </w:pPr>
            <w:r>
              <w:rPr>
                <w:sz w:val="19"/>
              </w:rPr>
              <w:t>Fecha y evidencia por registrar antes de su entrada en vigor</w:t>
            </w:r>
          </w:p>
        </w:tc>
      </w:tr>
      <w:tr w:rsidR="00BE6F42" w14:paraId="1449082F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FA97F7" w14:textId="50A14CB7" w:rsidR="00BE6F42" w:rsidRDefault="00BE6F42" w:rsidP="00BE6F42">
            <w:pPr>
              <w:spacing w:before="40" w:after="40"/>
              <w:rPr>
                <w:sz w:val="19"/>
              </w:rPr>
            </w:pPr>
            <w:r>
              <w:rPr>
                <w:b/>
                <w:lang w:val="es-MX"/>
              </w:rPr>
              <w:t>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A4CC93" w14:textId="5708DBF3" w:rsidR="00BE6F42" w:rsidRDefault="00BE6F42" w:rsidP="00BE6F42">
            <w:pPr>
              <w:spacing w:before="40" w:after="40"/>
              <w:rPr>
                <w:sz w:val="19"/>
              </w:rPr>
            </w:pPr>
            <w:r>
              <w:rPr>
                <w:lang w:val="es-MX"/>
              </w:rPr>
              <w:t>1.0</w:t>
            </w:r>
          </w:p>
        </w:tc>
      </w:tr>
      <w:tr w:rsidR="00BE6F42" w14:paraId="6E2C6FD2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0D5FA1" w14:textId="09EAE075" w:rsidR="00BE6F42" w:rsidRDefault="00BE6F42" w:rsidP="00BE6F42">
            <w:pPr>
              <w:spacing w:before="40" w:after="40"/>
              <w:rPr>
                <w:sz w:val="19"/>
              </w:rPr>
            </w:pPr>
            <w:r>
              <w:rPr>
                <w:b/>
                <w:lang w:val="es-MX"/>
              </w:rPr>
              <w:t>Estado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1A90A9" w14:textId="12B1A08E" w:rsidR="00BE6F42" w:rsidRDefault="00BE6F42" w:rsidP="00BE6F42">
            <w:pPr>
              <w:spacing w:before="40" w:after="40"/>
              <w:rPr>
                <w:sz w:val="19"/>
              </w:rPr>
            </w:pPr>
            <w:r>
              <w:rPr>
                <w:lang w:val="es-MX"/>
              </w:rPr>
              <w:t>Publicado</w:t>
            </w:r>
          </w:p>
        </w:tc>
      </w:tr>
    </w:tbl>
    <w:p w14:paraId="22527BDC" w14:textId="77777777" w:rsidR="001A5CA6" w:rsidRDefault="00000000">
      <w:pPr>
        <w:pStyle w:val="Ttulo1"/>
      </w:pPr>
      <w:r>
        <w:t>1 Propósito y alcance</w:t>
      </w:r>
    </w:p>
    <w:p w14:paraId="51667898" w14:textId="77777777" w:rsidR="001A5CA6" w:rsidRDefault="00000000">
      <w:r>
        <w:t>Emitir comprobantes correctos, mantener una cartera confiable y recuperar los ingresos de DoceoLab con trato profesional. Ninguna condición de cobro deberá contradecir la propuesta aceptada, el contrato o los requisitos fiscales aplicables.</w:t>
      </w:r>
    </w:p>
    <w:p w14:paraId="632D389B" w14:textId="77777777" w:rsidR="001A5CA6" w:rsidRDefault="00000000">
      <w:r>
        <w:t>Aplica a ventas de cursos, talleres, consultoría, licencias y servicios asociados, desde el alta fiscal del cliente hasta la aplicación del pago, aclaración de diferencias o cierre de la cuenta.</w:t>
      </w:r>
    </w:p>
    <w:p w14:paraId="58E186E5" w14:textId="77777777" w:rsidR="001A5CA6" w:rsidRDefault="00000000">
      <w:pPr>
        <w:pStyle w:val="Ttulo1"/>
      </w:pPr>
      <w:r>
        <w:t>2 Definiciones y responsabilidades</w:t>
      </w:r>
    </w:p>
    <w:p w14:paraId="5F00F14E" w14:textId="77777777" w:rsidR="001A5CA6" w:rsidRDefault="00000000">
      <w:r>
        <w:t>CFDI: comprobante fiscal digital por internet. Cartera: saldos pendientes de clientes. Nota de crédito: documento que respalda una reducción válida. Antigüedad: tiempo transcurrido desde el vencimiento pactado.</w:t>
      </w:r>
    </w:p>
    <w:p w14:paraId="42362FAD" w14:textId="77777777" w:rsidR="001A5CA6" w:rsidRDefault="00000000">
      <w:r>
        <w:rPr>
          <w:b/>
        </w:rPr>
        <w:t xml:space="preserve">Ventas. </w:t>
      </w:r>
      <w:r>
        <w:t>Obtiene datos completos y comunica condiciones aceptadas, hitos y contactos de pago.</w:t>
      </w:r>
    </w:p>
    <w:p w14:paraId="33CFE0BB" w14:textId="77777777" w:rsidR="001A5CA6" w:rsidRDefault="00000000">
      <w:r>
        <w:rPr>
          <w:b/>
        </w:rPr>
        <w:t xml:space="preserve">Cuentas por cobrar. </w:t>
      </w:r>
      <w:r>
        <w:t>Emite facturas, confirma recepción, da seguimiento y documenta acuerdos.</w:t>
      </w:r>
    </w:p>
    <w:p w14:paraId="48ED3A74" w14:textId="77777777" w:rsidR="001A5CA6" w:rsidRDefault="00000000">
      <w:r>
        <w:rPr>
          <w:b/>
        </w:rPr>
        <w:t xml:space="preserve">Contabilidad y Finanzas. </w:t>
      </w:r>
      <w:r>
        <w:t>Validan tratamiento fiscal, aplican pagos, autorizan ajustes y concilian saldos.</w:t>
      </w:r>
    </w:p>
    <w:p w14:paraId="4FE849C8" w14:textId="77777777" w:rsidR="001A5CA6" w:rsidRDefault="00000000">
      <w:r>
        <w:t>Dirección General designará por escrito a quienes ejerzan estas funciones y sus suplencias. Si una persona concentra tareas incompatibles, un segundo responsable revisará la decisión y su evidencia.</w:t>
      </w:r>
    </w:p>
    <w:p w14:paraId="1D636F1A" w14:textId="77777777" w:rsidR="001A5CA6" w:rsidRDefault="00000000">
      <w:r>
        <w:br w:type="page"/>
      </w:r>
    </w:p>
    <w:p w14:paraId="0AA9EC13" w14:textId="77777777" w:rsidR="001A5CA6" w:rsidRDefault="00000000">
      <w:pPr>
        <w:pStyle w:val="Ttulo1"/>
      </w:pPr>
      <w:r>
        <w:lastRenderedPageBreak/>
        <w:t>3 Principios y lineamientos</w:t>
      </w:r>
    </w:p>
    <w:p w14:paraId="33D24E26" w14:textId="77777777" w:rsidR="001A5CA6" w:rsidRDefault="00000000">
      <w:r>
        <w:t>Las decisiones deberán ser trazables, proporcionales al riesgo y coherentes con los compromisos de DoceoLab. Cada responsable verificará la información antes de actuar, protegerá su confidencialidad y evitará autorizar operaciones en las que tenga un interés personal.</w:t>
      </w:r>
    </w:p>
    <w:p w14:paraId="260CD8F4" w14:textId="77777777" w:rsidR="001A5CA6" w:rsidRDefault="00000000">
      <w:pPr>
        <w:pStyle w:val="Ttulo2"/>
      </w:pPr>
      <w:r>
        <w:t>3 1 Alta y condiciones</w:t>
      </w:r>
    </w:p>
    <w:p w14:paraId="55EBD79D" w14:textId="77777777" w:rsidR="001A5CA6" w:rsidRDefault="00000000">
      <w:r>
        <w:t>Antes de facturar, Ventas entregará datos fiscales, contacto de cuentas por pagar, pedido y contrato o aceptación. Todo crédito debe contar con límite y plazo autorizados por Finanzas. Sin autorización de crédito, la propuesta deberá establecer pago anticipado; no se presumirá un plazo estándar.</w:t>
      </w:r>
    </w:p>
    <w:p w14:paraId="53BB8D1B" w14:textId="77777777" w:rsidR="001A5CA6" w:rsidRDefault="00000000">
      <w:pPr>
        <w:pStyle w:val="Ttulo2"/>
      </w:pPr>
      <w:r>
        <w:t>3 2 Emisión y entrega</w:t>
      </w:r>
    </w:p>
    <w:p w14:paraId="5D21344D" w14:textId="77777777" w:rsidR="001A5CA6" w:rsidRDefault="00000000">
      <w:r>
        <w:t>La facturación seguirá el hito contratado y la evidencia de prestación o anticipo. Contabilidad verificará la versión vigente del CFDI, datos del receptor y tratamiento tributario. Se entregarán XML y representación PDF por el canal acordado y se conservará evidencia de envío y aceptación cuando se requiera.</w:t>
      </w:r>
    </w:p>
    <w:p w14:paraId="5DE0529A" w14:textId="77777777" w:rsidR="001A5CA6" w:rsidRDefault="00000000">
      <w:pPr>
        <w:pStyle w:val="Ttulo2"/>
      </w:pPr>
      <w:r>
        <w:t>3 3 Pagos y complementos</w:t>
      </w:r>
    </w:p>
    <w:p w14:paraId="01CDB59E" w14:textId="77777777" w:rsidR="001A5CA6" w:rsidRDefault="00000000">
      <w:r>
        <w:t>Cada cobro se identificará con cliente, factura, moneda y referencia bancaria. Contabilidad determinará el método de pago correcto y emitirá el complemento que corresponda conforme a las reglas vigentes. Los depósitos sin identificar se mantendrán separados y no se asignarán por semejanza de importe.</w:t>
      </w:r>
    </w:p>
    <w:p w14:paraId="4BBD0F71" w14:textId="77777777" w:rsidR="001A5CA6" w:rsidRDefault="00000000">
      <w:pPr>
        <w:pStyle w:val="Ttulo2"/>
      </w:pPr>
      <w:r>
        <w:t>3 4 Seguimiento de cartera</w:t>
      </w:r>
    </w:p>
    <w:p w14:paraId="2F063FDD" w14:textId="77777777" w:rsidR="001A5CA6" w:rsidRDefault="00000000">
      <w:r>
        <w:t>Cuentas por cobrar recordará el vencimiento cinco días antes. Al día siguiente del vencimiento solicitará fecha de pago; a los quince días escalará a Ventas y Finanzas; a los treinta días presentará a Dirección un plan de recuperación. Cada contacto se registrará sin hostigamiento ni divulgación indebida.</w:t>
      </w:r>
    </w:p>
    <w:p w14:paraId="1DCCDBA7" w14:textId="77777777" w:rsidR="001A5CA6" w:rsidRDefault="00000000">
      <w:pPr>
        <w:pStyle w:val="Ttulo2"/>
      </w:pPr>
      <w:r>
        <w:t>3 5 Disputas y ajustes</w:t>
      </w:r>
    </w:p>
    <w:p w14:paraId="57134B64" w14:textId="77777777" w:rsidR="001A5CA6" w:rsidRDefault="00000000">
      <w:r>
        <w:t>Una inconformidad se registrará por concepto y se enviará al área responsable dentro de un día. La parte no controvertida seguirá su curso contractual. Las cancelaciones, sustituciones y notas de crédito requerirán causa, autorización de Finanzas y validación fiscal; no se alterarán facturas para ocultar saldos vencidos.</w:t>
      </w:r>
    </w:p>
    <w:p w14:paraId="1A401E3C" w14:textId="77777777" w:rsidR="001A5CA6" w:rsidRDefault="00000000">
      <w:pPr>
        <w:pStyle w:val="Ttulo2"/>
      </w:pPr>
      <w:r>
        <w:t>3 6 Mora y suspensión</w:t>
      </w:r>
    </w:p>
    <w:p w14:paraId="28D4B4A5" w14:textId="77777777" w:rsidR="001A5CA6" w:rsidRDefault="00000000">
      <w:r>
        <w:t>Solo se aplicarán intereses, penalizaciones o suspensión si fueron válidamente pactados y revisados por Legal. Ventas no prometerá condonaciones ni convenios por cuenta propia. La baja contable de un saldo no extingue automáticamente la obligación y exige aprobación de Dirección con soporte de recuperación.</w:t>
      </w:r>
    </w:p>
    <w:p w14:paraId="0322F769" w14:textId="77777777" w:rsidR="001A5CA6" w:rsidRDefault="00000000">
      <w:r>
        <w:br w:type="page"/>
      </w:r>
    </w:p>
    <w:p w14:paraId="6F7A25F9" w14:textId="77777777" w:rsidR="001A5CA6" w:rsidRDefault="00000000">
      <w:pPr>
        <w:pStyle w:val="Ttulo1"/>
      </w:pPr>
      <w:r>
        <w:lastRenderedPageBreak/>
        <w:t>4 Procedimiento de operación</w:t>
      </w:r>
    </w:p>
    <w:p w14:paraId="3C0FAF74" w14:textId="77777777" w:rsidR="001A5CA6" w:rsidRDefault="00000000">
      <w:r>
        <w:t>Cada caso tendrá un responsable, un registro identificable y un estado de seguimiento. Los plazos internos siguientes se cuentan en días hábiles, salvo indicación distinta; un plazo legal o contractual más exigente tiene prioridad.</w:t>
      </w:r>
    </w:p>
    <w:p w14:paraId="40CAD892" w14:textId="77777777" w:rsidR="001A5CA6" w:rsidRDefault="00000000">
      <w:pPr>
        <w:pStyle w:val="Ttulo2"/>
      </w:pPr>
      <w:r>
        <w:t>Paso 1 Confirmar el hito</w:t>
      </w:r>
    </w:p>
    <w:p w14:paraId="40E3344D" w14:textId="77777777" w:rsidR="001A5CA6" w:rsidRDefault="00000000">
      <w:r>
        <w:t>Ventas o el líder de proyecto confirma el hecho que permite cobrar y entrega el expediente. Cuentas por cobrar verifica datos y devuelve faltantes antes de emitir.</w:t>
      </w:r>
    </w:p>
    <w:p w14:paraId="675A50F3" w14:textId="77777777" w:rsidR="001A5CA6" w:rsidRDefault="00000000">
      <w:pPr>
        <w:pStyle w:val="Ttulo2"/>
      </w:pPr>
      <w:r>
        <w:t>Paso 2 Emitir y enviar</w:t>
      </w:r>
    </w:p>
    <w:p w14:paraId="0EE07876" w14:textId="77777777" w:rsidR="001A5CA6" w:rsidRDefault="00000000">
      <w:r>
        <w:t>Contabilidad valida el comprobante y Cuentas por cobrar lo remite al destinatario. Registra fecha de emisión, vencimiento y requisitos especiales del portal del cliente.</w:t>
      </w:r>
    </w:p>
    <w:p w14:paraId="5479F5D9" w14:textId="77777777" w:rsidR="001A5CA6" w:rsidRDefault="00000000">
      <w:pPr>
        <w:pStyle w:val="Ttulo2"/>
      </w:pPr>
      <w:r>
        <w:t>Paso 3 Monitorear y gestionar</w:t>
      </w:r>
    </w:p>
    <w:p w14:paraId="65D95B66" w14:textId="77777777" w:rsidR="001A5CA6" w:rsidRDefault="00000000">
      <w:r>
        <w:t>La cartera se revisa semanalmente por vencimiento y riesgo. Se registran promesas de pago, disputas y siguiente acción con una persona responsable.</w:t>
      </w:r>
    </w:p>
    <w:p w14:paraId="5E944287" w14:textId="77777777" w:rsidR="001A5CA6" w:rsidRDefault="00000000">
      <w:pPr>
        <w:pStyle w:val="Ttulo2"/>
      </w:pPr>
      <w:r>
        <w:t>Paso 4 Aplicar y conciliar</w:t>
      </w:r>
    </w:p>
    <w:p w14:paraId="78C91326" w14:textId="77777777" w:rsidR="001A5CA6" w:rsidRDefault="00000000">
      <w:r>
        <w:t>Finanzas identifica el ingreso en banco, aplica el importe a las facturas correctas y comunica diferencias. Contabilidad realiza los documentos fiscales posteriores que correspondan.</w:t>
      </w:r>
    </w:p>
    <w:p w14:paraId="54F09E67" w14:textId="77777777" w:rsidR="001A5CA6" w:rsidRDefault="00000000">
      <w:pPr>
        <w:pStyle w:val="Ttulo2"/>
      </w:pPr>
      <w:r>
        <w:t>Paso 5 Cerrar o escalar</w:t>
      </w:r>
    </w:p>
    <w:p w14:paraId="2DF9AA2A" w14:textId="77777777" w:rsidR="001A5CA6" w:rsidRDefault="00000000">
      <w:r>
        <w:t>Se confirma saldo cero o convenio vigente. Un incumplimiento del convenio se escala a Finanzas y Legal con contrato, evidencia del servicio y cronología de gestiones.</w:t>
      </w:r>
    </w:p>
    <w:p w14:paraId="5E01D171" w14:textId="77777777" w:rsidR="001A5CA6" w:rsidRDefault="00000000">
      <w:pPr>
        <w:pStyle w:val="Ttulo1"/>
      </w:pPr>
      <w:r>
        <w:t>5 Excepciones y escalamiento</w:t>
      </w:r>
    </w:p>
    <w:p w14:paraId="06CCC122" w14:textId="77777777" w:rsidR="001A5CA6" w:rsidRDefault="00000000">
      <w:r>
        <w:t>Una ampliación de plazo requiere análisis de riesgo, flujo de efectivo y capacidad de pago, y autorización de Finanzas y Dirección cuando cambie el compromiso aprobado. El convenio debe indicar saldo reconocido, fechas, efectos del incumplimiento y aceptación del cliente.</w:t>
      </w:r>
    </w:p>
    <w:p w14:paraId="7819EA19" w14:textId="77777777" w:rsidR="001A5CA6" w:rsidRDefault="00000000">
      <w:r>
        <w:t>La solicitud de excepción identificará la regla afectada, el motivo, el impacto, los controles alternos, la persona responsable y la fecha de cierre. El propietario emitirá su recomendación y Dirección General resolverá por escrito antes de ejecutar. Nadie aprobará su propia excepción. No se exceptúan obligaciones legales ni derechos de terceros.</w:t>
      </w:r>
    </w:p>
    <w:p w14:paraId="1536BC7E" w14:textId="77777777" w:rsidR="001A5CA6" w:rsidRDefault="00000000">
      <w:r>
        <w:t>Si la autorización no llega, se mantiene la regla vigente. Ante un incidente se protege primero a las personas y la información, se informa al propietario y se conserva la evidencia; una atención urgente no constituye autorización permanente.</w:t>
      </w:r>
    </w:p>
    <w:p w14:paraId="6FE9E78A" w14:textId="77777777" w:rsidR="001A5CA6" w:rsidRDefault="00000000">
      <w:r>
        <w:br w:type="page"/>
      </w:r>
    </w:p>
    <w:p w14:paraId="7B649B0E" w14:textId="77777777" w:rsidR="001A5CA6" w:rsidRDefault="00000000">
      <w:pPr>
        <w:pStyle w:val="Ttulo1"/>
      </w:pPr>
      <w:r>
        <w:lastRenderedPageBreak/>
        <w:t>6 Controles y evidencias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192"/>
      </w:tblGrid>
      <w:tr w:rsidR="001A5CA6" w14:paraId="693C5298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9D6717" w14:textId="77777777" w:rsidR="001A5CA6" w:rsidRDefault="00000000">
            <w:pPr>
              <w:spacing w:before="40" w:after="40"/>
            </w:pPr>
            <w:r>
              <w:rPr>
                <w:b/>
                <w:sz w:val="19"/>
              </w:rPr>
              <w:t>Control y frecuencia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88B2B2" w14:textId="77777777" w:rsidR="001A5CA6" w:rsidRDefault="00000000">
            <w:pPr>
              <w:spacing w:before="40" w:after="40"/>
            </w:pPr>
            <w:r>
              <w:rPr>
                <w:b/>
                <w:sz w:val="19"/>
              </w:rPr>
              <w:t>Evidencia y responsable</w:t>
            </w:r>
          </w:p>
        </w:tc>
      </w:tr>
      <w:tr w:rsidR="001A5CA6" w14:paraId="29C15629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397BD7" w14:textId="77777777" w:rsidR="001A5CA6" w:rsidRDefault="00000000">
            <w:pPr>
              <w:spacing w:before="40" w:after="40"/>
            </w:pPr>
            <w:r>
              <w:rPr>
                <w:sz w:val="19"/>
              </w:rPr>
              <w:t>Semanal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50D328" w14:textId="77777777" w:rsidR="001A5CA6" w:rsidRDefault="00000000">
            <w:pPr>
              <w:spacing w:before="40" w:after="40"/>
            </w:pPr>
            <w:r>
              <w:rPr>
                <w:sz w:val="19"/>
              </w:rPr>
              <w:t>Antigüedad y promesas incumplidas; Cuentas por cobrar.</w:t>
            </w:r>
          </w:p>
        </w:tc>
      </w:tr>
      <w:tr w:rsidR="001A5CA6" w14:paraId="2BCFA10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13384F" w14:textId="77777777" w:rsidR="001A5CA6" w:rsidRDefault="00000000">
            <w:pPr>
              <w:spacing w:before="40" w:after="40"/>
            </w:pPr>
            <w:r>
              <w:rPr>
                <w:sz w:val="19"/>
              </w:rPr>
              <w:t>Mensual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643199" w14:textId="77777777" w:rsidR="001A5CA6" w:rsidRDefault="00000000">
            <w:pPr>
              <w:spacing w:before="40" w:after="40"/>
            </w:pPr>
            <w:r>
              <w:rPr>
                <w:sz w:val="19"/>
              </w:rPr>
              <w:t>Conciliación de banco, cartera y contabilidad; Finanzas.</w:t>
            </w:r>
          </w:p>
        </w:tc>
      </w:tr>
      <w:tr w:rsidR="001A5CA6" w14:paraId="5A8E8DA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60AF41" w14:textId="77777777" w:rsidR="001A5CA6" w:rsidRDefault="00000000">
            <w:pPr>
              <w:spacing w:before="40" w:after="40"/>
            </w:pPr>
            <w:r>
              <w:rPr>
                <w:sz w:val="19"/>
              </w:rPr>
              <w:t>Por ajuste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302F2D" w14:textId="77777777" w:rsidR="001A5CA6" w:rsidRDefault="00000000">
            <w:pPr>
              <w:spacing w:before="40" w:after="40"/>
            </w:pPr>
            <w:r>
              <w:rPr>
                <w:sz w:val="19"/>
              </w:rPr>
              <w:t>Causa, autorización y relación entre comprobantes; Contabilidad.</w:t>
            </w:r>
          </w:p>
        </w:tc>
      </w:tr>
    </w:tbl>
    <w:p w14:paraId="29DD9511" w14:textId="77777777" w:rsidR="001A5CA6" w:rsidRDefault="00000000">
      <w:pPr>
        <w:spacing w:before="140"/>
      </w:pPr>
      <w:r>
        <w:t>El propietario conservará un expediente en el repositorio corporativo con accesos por función, identificación de versión y respaldo. El plazo de conservación se asentará en el registro de retención validado con Legal y Finanzas según la naturaleza del documento. Se suspenderá la eliminación cuando exista una investigación, reclamación o requerimiento.</w:t>
      </w:r>
    </w:p>
    <w:p w14:paraId="34AC6CA4" w14:textId="77777777" w:rsidR="001A5CA6" w:rsidRDefault="00000000">
      <w:pPr>
        <w:pStyle w:val="Ttulo1"/>
      </w:pPr>
      <w:r>
        <w:t>7 Incumplimientos y acciones correctivas</w:t>
      </w:r>
    </w:p>
    <w:p w14:paraId="55D0A3A6" w14:textId="77777777" w:rsidR="001A5CA6" w:rsidRDefault="00000000">
      <w:r>
        <w:t>Toda desviación se reportará al propietario o, si está involucrado, a Dirección General. Se registrarán hechos verificables, impacto y medidas de contención. El responsable podrá aportar su explicación. Recursos Humanos y Legal revisarán cualquier medida laboral conforme a las disposiciones aplicables; no habrá sanciones automáticas ni descuentos salariales por esta política.</w:t>
      </w:r>
    </w:p>
    <w:p w14:paraId="4022E980" w14:textId="77777777" w:rsidR="001A5CA6" w:rsidRDefault="00000000">
      <w:r>
        <w:t>Cada acción correctiva tendrá responsable, fecha y prueba de eficacia. El propietario verificará el resultado antes de cerrar el caso. Se prohíben represalias por reportes de buena fe y la alteración u ocultamiento de registros.</w:t>
      </w:r>
    </w:p>
    <w:p w14:paraId="1664B74F" w14:textId="77777777" w:rsidR="001A5CA6" w:rsidRDefault="00000000">
      <w:pPr>
        <w:pStyle w:val="Ttulo1"/>
      </w:pPr>
      <w:r>
        <w:t>8 Revisión y control de cambios</w:t>
      </w:r>
    </w:p>
    <w:p w14:paraId="30D90314" w14:textId="77777777" w:rsidR="001A5CA6" w:rsidRDefault="00000000">
      <w:r>
        <w:t>El propietario revisará anualmente los indicadores, excepciones y hallazgos, y propondrá cambios cuando varíen los servicios, riesgos o requisitos. Dirección General aprobará la nueva versión; el propietario la comunicará, retirará las copias obsoletas del uso cotidiano y conservará el historial. Versión 1.0 corresponde a la emisión inicial.</w:t>
      </w:r>
    </w:p>
    <w:p w14:paraId="1057E4A5" w14:textId="77777777" w:rsidR="001A5CA6" w:rsidRDefault="00000000">
      <w:pPr>
        <w:pStyle w:val="Ttulo1"/>
      </w:pPr>
      <w:r>
        <w:t>9 Anexo operativo</w:t>
      </w:r>
    </w:p>
    <w:p w14:paraId="16EB4145" w14:textId="77777777" w:rsidR="001A5CA6" w:rsidRDefault="00000000">
      <w:r>
        <w:t>Bitácora de cobranza: cliente, contrato, factura, emisión, vencimiento, saldo, días vencidos, contacto, gestión, disputa, promesa y siguiente acción. El reporte separará saldos vigentes, de 1 a 30, de 31 a 60, de 61 a 90 y de más de 90 días.</w:t>
      </w:r>
    </w:p>
    <w:p w14:paraId="5A33B7CD" w14:textId="77777777" w:rsidR="001A5CA6" w:rsidRDefault="00000000">
      <w:r>
        <w:t>Relación con otras políticas: DL-POL-16 comercial, DL-POL-17 descuentos y DL-POL-20 protección de datos.</w:t>
      </w:r>
    </w:p>
    <w:p w14:paraId="0D1F151C" w14:textId="77777777" w:rsidR="001A5CA6" w:rsidRDefault="00000000">
      <w:r>
        <w:t>Referencia de consulta: SAT, portal oficial de Factura y guías vigentes del CFDI: https://www.sat.gob.mx/minisitio/Factura/default.htm</w:t>
      </w:r>
    </w:p>
    <w:sectPr w:rsidR="001A5CA6" w:rsidSect="00034616">
      <w:headerReference w:type="default" r:id="rId8"/>
      <w:footerReference w:type="default" r:id="rId9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D5198" w14:textId="77777777" w:rsidR="009E70C6" w:rsidRDefault="009E70C6">
      <w:pPr>
        <w:spacing w:after="0" w:line="240" w:lineRule="auto"/>
      </w:pPr>
      <w:r>
        <w:separator/>
      </w:r>
    </w:p>
  </w:endnote>
  <w:endnote w:type="continuationSeparator" w:id="0">
    <w:p w14:paraId="01DF36A5" w14:textId="77777777" w:rsidR="009E70C6" w:rsidRDefault="009E7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E1E35" w14:textId="77777777" w:rsidR="001A5CA6" w:rsidRDefault="00000000">
    <w:pPr>
      <w:pStyle w:val="Piedepgina"/>
      <w:jc w:val="right"/>
    </w:pPr>
    <w:r>
      <w:rPr>
        <w:sz w:val="16"/>
      </w:rPr>
      <w:t xml:space="preserve">Versión 1.0  | 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3EEA4" w14:textId="77777777" w:rsidR="009E70C6" w:rsidRDefault="009E70C6">
      <w:pPr>
        <w:spacing w:after="0" w:line="240" w:lineRule="auto"/>
      </w:pPr>
      <w:r>
        <w:separator/>
      </w:r>
    </w:p>
  </w:footnote>
  <w:footnote w:type="continuationSeparator" w:id="0">
    <w:p w14:paraId="698AF221" w14:textId="77777777" w:rsidR="009E70C6" w:rsidRDefault="009E7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E8637" w14:textId="77777777" w:rsidR="001A5CA6" w:rsidRDefault="00000000">
    <w:r>
      <w:rPr>
        <w:sz w:val="16"/>
      </w:rPr>
      <w:t>DoceoLab  |  DL-POL-06  | 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3234899">
    <w:abstractNumId w:val="8"/>
  </w:num>
  <w:num w:numId="2" w16cid:durableId="1770587179">
    <w:abstractNumId w:val="6"/>
  </w:num>
  <w:num w:numId="3" w16cid:durableId="55016299">
    <w:abstractNumId w:val="5"/>
  </w:num>
  <w:num w:numId="4" w16cid:durableId="1531720162">
    <w:abstractNumId w:val="4"/>
  </w:num>
  <w:num w:numId="5" w16cid:durableId="341666162">
    <w:abstractNumId w:val="7"/>
  </w:num>
  <w:num w:numId="6" w16cid:durableId="862784753">
    <w:abstractNumId w:val="3"/>
  </w:num>
  <w:num w:numId="7" w16cid:durableId="1027373220">
    <w:abstractNumId w:val="2"/>
  </w:num>
  <w:num w:numId="8" w16cid:durableId="574632110">
    <w:abstractNumId w:val="1"/>
  </w:num>
  <w:num w:numId="9" w16cid:durableId="1644845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CA6"/>
    <w:rsid w:val="0029639D"/>
    <w:rsid w:val="00326F90"/>
    <w:rsid w:val="00763E00"/>
    <w:rsid w:val="009E70C6"/>
    <w:rsid w:val="00AA1D8D"/>
    <w:rsid w:val="00B47730"/>
    <w:rsid w:val="00BE6F4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AD1D44"/>
  <w14:defaultImageDpi w14:val="300"/>
  <w15:docId w15:val="{0A59011D-E395-4E82-ADEC-FA0B813E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before="60" w:line="240" w:lineRule="auto"/>
      <w:contextualSpacing/>
    </w:pPr>
    <w:rPr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1256</Words>
  <Characters>6908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facturación y cobranza</dc:title>
  <dc:subject>Políticas internas</dc:subject>
  <dc:creator>DoceoLab</dc:creator>
  <cp:keywords/>
  <dc:description>generated by python-docx</dc:description>
  <cp:lastModifiedBy>Víctor Guerrero</cp:lastModifiedBy>
  <cp:revision>2</cp:revision>
  <dcterms:created xsi:type="dcterms:W3CDTF">2013-12-23T23:15:00Z</dcterms:created>
  <dcterms:modified xsi:type="dcterms:W3CDTF">2026-09-30T14:09:00Z</dcterms:modified>
  <cp:category/>
  <dc:language>es-MX</dc:language>
</cp:coreProperties>
</file>