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Stylo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article</w:t>
      </w:r>
      <w:r>
        <w:t xml:space="preserve"> </w:t>
      </w:r>
      <w:r>
        <w:t xml:space="preserve">type</w:t>
      </w:r>
    </w:p>
    <w:p>
      <w:pPr>
        <w:pStyle w:val="Date"/>
      </w:pPr>
      <w:r>
        <w:t xml:space="preserve">2018/05/29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Stylo est un éditeur de texte scientifique. Pour faire vos premiers pas sur Stylo, commencez par éditer cet article.</w:t>
      </w:r>
    </w:p>
    <w:p>
      <w:pPr>
        <w:pStyle w:val="BodyText"/>
      </w:pPr>
      <w:r>
        <w:t xml:space="preserve">Stylo utilise le format</w:t>
      </w:r>
      <w:r>
        <w:t xml:space="preserve"> </w:t>
      </w:r>
      <w:r>
        <w:rPr>
          <w:iCs/>
          <w:i/>
        </w:rPr>
        <w:t xml:space="preserve">markdown</w:t>
      </w:r>
      <w:r>
        <w:t xml:space="preserve"> </w:t>
      </w:r>
      <w:r>
        <w:t xml:space="preserve">pour baliser et styler le texte. Cet article présente la syntaxe de base du markdown, et une documentation plus complète</w:t>
      </w:r>
      <w:r>
        <w:t xml:space="preserve"> </w:t>
      </w:r>
      <w:hyperlink r:id="rId20">
        <w:r>
          <w:rPr>
            <w:rStyle w:val="Hyperlink"/>
          </w:rPr>
          <w:t xml:space="preserve">est accessible ici</w:t>
        </w:r>
      </w:hyperlink>
      <w:r>
        <w:t xml:space="preserve">.</w:t>
      </w:r>
    </w:p>
    <w:p>
      <w:pPr>
        <w:pStyle w:val="BodyText"/>
      </w:pPr>
      <w:r>
        <w:t xml:space="preserve">Vous pouvez visualiser l’article à tout moment en cliquant sur le bouton</w:t>
      </w:r>
      <w:r>
        <w:t xml:space="preserve"> </w:t>
      </w:r>
      <w:r>
        <w:rPr>
          <w:bCs/>
          <w:b/>
        </w:rPr>
        <w:t xml:space="preserve">Preview</w:t>
      </w:r>
      <w:r>
        <w:t xml:space="preserve"> </w:t>
      </w:r>
      <w:r>
        <w:t xml:space="preserve">dans le menu de gauche.</w:t>
      </w:r>
    </w:p>
    <w:bookmarkEnd w:id="21"/>
    <w:bookmarkStart w:id="23" w:name="les-titres"/>
    <w:p>
      <w:pPr>
        <w:pStyle w:val="Heading2"/>
      </w:pPr>
      <w:r>
        <w:t xml:space="preserve">Les titres</w:t>
      </w:r>
    </w:p>
    <w:p>
      <w:pPr>
        <w:pStyle w:val="FirstParagraph"/>
      </w:pPr>
      <w:r>
        <w:t xml:space="preserve">Les titres de niveaux 2 doivent être balisés avec 2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(</w:t>
      </w:r>
      <w:r>
        <w:rPr>
          <w:rStyle w:val="VerbatimChar"/>
        </w:rPr>
        <w:t xml:space="preserve">##</w:t>
      </w:r>
      <w:r>
        <w:t xml:space="preserve">) et non un seul, car le titre de niveau 1 correspond au titre de l’article, déclaré dans les métadonnées.</w:t>
      </w:r>
    </w:p>
    <w:bookmarkStart w:id="22" w:name="titres-de-niveau-3"/>
    <w:p>
      <w:pPr>
        <w:pStyle w:val="Heading3"/>
      </w:pPr>
      <w:r>
        <w:t xml:space="preserve">Titres de niveau 3</w:t>
      </w:r>
    </w:p>
    <w:p>
      <w:pPr>
        <w:pStyle w:val="FirstParagraph"/>
      </w:pPr>
      <w:r>
        <w:t xml:space="preserve">Les titres de niveaux 3 doivent être balisés avec 3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et ainsi de suite.</w:t>
      </w:r>
    </w:p>
    <w:p>
      <w:pPr>
        <w:pStyle w:val="BodyText"/>
      </w:pPr>
      <w:r>
        <w:t xml:space="preserve">Un saut de ligne correspond au début d’un nouveau paragraphe.</w:t>
      </w:r>
    </w:p>
    <w:bookmarkEnd w:id="22"/>
    <w:bookmarkEnd w:id="23"/>
    <w:bookmarkStart w:id="28" w:name="syntaxe-minimale"/>
    <w:p>
      <w:pPr>
        <w:pStyle w:val="Heading2"/>
      </w:pPr>
      <w:r>
        <w:t xml:space="preserve">Syntaxe minimale</w:t>
      </w:r>
    </w:p>
    <w:bookmarkStart w:id="24" w:name="gras-et-italique"/>
    <w:p>
      <w:pPr>
        <w:pStyle w:val="Heading3"/>
      </w:pPr>
      <w:r>
        <w:t xml:space="preserve">Gras et italique</w:t>
      </w:r>
    </w:p>
    <w:p>
      <w:pPr>
        <w:pStyle w:val="FirstParagraph"/>
      </w:pPr>
      <w:r>
        <w:t xml:space="preserve">Voici du texte en</w:t>
      </w:r>
      <w:r>
        <w:t xml:space="preserve"> </w:t>
      </w:r>
      <w:r>
        <w:rPr>
          <w:iCs/>
          <w:i/>
        </w:rPr>
        <w:t xml:space="preserve">italique</w:t>
      </w:r>
      <w:r>
        <w:t xml:space="preserve">. Voici du texte en</w:t>
      </w:r>
      <w:r>
        <w:t xml:space="preserve"> </w:t>
      </w:r>
      <w:r>
        <w:rPr>
          <w:bCs/>
          <w:b/>
        </w:rPr>
        <w:t xml:space="preserve">gras</w:t>
      </w:r>
      <w:r>
        <w:t xml:space="preserve">.</w:t>
      </w:r>
    </w:p>
    <w:bookmarkEnd w:id="24"/>
    <w:bookmarkStart w:id="25" w:name="commentaire"/>
    <w:p>
      <w:pPr>
        <w:pStyle w:val="Heading3"/>
      </w:pPr>
      <w:r>
        <w:t xml:space="preserve">Commentaire</w:t>
      </w:r>
    </w:p>
    <w:p>
      <w:pPr>
        <w:pStyle w:val="FirstParagraph"/>
      </w:pPr>
      <w:r>
        <w:t xml:space="preserve">La ligne ci-dessous n’apparaitra pas dans le document final.</w:t>
      </w:r>
    </w:p>
    <w:bookmarkEnd w:id="25"/>
    <w:bookmarkStart w:id="26" w:name="images"/>
    <w:p>
      <w:pPr>
        <w:pStyle w:val="Heading3"/>
      </w:pPr>
      <w:r>
        <w:t xml:space="preserve">Images</w:t>
      </w:r>
    </w:p>
    <w:p>
      <w:pPr>
        <w:pStyle w:val="FirstParagraph"/>
      </w:pPr>
      <w:r>
        <w:t xml:space="preserve">On peut insérer des images:</w:t>
      </w:r>
    </w:p>
    <w:p>
      <w:pPr>
        <w:pStyle w:val="CaptionedFigure"/>
      </w:pPr>
      <w:r>
        <w:t xml:space="preserve">Titre de mon image</w:t>
      </w:r>
    </w:p>
    <w:p>
      <w:pPr>
        <w:pStyle w:val="ImageCaption"/>
      </w:pPr>
      <w:r>
        <w:t xml:space="preserve">Titre de mon image</w:t>
      </w:r>
    </w:p>
    <w:p>
      <w:pPr>
        <w:pStyle w:val="BodyText"/>
      </w:pPr>
      <w:r>
        <w:t xml:space="preserve">Notez que le «Titre de mon image» sera pris en compte comme légende de l’image dans l’article.</w:t>
      </w:r>
    </w:p>
    <w:bookmarkEnd w:id="26"/>
    <w:bookmarkStart w:id="27" w:name="listes"/>
    <w:p>
      <w:pPr>
        <w:pStyle w:val="Heading3"/>
      </w:pPr>
      <w:r>
        <w:t xml:space="preserve">Listes</w:t>
      </w:r>
    </w:p>
    <w:p>
      <w:pPr>
        <w:pStyle w:val="FirstParagraph"/>
      </w:pPr>
      <w:r>
        <w:t xml:space="preserve">Les listes non numérotées:</w:t>
      </w:r>
    </w:p>
    <w:p>
      <w:pPr>
        <w:numPr>
          <w:ilvl w:val="0"/>
          <w:numId w:val="1001"/>
        </w:numPr>
        <w:pStyle w:val="Compact"/>
      </w:pPr>
      <w:r>
        <w:t xml:space="preserve">item</w:t>
      </w:r>
    </w:p>
    <w:p>
      <w:pPr>
        <w:numPr>
          <w:ilvl w:val="0"/>
          <w:numId w:val="1001"/>
        </w:numPr>
        <w:pStyle w:val="Compact"/>
      </w:pPr>
      <w:r>
        <w:t xml:space="preserve">item</w:t>
      </w:r>
    </w:p>
    <w:p>
      <w:pPr>
        <w:numPr>
          <w:ilvl w:val="0"/>
          <w:numId w:val="1001"/>
        </w:numPr>
        <w:pStyle w:val="Compact"/>
      </w:pPr>
      <w:r>
        <w:t xml:space="preserve">item</w:t>
      </w:r>
    </w:p>
    <w:p>
      <w:pPr>
        <w:pStyle w:val="FirstParagraph"/>
      </w:pPr>
      <w:r>
        <w:t xml:space="preserve">Les listes numérotées:</w:t>
      </w:r>
    </w:p>
    <w:p>
      <w:pPr>
        <w:numPr>
          <w:ilvl w:val="0"/>
          <w:numId w:val="1002"/>
        </w:numPr>
        <w:pStyle w:val="Compact"/>
      </w:pPr>
      <w:r>
        <w:t xml:space="preserve">item</w:t>
      </w:r>
    </w:p>
    <w:p>
      <w:pPr>
        <w:numPr>
          <w:ilvl w:val="0"/>
          <w:numId w:val="1002"/>
        </w:numPr>
        <w:pStyle w:val="Compact"/>
      </w:pPr>
      <w:r>
        <w:t xml:space="preserve">item</w:t>
      </w:r>
    </w:p>
    <w:p>
      <w:pPr>
        <w:numPr>
          <w:ilvl w:val="0"/>
          <w:numId w:val="1002"/>
        </w:numPr>
        <w:pStyle w:val="Compact"/>
      </w:pPr>
      <w:r>
        <w:t xml:space="preserve">item</w:t>
      </w:r>
    </w:p>
    <w:p>
      <w:pPr>
        <w:pStyle w:val="FirstParagraph"/>
      </w:pPr>
      <w:r>
        <w:t xml:space="preserve">L’ordre des chiffres n’est pas important:</w:t>
      </w:r>
    </w:p>
    <w:p>
      <w:pPr>
        <w:numPr>
          <w:ilvl w:val="0"/>
          <w:numId w:val="1003"/>
        </w:numPr>
        <w:pStyle w:val="Compact"/>
      </w:pPr>
      <w:r>
        <w:t xml:space="preserve">item</w:t>
      </w:r>
    </w:p>
    <w:p>
      <w:pPr>
        <w:numPr>
          <w:ilvl w:val="0"/>
          <w:numId w:val="1003"/>
        </w:numPr>
        <w:pStyle w:val="Compact"/>
      </w:pPr>
      <w:r>
        <w:t xml:space="preserve">item</w:t>
      </w:r>
    </w:p>
    <w:p>
      <w:pPr>
        <w:numPr>
          <w:ilvl w:val="0"/>
          <w:numId w:val="1003"/>
        </w:numPr>
        <w:pStyle w:val="Compact"/>
      </w:pPr>
      <w:r>
        <w:t xml:space="preserve">item</w:t>
      </w:r>
    </w:p>
    <w:p>
      <w:pPr>
        <w:numPr>
          <w:ilvl w:val="0"/>
          <w:numId w:val="1003"/>
        </w:numPr>
        <w:pStyle w:val="Compact"/>
      </w:pPr>
      <w:r>
        <w:t xml:space="preserve">item</w:t>
      </w:r>
    </w:p>
    <w:p>
      <w:pPr>
        <w:pStyle w:val="FirstParagraph"/>
      </w:pPr>
      <w:r>
        <w:t xml:space="preserve">Cette liste sera automatiquement ordonnée de 1 à 4.</w:t>
      </w:r>
    </w:p>
    <w:bookmarkEnd w:id="27"/>
    <w:bookmarkEnd w:id="28"/>
    <w:bookmarkStart w:id="38" w:name="appareil-critique"/>
    <w:p>
      <w:pPr>
        <w:pStyle w:val="Heading2"/>
      </w:pPr>
      <w:r>
        <w:t xml:space="preserve">Appareil critique</w:t>
      </w:r>
    </w:p>
    <w:bookmarkStart w:id="34" w:name="notes-de-bas-de-page"/>
    <w:p>
      <w:pPr>
        <w:pStyle w:val="Heading3"/>
      </w:pPr>
      <w:r>
        <w:t xml:space="preserve">Notes de bas de page</w:t>
      </w:r>
    </w:p>
    <w:p>
      <w:pPr>
        <w:pStyle w:val="FirstParagraph"/>
      </w:pPr>
      <w:r>
        <w:t xml:space="preserve">Un appel de note de bas de page se fait ainsi</w:t>
      </w:r>
      <w:r>
        <w:rPr>
          <w:rStyle w:val="FootnoteReference"/>
        </w:rPr>
        <w:footnoteReference w:id="29"/>
      </w:r>
      <w:r>
        <w:t xml:space="preserve">. Par ailleurs, la note peut être déclarée n’importe où dans le document</w:t>
      </w:r>
      <w:r>
        <w:rPr>
          <w:rStyle w:val="FootnoteReference"/>
        </w:rPr>
        <w:footnoteReference w:id="30"/>
      </w:r>
      <w:r>
        <w:t xml:space="preserve">, en fin de document ou juste en dessous par exemple</w:t>
      </w:r>
      <w:r>
        <w:rPr>
          <w:rStyle w:val="FootnoteReference"/>
        </w:rPr>
        <w:footnoteReference w:id="31"/>
      </w:r>
      <w:r>
        <w:t xml:space="preserve">.</w:t>
      </w:r>
    </w:p>
    <w:p>
      <w:pPr>
        <w:pStyle w:val="BodyText"/>
      </w:pPr>
      <w:r>
        <w:t xml:space="preserve">Le label de la note peut être ce que vous voulez : il peut être indifféremment un chiffre ou une suite de caractères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BodyText"/>
      </w:pPr>
      <w:r>
        <w:t xml:space="preserve">Une note de bas de page peut aussi être écrite dans le corps du texte, en sortant l’accent circonflexe des crochets</w:t>
      </w:r>
      <w:r>
        <w:rPr>
          <w:rStyle w:val="FootnoteReference"/>
        </w:rPr>
        <w:footnoteReference w:id="33"/>
      </w:r>
      <w:r>
        <w:t xml:space="preserve">.</w:t>
      </w:r>
    </w:p>
    <w:bookmarkEnd w:id="34"/>
    <w:bookmarkStart w:id="36" w:name="les-références"/>
    <w:p>
      <w:pPr>
        <w:pStyle w:val="Heading3"/>
      </w:pPr>
      <w:r>
        <w:t xml:space="preserve">Les références</w:t>
      </w:r>
    </w:p>
    <w:p>
      <w:pPr>
        <w:pStyle w:val="FirstParagraph"/>
      </w:pPr>
      <w:r>
        <w:t xml:space="preserve">Un article scientifique utilise des références. Vous pouvez soit importer un fichier</w:t>
      </w:r>
      <w:r>
        <w:t xml:space="preserve"> </w:t>
      </w:r>
      <w:hyperlink r:id="rId35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généré par votre logiciel de gestion bibliographique (conseillé), ou bien créer manuellement les références au format bibtex.</w:t>
      </w:r>
    </w:p>
    <w:p>
      <w:pPr>
        <w:pStyle w:val="BodyText"/>
      </w:pPr>
      <w:r>
        <w:t xml:space="preserve">Les références sont ensuite insérées dans le texte grâce à leur</w:t>
      </w:r>
      <w:r>
        <w:t xml:space="preserve"> </w:t>
      </w:r>
      <w:r>
        <w:rPr>
          <w:iCs/>
          <w:i/>
        </w:rPr>
        <w:t xml:space="preserve">clé bibtex</w:t>
      </w:r>
      <w:r>
        <w:t xml:space="preserve">. Pour récupérer la clé bibtex d’une référence, il suffit de cliquer sur la référence souhaitée dans la liste des référence ci-contre. La clé est alors ajouté à votre presse-papier, il suffit ensuite de la coller dans le texte</w:t>
      </w:r>
      <w:r>
        <w:t xml:space="preserve"> </w:t>
      </w:r>
      <w:r>
        <w:t xml:space="preserve">(</w:t>
      </w:r>
      <w:hyperlink w:anchor="ref-goody_raison_1979">
        <w:r>
          <w:rPr>
            <w:rStyle w:val="Hyperlink"/>
          </w:rPr>
          <w:t xml:space="preserve">Goody 1979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Pour résumer :</w:t>
      </w:r>
    </w:p>
    <w:p>
      <w:pPr>
        <w:numPr>
          <w:ilvl w:val="0"/>
          <w:numId w:val="1004"/>
        </w:numPr>
        <w:pStyle w:val="Compact"/>
      </w:pPr>
      <w:r>
        <w:t xml:space="preserve">clic sur la référence: copier la clé</w:t>
      </w:r>
    </w:p>
    <w:p>
      <w:pPr>
        <w:numPr>
          <w:ilvl w:val="0"/>
          <w:numId w:val="1004"/>
        </w:numPr>
        <w:pStyle w:val="Compact"/>
      </w:pPr>
      <w:r>
        <w:t xml:space="preserve">coller ou CTRL+V : colle la clé dans le texte où est positionné le curseur</w:t>
      </w:r>
      <w:r>
        <w:t xml:space="preserve"> </w:t>
      </w:r>
      <w:r>
        <w:t xml:space="preserve">(</w:t>
      </w:r>
      <w:hyperlink w:anchor="ref-goody_raison_1979">
        <w:r>
          <w:rPr>
            <w:rStyle w:val="Hyperlink"/>
          </w:rPr>
          <w:t xml:space="preserve">Goody 1979</w:t>
        </w:r>
      </w:hyperlink>
      <w:r>
        <w:t xml:space="preserve">)</w:t>
      </w:r>
      <w:r>
        <w:t xml:space="preserve">.</w:t>
      </w:r>
    </w:p>
    <w:p>
      <w:pPr>
        <w:pStyle w:val="FirstParagraph"/>
      </w:pPr>
      <w:r>
        <w:t xml:space="preserve">Il est également possible d’ajouter une référence ainsi : « Comme le dit</w:t>
      </w:r>
      <w:r>
        <w:t xml:space="preserve"> </w:t>
      </w:r>
      <w:r>
        <w:t xml:space="preserve">Goody (</w:t>
      </w:r>
      <w:hyperlink w:anchor="ref-goody_raison_1979">
        <w:r>
          <w:rPr>
            <w:rStyle w:val="Hyperlink"/>
          </w:rPr>
          <w:t xml:space="preserve">1979</w:t>
        </w:r>
      </w:hyperlink>
      <w:r>
        <w:t xml:space="preserve">)</w:t>
      </w:r>
      <w:r>
        <w:t xml:space="preserve">, le geste … »</w:t>
      </w:r>
    </w:p>
    <w:p>
      <w:pPr>
        <w:pStyle w:val="BodyText"/>
      </w:pPr>
      <w:r>
        <w:t xml:space="preserve">La clé peut aussi être accompagnée de précision comme ici</w:t>
      </w:r>
      <w:r>
        <w:t xml:space="preserve"> </w:t>
      </w:r>
      <w:r>
        <w:t xml:space="preserve">(</w:t>
      </w:r>
      <w:hyperlink w:anchor="ref-goody_raison_1979">
        <w:r>
          <w:rPr>
            <w:rStyle w:val="Hyperlink"/>
          </w:rPr>
          <w:t xml:space="preserve">Goody 1979, pp.115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Les références citées se retrouveront ensuite à la fin du texte dans la section</w:t>
      </w:r>
      <w:r>
        <w:t xml:space="preserve"> </w:t>
      </w:r>
      <w:r>
        <w:rPr>
          <w:rStyle w:val="VerbatimChar"/>
        </w:rPr>
        <w:t xml:space="preserve">## Bibliographie</w:t>
      </w:r>
    </w:p>
    <w:bookmarkEnd w:id="36"/>
    <w:bookmarkStart w:id="37" w:name="les-citations"/>
    <w:p>
      <w:pPr>
        <w:pStyle w:val="Heading3"/>
      </w:pPr>
      <w:r>
        <w:t xml:space="preserve">Les citations</w:t>
      </w:r>
    </w:p>
    <w:p>
      <w:pPr>
        <w:pStyle w:val="FirstParagraph"/>
      </w:pPr>
      <w:r>
        <w:t xml:space="preserve">Une citation dans le corps du texte est indiquée par guillemets « Stat rosa pristina nomine, nomina nuda tenemus ». Une citation plus longue peut être indiquée ainsi :</w:t>
      </w:r>
    </w:p>
    <w:p>
      <w:pPr>
        <w:pStyle w:val="BlockText"/>
      </w:pPr>
      <w:r>
        <w:t xml:space="preserve">Stat rosa pristina nomine, nomina nuda tenemus.</w:t>
      </w:r>
    </w:p>
    <w:p>
      <w:pPr>
        <w:pStyle w:val="BlockText"/>
      </w:pPr>
      <w:r>
        <w:t xml:space="preserve">la citation se poursuit avec un second paragraphe.</w:t>
      </w:r>
    </w:p>
    <w:bookmarkEnd w:id="37"/>
    <w:bookmarkEnd w:id="38"/>
    <w:bookmarkStart w:id="43" w:name="versions-et-export"/>
    <w:p>
      <w:pPr>
        <w:pStyle w:val="Heading2"/>
      </w:pPr>
      <w:r>
        <w:t xml:space="preserve">Versions et export</w:t>
      </w:r>
    </w:p>
    <w:bookmarkStart w:id="40" w:name="métadonnées"/>
    <w:p>
      <w:pPr>
        <w:pStyle w:val="Heading3"/>
      </w:pPr>
      <w:r>
        <w:t xml:space="preserve">Métadonnées</w:t>
      </w:r>
    </w:p>
    <w:p>
      <w:pPr>
        <w:pStyle w:val="FirstParagraph"/>
      </w:pPr>
      <w:r>
        <w:t xml:space="preserve">Les métadonnées de l’article s’éditent dans le menu en haut à droite. Vous pouvez y indiquer le titre, sous-titre, le nom de l’auteur et son identifiant de l’Orcid</w:t>
      </w:r>
      <w:r>
        <w:rPr>
          <w:rStyle w:val="FootnoteReference"/>
        </w:rPr>
        <w:footnoteReference w:id="39"/>
      </w:r>
      <w:r>
        <w:t xml:space="preserve">, le résumé et les mot-clés de l’article. Pour les éditeurs de revue, une série plus complète de métadonnées est également disponible.</w:t>
      </w:r>
    </w:p>
    <w:bookmarkEnd w:id="40"/>
    <w:bookmarkStart w:id="41" w:name="preview-et-annotation"/>
    <w:p>
      <w:pPr>
        <w:pStyle w:val="Heading3"/>
      </w:pPr>
      <w:r>
        <w:t xml:space="preserve">Preview et annotation</w:t>
      </w:r>
    </w:p>
    <w:p>
      <w:pPr>
        <w:pStyle w:val="FirstParagraph"/>
      </w:pPr>
      <w:r>
        <w:t xml:space="preserve">Chaque version de votre texte peut être prévisualisée et annotée avec l’outil d’annotation Hypothes.is. Pour accéder à la preview, cliquez sur le bouton</w:t>
      </w:r>
      <w:r>
        <w:t xml:space="preserve"> </w:t>
      </w:r>
      <w:r>
        <w:rPr>
          <w:bCs/>
          <w:b/>
        </w:rPr>
        <w:t xml:space="preserve">Preview</w:t>
      </w:r>
      <w:r>
        <w:t xml:space="preserve">. Pour accéder à la version html annotable, cliquez sur le bouton</w:t>
      </w:r>
      <w:r>
        <w:t xml:space="preserve"> </w:t>
      </w:r>
      <w:r>
        <w:rPr>
          <w:bCs/>
          <w:b/>
        </w:rPr>
        <w:t xml:space="preserve">Anotate</w:t>
      </w:r>
      <w:r>
        <w:t xml:space="preserve">. Vous pouvez alors partager ces urls de preview et d’annotation. Chaque url est relative à la version du document.</w:t>
      </w:r>
    </w:p>
    <w:bookmarkEnd w:id="41"/>
    <w:bookmarkStart w:id="42" w:name="export"/>
    <w:p>
      <w:pPr>
        <w:pStyle w:val="Heading3"/>
      </w:pPr>
      <w:r>
        <w:t xml:space="preserve">Export</w:t>
      </w:r>
    </w:p>
    <w:p>
      <w:pPr>
        <w:pStyle w:val="FirstParagraph"/>
      </w:pPr>
      <w:r>
        <w:t xml:space="preserve">Plusieurs types d’exports sont disponibles :</w:t>
      </w:r>
    </w:p>
    <w:p>
      <w:pPr>
        <w:numPr>
          <w:ilvl w:val="0"/>
          <w:numId w:val="1005"/>
        </w:numPr>
        <w:pStyle w:val="Compact"/>
      </w:pPr>
      <w:r>
        <w:t xml:space="preserve">XML Erudit : exporte un fichier xml compatible avec le schéma Erudit</w:t>
      </w:r>
    </w:p>
    <w:p>
      <w:pPr>
        <w:numPr>
          <w:ilvl w:val="0"/>
          <w:numId w:val="1005"/>
        </w:numPr>
        <w:pStyle w:val="Compact"/>
      </w:pPr>
      <w:r>
        <w:t xml:space="preserve">Zip : comprend les trois sources de l’article : yaml (métadonnées), bibtex (bibliographie), md (corps de texte)</w:t>
      </w:r>
    </w:p>
    <w:p>
      <w:pPr>
        <w:numPr>
          <w:ilvl w:val="0"/>
          <w:numId w:val="1005"/>
        </w:numPr>
        <w:pStyle w:val="Compact"/>
      </w:pPr>
      <w:r>
        <w:t xml:space="preserve">…</w:t>
      </w:r>
    </w:p>
    <w:bookmarkEnd w:id="42"/>
    <w:bookmarkEnd w:id="43"/>
    <w:bookmarkStart w:id="46" w:name="annotations-sémantiques"/>
    <w:p>
      <w:pPr>
        <w:pStyle w:val="Heading2"/>
      </w:pPr>
      <w:r>
        <w:t xml:space="preserve">Annotations sémantiques</w:t>
      </w:r>
    </w:p>
    <w:p>
      <w:pPr>
        <w:pStyle w:val="FirstParagraph"/>
      </w:pPr>
      <w:r>
        <w:t xml:space="preserve">Il est possible de structurer sémantiquement votre texte avec des simples balises.</w:t>
      </w:r>
    </w:p>
    <w:p>
      <w:pPr>
        <w:pStyle w:val="BodyText"/>
      </w:pPr>
      <w:r>
        <w:t xml:space="preserve">Il y a deux types d’annotation sémantiques:</w:t>
      </w:r>
    </w:p>
    <w:p>
      <w:pPr>
        <w:numPr>
          <w:ilvl w:val="0"/>
          <w:numId w:val="1006"/>
        </w:numPr>
        <w:pStyle w:val="Compact"/>
      </w:pPr>
      <w:r>
        <w:t xml:space="preserve">Des annotations qui concernent un ou plusieurs mots dans le même paragraphe</w:t>
      </w:r>
    </w:p>
    <w:p>
      <w:pPr>
        <w:numPr>
          <w:ilvl w:val="0"/>
          <w:numId w:val="1006"/>
        </w:numPr>
        <w:pStyle w:val="Compact"/>
      </w:pPr>
      <w:r>
        <w:t xml:space="preserve">Des annotations qui concernent plusieurs paragraphes</w:t>
      </w:r>
    </w:p>
    <w:bookmarkStart w:id="44" w:name="annotation-dans-un-paragraphe"/>
    <w:p>
      <w:pPr>
        <w:pStyle w:val="Heading3"/>
      </w:pPr>
      <w:r>
        <w:t xml:space="preserve">Annotation dans un paragraphe</w:t>
      </w:r>
    </w:p>
    <w:p>
      <w:pPr>
        <w:pStyle w:val="FirstParagraph"/>
      </w:pPr>
      <w:r>
        <w:t xml:space="preserve">La syntaxe:</w:t>
      </w:r>
    </w:p>
    <w:p>
      <w:pPr>
        <w:pStyle w:val="BodyText"/>
      </w:pPr>
      <w:r>
        <w:t xml:space="preserve">Voici la thèse de l’article</w:t>
      </w:r>
    </w:p>
    <w:p>
      <w:pPr>
        <w:pStyle w:val="BodyText"/>
      </w:pPr>
      <w:r>
        <w:t xml:space="preserve">Produira en HTML:</w:t>
      </w:r>
    </w:p>
    <w:p>
      <w:pPr>
        <w:pStyle w:val="BodyText"/>
      </w:pPr>
      <w:r>
        <w:t xml:space="preserve">Voici la thèse de l’article</w:t>
      </w:r>
    </w:p>
    <w:p>
      <w:pPr>
        <w:pStyle w:val="BodyText"/>
      </w:pPr>
      <w:r>
        <w:t xml:space="preserve">Dans la preview vous pouvez visualiser les classes:</w:t>
      </w:r>
    </w:p>
    <w:p>
      <w:pPr>
        <w:numPr>
          <w:ilvl w:val="0"/>
          <w:numId w:val="1007"/>
        </w:numPr>
        <w:pStyle w:val="Compact"/>
      </w:pPr>
      <w:r>
        <w:t xml:space="preserve">these</w:t>
      </w:r>
    </w:p>
    <w:p>
      <w:pPr>
        <w:numPr>
          <w:ilvl w:val="0"/>
          <w:numId w:val="1007"/>
        </w:numPr>
        <w:pStyle w:val="Compact"/>
      </w:pPr>
      <w:r>
        <w:t xml:space="preserve">definition</w:t>
      </w:r>
    </w:p>
    <w:p>
      <w:pPr>
        <w:numPr>
          <w:ilvl w:val="0"/>
          <w:numId w:val="1007"/>
        </w:numPr>
        <w:pStyle w:val="Compact"/>
      </w:pPr>
      <w:r>
        <w:t xml:space="preserve">exemple</w:t>
      </w:r>
    </w:p>
    <w:p>
      <w:pPr>
        <w:numPr>
          <w:ilvl w:val="0"/>
          <w:numId w:val="1007"/>
        </w:numPr>
        <w:pStyle w:val="Compact"/>
      </w:pPr>
      <w:r>
        <w:t xml:space="preserve">concept</w:t>
      </w:r>
    </w:p>
    <w:p>
      <w:pPr>
        <w:numPr>
          <w:ilvl w:val="0"/>
          <w:numId w:val="1007"/>
        </w:numPr>
        <w:pStyle w:val="Compact"/>
      </w:pPr>
      <w:r>
        <w:t xml:space="preserve">epigraphe</w:t>
      </w:r>
    </w:p>
    <w:p>
      <w:pPr>
        <w:numPr>
          <w:ilvl w:val="0"/>
          <w:numId w:val="1007"/>
        </w:numPr>
        <w:pStyle w:val="Compact"/>
      </w:pPr>
      <w:r>
        <w:t xml:space="preserve">dedicace</w:t>
      </w:r>
    </w:p>
    <w:p>
      <w:pPr>
        <w:numPr>
          <w:ilvl w:val="0"/>
          <w:numId w:val="1007"/>
        </w:numPr>
        <w:pStyle w:val="Compact"/>
      </w:pPr>
      <w:r>
        <w:t xml:space="preserve">note</w:t>
      </w:r>
    </w:p>
    <w:bookmarkEnd w:id="44"/>
    <w:bookmarkStart w:id="45" w:name="annotation-de-plusieurs-paragraphes"/>
    <w:p>
      <w:pPr>
        <w:pStyle w:val="Heading3"/>
      </w:pPr>
      <w:r>
        <w:t xml:space="preserve">Annotation de plusieurs paragraphes</w:t>
      </w:r>
    </w:p>
    <w:p>
      <w:pPr>
        <w:pStyle w:val="FirstParagraph"/>
      </w:pPr>
      <w:r>
        <w:t xml:space="preserve">La syntaxe:</w:t>
      </w:r>
    </w:p>
    <w:p>
      <w:pPr>
        <w:pStyle w:val="BodyText"/>
      </w:pPr>
      <w:r>
        <w:t xml:space="preserve">Ici un paragraphe.</w:t>
      </w:r>
    </w:p>
    <w:p>
      <w:pPr>
        <w:pStyle w:val="BodyText"/>
      </w:pPr>
      <w:r>
        <w:t xml:space="preserve">Ici un autre paragraphe.</w:t>
      </w:r>
    </w:p>
    <w:p>
      <w:pPr>
        <w:pStyle w:val="BodyText"/>
      </w:pPr>
      <w:r>
        <w:t xml:space="preserve">Produira en HTML:</w:t>
      </w:r>
    </w:p>
    <w:p>
      <w:pPr>
        <w:pStyle w:val="SourceCode"/>
      </w:pPr>
      <w:r>
        <w:br/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"maclasse"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Ici un paragraphe.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Ici un autre paragraphe.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Pour plus d’informations, consultez la documentation.</w:t>
      </w:r>
    </w:p>
    <w:bookmarkEnd w:id="45"/>
    <w:bookmarkEnd w:id="46"/>
    <w:bookmarkStart w:id="49" w:name="bibliographie"/>
    <w:p>
      <w:pPr>
        <w:pStyle w:val="Heading2"/>
      </w:pPr>
      <w:r>
        <w:t xml:space="preserve">Bibliographie</w:t>
      </w:r>
    </w:p>
    <w:bookmarkStart w:id="48" w:name="refs"/>
    <w:bookmarkStart w:id="47" w:name="ref-goody_raison_1979"/>
    <w:p>
      <w:pPr>
        <w:pStyle w:val="Bibliography"/>
      </w:pPr>
      <w:r>
        <w:t xml:space="preserve">Goody, Jack. 1979.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Raison</w:t>
      </w:r>
      <w:r>
        <w:rPr>
          <w:iCs/>
          <w:i/>
        </w:rPr>
        <w:t xml:space="preserve"> </w:t>
      </w:r>
      <w:r>
        <w:rPr>
          <w:iCs/>
          <w:i/>
        </w:rPr>
        <w:t xml:space="preserve">graphique.</w:t>
      </w:r>
      <w:r>
        <w:rPr>
          <w:iCs/>
          <w:i/>
        </w:rP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domestication de la pensée sauvage.</w:t>
      </w:r>
      <w:r>
        <w:t xml:space="preserve"> Le sens commun. Les Editions de Minuit.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note se trouve ensuite à la fin du texte.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Voici une note déclarée en fin de document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Une note déclarée</w:t>
      </w:r>
      <w:r>
        <w:t xml:space="preserve"> </w:t>
      </w:r>
      <w:r>
        <w:t xml:space="preserve">“</w:t>
      </w:r>
      <w:r>
        <w:t xml:space="preserve">n’importe où</w:t>
      </w:r>
      <w:r>
        <w:t xml:space="preserve">”</w:t>
      </w:r>
      <w:r>
        <w:t xml:space="preserve">, ici, juste en dessous du paragraphe correspondant.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Voici une note avec un label textuel.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Ceci est une note de bas de page inline. Elle peut être aussi longue que vous voulez, elle sera transformée comme les autres en note de bas de page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L’identifiant Orcid permettra de récupérer automatiquement l’affiliation et la biographie de l’auteur.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www.bib.umontreal.ca/lgb/BibTeX/default.htm" TargetMode="External" /><Relationship Type="http://schemas.openxmlformats.org/officeDocument/2006/relationships/hyperlink" Id="rId20" Target="https://github.com/adam-p/markdown-here/wiki/Markdown-Cheatshe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www.bib.umontreal.ca/lgb/BibTeX/default.htm" TargetMode="External" /><Relationship Type="http://schemas.openxmlformats.org/officeDocument/2006/relationships/hyperlink" Id="rId20" Target="https://github.com/adam-p/markdown-here/wiki/Markdown-Cheatshe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Stylo</dc:title>
  <dc:creator/>
  <dc:language>fr</dc:language>
  <cp:keywords>frédition, bac-à-sableédition, bac-à-sable, enpublishing, sandboxpublishing, sandbox</cp:keywords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uthors">
    <vt:lpwstr/>
  </property>
  <property fmtid="{D5CDD505-2E9C-101B-9397-08002B2CF9AE}" pid="4" name="bibliography">
    <vt:lpwstr>/Users/david/Sites/pandoc-api/tmp/un-test.bib</vt:lpwstr>
  </property>
  <property fmtid="{D5CDD505-2E9C-101B-9397-08002B2CF9AE}" pid="5" name="controlledKeywords">
    <vt:lpwstr/>
  </property>
  <property fmtid="{D5CDD505-2E9C-101B-9397-08002B2CF9AE}" pid="6" name="csl">
    <vt:lpwstr>/Users/david/Sites/pandoc-api/tmp/chicagomodified.csl</vt:lpwstr>
  </property>
  <property fmtid="{D5CDD505-2E9C-101B-9397-08002B2CF9AE}" pid="7" name="date">
    <vt:lpwstr>2018/05/29</vt:lpwstr>
  </property>
  <property fmtid="{D5CDD505-2E9C-101B-9397-08002B2CF9AE}" pid="8" name="day">
    <vt:lpwstr>29</vt:lpwstr>
  </property>
  <property fmtid="{D5CDD505-2E9C-101B-9397-08002B2CF9AE}" pid="9" name="id_sp">
    <vt:lpwstr>SP1234</vt:lpwstr>
  </property>
  <property fmtid="{D5CDD505-2E9C-101B-9397-08002B2CF9AE}" pid="10" name="link-citations">
    <vt:lpwstr>True</vt:lpwstr>
  </property>
  <property fmtid="{D5CDD505-2E9C-101B-9397-08002B2CF9AE}" pid="11" name="month">
    <vt:lpwstr>05</vt:lpwstr>
  </property>
  <property fmtid="{D5CDD505-2E9C-101B-9397-08002B2CF9AE}" pid="12" name="nocite">
    <vt:lpwstr>*</vt:lpwstr>
  </property>
  <property fmtid="{D5CDD505-2E9C-101B-9397-08002B2CF9AE}" pid="13" name="subtitle">
    <vt:lpwstr>Un article type</vt:lpwstr>
  </property>
  <property fmtid="{D5CDD505-2E9C-101B-9397-08002B2CF9AE}" pid="14" name="subtitle_f">
    <vt:lpwstr>Un article type</vt:lpwstr>
  </property>
  <property fmtid="{D5CDD505-2E9C-101B-9397-08002B2CF9AE}" pid="15" name="title_f">
    <vt:lpwstr>Stylo</vt:lpwstr>
  </property>
  <property fmtid="{D5CDD505-2E9C-101B-9397-08002B2CF9AE}" pid="16" name="typeArticle">
    <vt:lpwstr/>
  </property>
  <property fmtid="{D5CDD505-2E9C-101B-9397-08002B2CF9AE}" pid="17" name="year">
    <vt:lpwstr>2018</vt:lpwstr>
  </property>
</Properties>
</file>