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Links de documentos de buenas prácticas:</w:t>
      </w:r>
    </w:p>
    <w:p w:rsidR="00000000" w:rsidDel="00000000" w:rsidP="00000000" w:rsidRDefault="00000000" w:rsidRPr="00000000" w14:paraId="00000001">
      <w:pPr>
        <w:spacing w:line="342.85714285714283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http://javaconfigmx.blogspot.com/2017/12/buenas-practicas-para-un-codigo-limpio.htm</w:t>
        </w:r>
      </w:hyperlink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42.85714285714283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https://unpocodejava.com/2012/03/16/buenas-practicas-de-codificacion-en-java/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20"/>
        <w:gridCol w:w="2085"/>
        <w:gridCol w:w="1695"/>
        <w:gridCol w:w="1320"/>
        <w:gridCol w:w="1529"/>
        <w:tblGridChange w:id="0">
          <w:tblGrid>
            <w:gridCol w:w="1080"/>
            <w:gridCol w:w="1320"/>
            <w:gridCol w:w="2085"/>
            <w:gridCol w:w="1695"/>
            <w:gridCol w:w="1320"/>
            <w:gridCol w:w="1529"/>
          </w:tblGrid>
        </w:tblGridChange>
      </w:tblGrid>
      <w:tr>
        <w:trPr>
          <w:trHeight w:val="420" w:hRule="atLeast"/>
        </w:trPr>
        <w:tc>
          <w:tcPr>
            <w:gridSpan w:val="6"/>
            <w:shd w:fill="2429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Reporte de Inspección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Inicio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20/10/2018</w:t>
            </w:r>
          </w:p>
        </w:tc>
      </w:tr>
      <w:tr>
        <w:trPr>
          <w:trHeight w:val="42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Villagra Francisco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Moderador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Rodriguez Agustin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Campazzo Christian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 Victoria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Herrera Lucas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Anotador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 de la revisión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56.8" w:lineRule="auto"/>
              <w:ind w:left="992.125984251968" w:right="100" w:hanging="850.3937007874009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“ValidadorTarjeta” de la línea 1 a 166</w:t>
            </w:r>
          </w:p>
        </w:tc>
      </w:tr>
      <w:tr>
        <w:trPr>
          <w:trHeight w:val="420" w:hRule="atLeast"/>
        </w:trPr>
        <w:tc>
          <w:tcPr>
            <w:gridSpan w:val="6"/>
            <w:shd w:fill="2429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Producto de trabajo Inspeccionados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56.8" w:lineRule="auto"/>
              <w:ind w:left="100" w:righ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ValidadorTarjeta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</w:t>
            </w:r>
          </w:p>
        </w:tc>
      </w:tr>
      <w:tr>
        <w:trPr>
          <w:trHeight w:val="420" w:hRule="atLeast"/>
        </w:trPr>
        <w:tc>
          <w:tcPr>
            <w:gridSpan w:val="6"/>
            <w:shd w:fill="2429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Hallazgos</w:t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Severidad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20/10/2018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56.8" w:lineRule="auto"/>
              <w:ind w:left="100" w:right="10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respeta la declaración del paquete con todas las letras en minúscula.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Cosmetico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20/10/2018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56.8" w:lineRule="auto"/>
              <w:ind w:left="100" w:right="10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Declaración de un método vacío que no es utilizado posteriormente.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20/10/2018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56.8" w:lineRule="auto"/>
              <w:ind w:left="100" w:right="10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respeta nomenclatura camel-case en la declaración de la variable.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Cosmetico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20/10/2018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Concatenacion de String mediante operador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Cosmetico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20/10/2018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invoca a un metodo dentro de la condicion de un bucle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137 - 141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20/10/2018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comentarios en lugar del uso de variables, metodos y clases descriptivas y significativas.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126 a 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Cosmetico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20/10/2018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variable n no significativa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Cosmetico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objetos temporales innecesarios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20/10/18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debería registrar un mensaje de salida, y no mandar el error por consola.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2429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Decisión Final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Aceptar/</w:t>
            </w:r>
            <w:r w:rsidDel="00000000" w:rsidR="00000000" w:rsidRPr="00000000">
              <w:rPr>
                <w:rtl w:val="0"/>
              </w:rPr>
              <w:t xml:space="preserve">Rechazar/Aceptar Provisoriamente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CLASE ‘ValidadorTarjeta’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contextualSpacing w:val="0"/>
      <w:rPr/>
    </w:pPr>
    <w:r w:rsidDel="00000000" w:rsidR="00000000" w:rsidRPr="00000000">
      <w:rPr>
        <w:rtl w:val="0"/>
      </w:rPr>
      <w:t xml:space="preserve">TP10-Inspección de código- Grupo 2</w:t>
    </w:r>
  </w:p>
  <w:p w:rsidR="00000000" w:rsidDel="00000000" w:rsidP="00000000" w:rsidRDefault="00000000" w:rsidRPr="00000000" w14:paraId="000000A2">
    <w:pPr>
      <w:contextualSpacing w:val="0"/>
      <w:rPr/>
    </w:pPr>
    <w:r w:rsidDel="00000000" w:rsidR="00000000" w:rsidRPr="00000000">
      <w:rPr>
        <w:rtl w:val="0"/>
      </w:rPr>
      <w:t xml:space="preserve">Ingeniería de Software-4k2-2S-2018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javaconfigmx.blogspot.com/2017/12/buenas-practicas-para-un-codigo-limpio.htm" TargetMode="External"/><Relationship Id="rId7" Type="http://schemas.openxmlformats.org/officeDocument/2006/relationships/hyperlink" Target="https://unpocodejava.com/2012/03/16/buenas-practicas-de-codificacion-en-java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