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2342" w:val="clear"/>
        <w:spacing w:after="0" w:before="0"/>
        <w:ind w:right="240"/>
        <w:jc w:val="right"/>
      </w:pPr>
      <w:r>
        <w:rPr>
          <w:rFonts w:ascii="Arial" w:cs="Arial" w:eastAsia="Arial" w:hAnsi="Arial"/>
          <w:color w:val="C8D9EE"/>
          <w:sz w:val="18"/>
          <w:szCs w:val="18"/>
        </w:rPr>
        <w:t xml:space="preserve">CONFIDENTIAL  —  INVESTOR BRIEF  —  APRIL 2026</w:t>
      </w:r>
    </w:p>
    <w:p>
      <w:pPr>
        <w:spacing w:after="0" w:before="8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0A2342"/>
          <w:sz w:val="120"/>
          <w:szCs w:val="120"/>
        </w:rPr>
        <w:t xml:space="preserve">AlphaEdge</w:t>
      </w:r>
    </w:p>
    <w:p>
      <w:pPr>
        <w:pBdr>
          <w:bottom w:val="single" w:color="F59E0B" w:sz="12"/>
        </w:pBdr>
        <w:spacing w:after="60" w:before="0"/>
        <w:jc w:val="left"/>
      </w:pPr>
      <w:r>
        <w:rPr>
          <w:rFonts w:ascii="Arial" w:cs="Arial" w:eastAsia="Arial" w:hAnsi="Arial"/>
          <w:color w:val="1A3A5C"/>
          <w:sz w:val="34"/>
          <w:szCs w:val="34"/>
        </w:rPr>
        <w:t xml:space="preserve">Global Emerging Markets Intelligence Platform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400" w:before="40"/>
        <w:jc w:val="left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STARTUP PROJECT REPORT  —  PHASE 1 COMPLETION &amp; PHASE 2 FUNDING PROSPECTUS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59E0B" w:sz="8"/>
              <w:left w:val="single" w:color="F59E0B" w:sz="20"/>
              <w:bottom w:val="single" w:color="F59E0B" w:sz="8"/>
              <w:right w:val="single" w:color="F59E0B" w:sz="4"/>
            </w:tcBorders>
            <w:shd w:fill="0A234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52"/>
                <w:szCs w:val="52"/>
              </w:rPr>
              <w:t xml:space="preserve">45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Emerging Markets</w:t>
            </w:r>
          </w:p>
        </w:tc>
        <w:tc>
          <w:tcPr>
            <w:tcW w:type="dxa" w:w="2340"/>
            <w:tcBorders>
              <w:top w:val="single" w:color="F59E0B" w:sz="8"/>
              <w:left w:val="single" w:color="F59E0B" w:sz="20"/>
              <w:bottom w:val="single" w:color="F59E0B" w:sz="8"/>
              <w:right w:val="single" w:color="F59E0B" w:sz="4"/>
            </w:tcBorders>
            <w:shd w:fill="0A234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52"/>
                <w:szCs w:val="52"/>
              </w:rPr>
              <w:t xml:space="preserve">500+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Discord Community</w:t>
            </w:r>
          </w:p>
        </w:tc>
        <w:tc>
          <w:tcPr>
            <w:tcW w:type="dxa" w:w="2340"/>
            <w:tcBorders>
              <w:top w:val="single" w:color="F59E0B" w:sz="8"/>
              <w:left w:val="single" w:color="F59E0B" w:sz="20"/>
              <w:bottom w:val="single" w:color="F59E0B" w:sz="8"/>
              <w:right w:val="single" w:color="F59E0B" w:sz="4"/>
            </w:tcBorders>
            <w:shd w:fill="0A234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52"/>
                <w:szCs w:val="52"/>
              </w:rPr>
              <w:t xml:space="preserve">$12M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Seed Committed</w:t>
            </w:r>
          </w:p>
        </w:tc>
        <w:tc>
          <w:tcPr>
            <w:tcW w:type="dxa" w:w="2340"/>
            <w:tcBorders>
              <w:top w:val="single" w:color="F59E0B" w:sz="8"/>
              <w:left w:val="single" w:color="F59E0B" w:sz="20"/>
              <w:bottom w:val="single" w:color="F59E0B" w:sz="8"/>
              <w:right w:val="single" w:color="F59E0B" w:sz="4"/>
            </w:tcBorders>
            <w:shd w:fill="0A234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52"/>
                <w:szCs w:val="52"/>
              </w:rPr>
              <w:t xml:space="preserve">98%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Below Bloomberg Cost</w:t>
            </w:r>
          </w:p>
        </w:tc>
      </w:tr>
    </w:tbl>
    <w:p>
      <w:pPr>
        <w:spacing w:after="0" w:before="4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9EE" w:sz="1"/>
              <w:left w:val="single" w:color="F59E0B" w:sz="20"/>
              <w:bottom w:val="single" w:color="C8D9EE" w:sz="1"/>
              <w:right w:val="single" w:color="C8D9EE" w:sz="1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2342"/>
                <w:sz w:val="26"/>
                <w:szCs w:val="26"/>
              </w:rPr>
              <w:t xml:space="preserve">Vinod Doddareddy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Founder, AlphaEdge  |  Ex-Director Engineering, NVIDIA India  |  Ex-Director, LinkedIn Engineering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vinod.doddareddy@gmail.com 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+91 63617 04635  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alphaedge.dev</w:t>
            </w:r>
          </w:p>
        </w:tc>
      </w:tr>
    </w:tbl>
    <w:p>
      <w:r>
        <w:br w:type="page"/>
      </w:r>
    </w:p>
    <w:p>
      <w:pPr>
        <w:pStyle w:val="Heading1"/>
        <w:shd w:fill="0A2342" w:val="clear"/>
        <w:spacing w:after="160" w:before="400"/>
        <w:ind w:left="160"/>
      </w:pPr>
      <w:r>
        <w:rPr>
          <w:rFonts w:ascii="Arial" w:cs="Arial" w:eastAsia="Arial" w:hAnsi="Arial"/>
          <w:b/>
          <w:bCs/>
          <w:color w:val="F59E0B"/>
          <w:sz w:val="30"/>
          <w:szCs w:val="30"/>
        </w:rPr>
        <w:t xml:space="preserve">I.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Executive Summary</w:t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A.  Company Overview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AlphaEdge is an AI-native global correlation and market intelligence platform built exclusively for emerging markets. Self-funded through Phase 1, AlphaEdge delivers Bloomberg Terminal-calibre analytical depth at a fraction of the cost — serving institutional investors, Portfolio Management Services (PMS), Registered Investment Advisers (RIAs), and family offices who require sophisticated cross-market intelligence across 45 emerging-market economies spanning India, China, Brazil, ASEAN, MENA, and LatAm.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platform's proprietary engine applies Dynamic Conditional Correlation GARCH (DCC-GARCH) modelling to produce time-varying correlation matrices that capture regime shifts, contagion cascades, and macro transmission lags in real time — a capability entirely absent from every emerging-market-native product in the market today.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B.  Mission &amp; Vision</w:t>
      </w:r>
    </w:p>
    <w:p>
      <w:pPr>
        <w:pBdr>
          <w:left w:val="single" w:color="F59E0B" w:sz="16"/>
        </w:pBdr>
        <w:shd w:fill="FFF8E7" w:val="clear"/>
        <w:spacing w:after="100" w:before="100"/>
        <w:ind w:left="400" w:right="240"/>
      </w:pPr>
      <w:r>
        <w:rPr>
          <w:rFonts w:ascii="Arial" w:cs="Arial" w:eastAsia="Arial" w:hAnsi="Arial"/>
          <w:b/>
          <w:bCs/>
          <w:color w:val="78350F"/>
          <w:sz w:val="22"/>
          <w:szCs w:val="22"/>
        </w:rPr>
        <w:t xml:space="preserve">Mission: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Democratise institutional-grade emerging market intelligence — making sophisticated cross-market correlation analysis, AI-powered news classification, and crisis prediction accessible to every family office, hedge fund, and PMS manager globally.</w:t>
      </w:r>
    </w:p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left w:val="single" w:color="F59E0B" w:sz="16"/>
        </w:pBdr>
        <w:shd w:fill="FFF8E7" w:val="clear"/>
        <w:spacing w:after="100" w:before="100"/>
        <w:ind w:left="400" w:right="240"/>
      </w:pPr>
      <w:r>
        <w:rPr>
          <w:rFonts w:ascii="Arial" w:cs="Arial" w:eastAsia="Arial" w:hAnsi="Arial"/>
          <w:b/>
          <w:bCs/>
          <w:color w:val="78350F"/>
          <w:sz w:val="22"/>
          <w:szCs w:val="22"/>
        </w:rPr>
        <w:t xml:space="preserve">Vision: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Become the definitive intelligence layer for the $27 trillion emerging markets asset class. The Bloomberg of the Global South.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C.  Phase 1 Key Achievements at a Glance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DCC-GARCH Correlation Engine: 45 EM markets, Numba JIT-optimised, sub-200 ms latency with Redis three-tier caching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5-Signal Crisis Predictor: VIX + MOVE + EM FX + Sovereign CDS + Commodity Shock — temporal baseline anomaly detection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Macro Transmission Models: Fed rate hike → DXY → FII outflows → Nifty sector rotation with quantified lag timing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7-View React Dashboard: Bloomberg-inspired dark glass-morphism UI (8,000+ lines of production TypeScript/React code)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Butterfly Effect Force-Directed Graph: Real-time contagion path visualisation and event simulation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60+ Endpoint API Specification: Vercel Edge + Upstash Redis + Groq Llama 3.1 with OpenRouter fallback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180+ Pages of Investor-Grade Technical Documentation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500+ Member Discord Community: Validated market calls including India DII/FII ownership crossover (3 weeks early)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D.  Confirmed Investor Commitments — Demo 2 Trigger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AlphaEdge has secured confirmed funding commitments from two strategic investors, contingent solely on successful completion of Demo 2:</w:t>
      </w:r>
    </w:p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8"/>
              <w:left w:val="single" w:color="F59E0B" w:sz="20"/>
              <w:bottom w:val="single" w:color="F59E0B" w:sz="8"/>
              <w:right w:val="single" w:color="F59E0B" w:sz="4"/>
            </w:tcBorders>
            <w:shd w:fill="FFF8E7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22"/>
                <w:szCs w:val="22"/>
              </w:rPr>
              <w:t xml:space="preserve">★  CONFIRMED FUNDING COMMITMENT — TRIGGERED BY DEMO 2 COMPLETION  ★</w:t>
            </w:r>
          </w:p>
          <w:tbl>
            <w:tblPr>
              <w:tblW w:type="dxa" w:w="8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20"/>
              <w:gridCol w:w="2920"/>
              <w:gridCol w:w="2920"/>
            </w:tblGrid>
            <w:tr>
              <w:tc>
                <w:tcPr>
                  <w:tcW w:type="dxa" w:w="29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2342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9E0B"/>
                      <w:sz w:val="22"/>
                      <w:szCs w:val="22"/>
                    </w:rPr>
                    <w:t xml:space="preserve">Crescendo Partners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C8D9EE"/>
                      <w:sz w:val="19"/>
                      <w:szCs w:val="19"/>
                    </w:rPr>
                    <w:t xml:space="preserve">Seed Commitment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$7,500,000</w:t>
                  </w:r>
                </w:p>
              </w:tc>
              <w:tc>
                <w:tcPr>
                  <w:tcW w:type="dxa" w:w="29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2342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9E0B"/>
                      <w:sz w:val="22"/>
                      <w:szCs w:val="22"/>
                    </w:rPr>
                    <w:t xml:space="preserve">Bloomberg LP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C8D9EE"/>
                      <w:sz w:val="19"/>
                      <w:szCs w:val="19"/>
                    </w:rPr>
                    <w:t xml:space="preserve">Strategic Tranche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$4,500,000</w:t>
                  </w:r>
                </w:p>
              </w:tc>
              <w:tc>
                <w:tcPr>
                  <w:tcW w:type="dxa" w:w="29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9E0B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A2342"/>
                      <w:sz w:val="22"/>
                      <w:szCs w:val="22"/>
                    </w:rPr>
                    <w:t xml:space="preserve">Total Seed Committed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A2342"/>
                      <w:sz w:val="19"/>
                      <w:szCs w:val="19"/>
                    </w:rPr>
                    <w:t xml:space="preserve">Post-Demo 2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A2342"/>
                      <w:sz w:val="26"/>
                      <w:szCs w:val="26"/>
                    </w:rPr>
                    <w:t xml:space="preserve">$12,000,000</w:t>
                  </w:r>
                </w:p>
              </w:tc>
            </w:tr>
          </w:tbl>
          <w:p>
            <w:pPr>
              <w:spacing w:after="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8350F"/>
                <w:sz w:val="19"/>
                <w:szCs w:val="19"/>
              </w:rPr>
              <w:t xml:space="preserve">Demo 2 (Q2 2026): Live DCC-GARCH engine on production infrastructure + AI News Classification + 5-Signal Crisis Predictor. Bloomberg LP commitment is aligned with Bloomberg's 2026 AI Infrastructure Initiative for emerging markets.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Phase 2 capital ($12M Seed commitment from Crescendo Partners and Bloomberg LP) finances a 10–12 week sprint to public beta targeting $10,000 MRR (50 paying subscribers). A Series A of $5M–$10M is planned at Month 12 on the back of demonstrated recurring revenue.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E.  Strategic Milestones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Q2 2026  —  Demo 2 completion + $12M Seed Round funding close (Crescendo Partners + Bloomberg LP)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Q3 2026  —  Public beta launch: 50 subscribers, $10K MRR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Q4 2026  —  Scale to 150 subscribers, $28K MRR; Series A preparation begins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Q2 2027  —  Series A ($5M–$10M): 500+ subscribers, $1M+ ARR, SEA/MENA expansion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1"/>
        <w:shd w:fill="0A2342" w:val="clear"/>
        <w:spacing w:after="160" w:before="400"/>
        <w:ind w:left="160"/>
      </w:pPr>
      <w:r>
        <w:rPr>
          <w:rFonts w:ascii="Arial" w:cs="Arial" w:eastAsia="Arial" w:hAnsi="Arial"/>
          <w:b/>
          <w:bCs/>
          <w:color w:val="F59E0B"/>
          <w:sz w:val="30"/>
          <w:szCs w:val="30"/>
        </w:rPr>
        <w:t xml:space="preserve">II.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Project Objectives &amp; Scope</w:t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A.  Phase 2 Goals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Deploy the DCC-GARCH Correlation Engine and AI News Intelligence module to production infrastructure within 3 weeks of funding close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Reach public beta with 50 paying subscribers at a blended ARPU of $200/month ($10K MRR) within 10–12 weeks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Deliver Seed-ready metrics: 60 days of MRR, subscriber cohort retention data, and Bloomberg partnership development milestones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B.  Target Customer Segments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2342"/>
          <w:sz w:val="23"/>
          <w:szCs w:val="23"/>
        </w:rPr>
        <w:t xml:space="preserve">Retail / Individual Traders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India's 160M+ Demat account holders and global self-directed EM traders — seeking institutional-grade macro context for Nifty, crypto, and commodity positions. Acquisition via Discord community, social media, and fintech content partnerships.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2342"/>
          <w:sz w:val="23"/>
          <w:szCs w:val="23"/>
        </w:rPr>
        <w:t xml:space="preserve">Portfolio Management Services (PMS) &amp; RIAs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India's 400+ SEBI-registered PMS managers collectively oversee &gt;$30B AUM. They lack EM correlation tools at a price compatible with their operating margins. AlphaEdge Professional ($199/month) delivers EM-specific depth at less than 10% of a Bloomberg data budget.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2342"/>
          <w:sz w:val="23"/>
          <w:szCs w:val="23"/>
        </w:rPr>
        <w:t xml:space="preserve">Family Offices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Indian family offices managing $10M–$500M AUM — the highest ARPU segment and most underserved. Current options are Bloomberg ($24K/year) or bespoke quant teams. AlphaEdge Enterprise ($999/month) provides a consolidated EM risk view with private LLM inference for privacy-sensitive workflows, including entity-aware tracking across Trusts, SPVs, and offshore structures.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2342"/>
          <w:sz w:val="23"/>
          <w:szCs w:val="23"/>
        </w:rPr>
        <w:t xml:space="preserve">Hedge Funds &amp; Quant Desks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Systematic trading desks requiring API-grade, low-latency DCC-GARCH signals for EM strategy construction, backtesting, and execution. API Team and custom enterprise tiers serve this segment.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C.  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Target (Wk 10)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Seed Target (Month 6)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$10,000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$28,000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Paying Subscribers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API Uptime SLA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99.5%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DCC-GARCH Latency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200 ms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100 ms (optimised)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News Classification Accuracy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 90% on EM events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 94% with fine-tuning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Discord Community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500 → 1,200+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2,000+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1"/>
        <w:shd w:fill="0A2342" w:val="clear"/>
        <w:spacing w:after="160" w:before="400"/>
        <w:ind w:left="160"/>
      </w:pPr>
      <w:r>
        <w:rPr>
          <w:rFonts w:ascii="Arial" w:cs="Arial" w:eastAsia="Arial" w:hAnsi="Arial"/>
          <w:b/>
          <w:bCs/>
          <w:color w:val="F59E0B"/>
          <w:sz w:val="30"/>
          <w:szCs w:val="30"/>
        </w:rPr>
        <w:t xml:space="preserve">III.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Phase 1 Progress Overview</w:t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A.  Technical Modules Delivered</w:t>
      </w:r>
    </w:p>
    <w:p>
      <w:pPr>
        <w:pBdr>
          <w:left w:val="single" w:color="1A3A5C" w:sz="14"/>
        </w:pBdr>
        <w:shd w:fill="EFF4FB" w:val="clear"/>
        <w:spacing w:after="80" w:before="80"/>
        <w:ind w:left="400" w:right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Phase 1 Summary: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Six months, self-funded, zero debt. 180+ pages of technical documentation. 8,000+ lines of production-grade code. Five core modules built to institutional specification.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2342"/>
          <w:sz w:val="23"/>
          <w:szCs w:val="23"/>
        </w:rPr>
        <w:t xml:space="preserve">Module 1 — DCC-GARCH Correlation Engine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45 emerging market coverage: India (NSE/BSE), China (SSE/SZSE), Brazil (B3), Mexico (BMV), Indonesia, Vietnam, Thailand, Philippines, Malaysia, Saudi Arabia, UAE, Egypt, Turkey, South Africa, and 30+ additional EM indices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Numba JIT compilation delivering 100x speed vs. pure Python — benchmarked at sub-200 ms per 45-market correlation matrix computation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Time-varying correlations that adapt to volatility regimes — captures contagion dynamics, correlation breakdowns, and regime switches invisible to static Pearson approaches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Three-tier Redis caching: WebSocket real-time → 5-minute cache → 1-hour fallback, ensuring sub-second UX even under API load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Technical documentation: 40 pages including DCC-GARCH mathematical specification, Numba optimisation guide, and production architecture diagrams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2342"/>
          <w:sz w:val="23"/>
          <w:szCs w:val="23"/>
        </w:rPr>
        <w:t xml:space="preserve">Module 2 — Structural Market Analysis (45 Markets, 10 Mega-Trends)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Flagship case study: India's historic DII/FII ownership crossover — SIP inflows at ₹23,000 Cr/month driving DII holdings above FII for the first time in NSE history, fundamentally altering macro transmission dynamics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Ten documented mega-trends reshaping EM structure 2020–2025: SIP-driven domestication of Indian equity, China's regulatory reset, ASEAN supply chain reorientation, Gulf Vision 2030 capital flows, and six others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Macro transmission chains with lag quantification: Fed rate hike (+25 bps) → DXY (+0.8%) → FII outflows (₹3,200 Cr avg) → Nifty IT rotation (-1.2%), with 48–72 hour propagation lag documented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2342"/>
          <w:sz w:val="23"/>
          <w:szCs w:val="23"/>
        </w:rPr>
        <w:t xml:space="preserve">Module 3 — 5-Signal Crisis Predictor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AlphaEdge's proprietary crisis model applies temporal baseline anomaly detection — each signal is scored against its own rolling distribution, not a static threshold. The composite crisis probability score is updated in real time: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920"/>
        <w:gridCol w:w="1920"/>
        <w:gridCol w:w="1420"/>
      </w:tblGrid>
      <w:tr>
        <w:trPr>
          <w:tblHeader/>
        </w:trPr>
        <w:tc>
          <w:tcPr>
            <w:tcW w:type="dxa" w:w="21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Indicator</w:t>
            </w:r>
          </w:p>
        </w:tc>
        <w:tc>
          <w:tcPr>
            <w:tcW w:type="dxa" w:w="19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Crisis Threshold</w:t>
            </w:r>
          </w:p>
        </w:tc>
        <w:tc>
          <w:tcPr>
            <w:tcW w:type="dxa" w:w="19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14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1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Equity Volatility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CBOE VIX</w:t>
            </w:r>
          </w:p>
        </w:tc>
        <w:tc>
          <w:tcPr>
            <w:tcW w:type="dxa" w:w="19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 30 (Extreme Fear)</w:t>
            </w:r>
          </w:p>
        </w:tc>
        <w:tc>
          <w:tcPr>
            <w:tcW w:type="dxa" w:w="19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Rolling 90-day Z-score</w:t>
            </w:r>
          </w:p>
        </w:tc>
        <w:tc>
          <w:tcPr>
            <w:tcW w:type="dxa" w:w="14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1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Rate Volatility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MOVE Index</w:t>
            </w:r>
          </w:p>
        </w:tc>
        <w:tc>
          <w:tcPr>
            <w:tcW w:type="dxa" w:w="19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 120</w:t>
            </w:r>
          </w:p>
        </w:tc>
        <w:tc>
          <w:tcPr>
            <w:tcW w:type="dxa" w:w="19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Temporal baseline anomaly</w:t>
            </w:r>
          </w:p>
        </w:tc>
        <w:tc>
          <w:tcPr>
            <w:tcW w:type="dxa" w:w="14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1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EM FX Stress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JPM EM FX Basket</w:t>
            </w:r>
          </w:p>
        </w:tc>
        <w:tc>
          <w:tcPr>
            <w:tcW w:type="dxa" w:w="19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3σ deviation</w:t>
            </w:r>
          </w:p>
        </w:tc>
        <w:tc>
          <w:tcPr>
            <w:tcW w:type="dxa" w:w="19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DCC-GARCH regime</w:t>
            </w:r>
          </w:p>
        </w:tc>
        <w:tc>
          <w:tcPr>
            <w:tcW w:type="dxa" w:w="14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1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Credit Spread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 Sovereign CDS</w:t>
            </w:r>
          </w:p>
        </w:tc>
        <w:tc>
          <w:tcPr>
            <w:tcW w:type="dxa" w:w="19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 400 bps</w:t>
            </w:r>
          </w:p>
        </w:tc>
        <w:tc>
          <w:tcPr>
            <w:tcW w:type="dxa" w:w="19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Cross-market contagion</w:t>
            </w:r>
          </w:p>
        </w:tc>
        <w:tc>
          <w:tcPr>
            <w:tcW w:type="dxa" w:w="14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1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Commodity Shock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CRB Index + Gold</w:t>
            </w:r>
          </w:p>
        </w:tc>
        <w:tc>
          <w:tcPr>
            <w:tcW w:type="dxa" w:w="19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 15% 30-day move</w:t>
            </w:r>
          </w:p>
        </w:tc>
        <w:tc>
          <w:tcPr>
            <w:tcW w:type="dxa" w:w="19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Percentile rank (5yr)</w:t>
            </w:r>
          </w:p>
        </w:tc>
        <w:tc>
          <w:tcPr>
            <w:tcW w:type="dxa" w:w="14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Validated backtest: The model flagged the 2022 EM correlation spike approximately 14 days before peak stress — an early warning period that would have been material for portfolio risk management.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2342"/>
          <w:sz w:val="23"/>
          <w:szCs w:val="23"/>
        </w:rPr>
        <w:t xml:space="preserve">Module 4 — React Dashboard (7 Views)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Dashboard — Live correlation heat-map, crisis probability gauge, EM macro summary strip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Butterfly Effect — Force-directed contagion graph with event injection and cascade simulation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DCC-GARCH Matrix — Animated time-series correlation browser across all 45 markets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Transmission Matrix — Fed/ECB/PBOC shock propagation chains with interactive lag sliders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Commodities &amp; Macro — Real-time Gold/Oil/DXY feed with EM market overlay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Structural Changes — DII/FII ownership tracker, SIP flow charts, mega-trend monitoring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Markets — 45-market live price feed with DCC-GARCH correlation ranking and regime alerts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2342"/>
          <w:sz w:val="23"/>
          <w:szCs w:val="23"/>
        </w:rPr>
        <w:t xml:space="preserve">Module 5 — WorldMonitor API Specification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60+ documented REST + WebSocket endpoints across market data, correlations, crisis signals, news intelligence, and portfolio analytics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Architecture: Vercel Edge Functions (serverless, globally distributed) + Upstash Redis + WebSocket pub/sub for real-time push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inference: Groq Llama 3.1 (primary, &lt;100 ms) with OpenRouter multi-model fallback ensuring 99.9% classification availability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B.  Validated Market Traction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500+ Discord members — zero paid acquisition — validating organic product-market fit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India DII/FII ownership crossover predicted publicly 3 weeks before mainstream financial media coverage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2022 EM correlation spike flagged ~14 days before peak — backtested by Discord community analyst cohort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Bloomberg LP engagement letter referencing AlphaEdge's alignment with Bloomberg's 2026 AI Infrastructure Initiative for emerging markets</w:t>
      </w:r>
    </w:p>
    <w:p>
      <w:r>
        <w:br w:type="page"/>
      </w:r>
    </w:p>
    <w:p>
      <w:pPr>
        <w:pStyle w:val="Heading1"/>
        <w:shd w:fill="0A2342" w:val="clear"/>
        <w:spacing w:after="160" w:before="400"/>
        <w:ind w:left="160"/>
      </w:pPr>
      <w:r>
        <w:rPr>
          <w:rFonts w:ascii="Arial" w:cs="Arial" w:eastAsia="Arial" w:hAnsi="Arial"/>
          <w:b/>
          <w:bCs/>
          <w:color w:val="F59E0B"/>
          <w:sz w:val="30"/>
          <w:szCs w:val="30"/>
        </w:rPr>
        <w:t xml:space="preserve">IV.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Financial Performance &amp; Monetisation</w:t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A.  Pricing Strategy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AlphaEdge employs a tiered subscription model across three commercial segments. Pricing is denominated in USD. The model is designed for high-velocity Retail acquisition at the base, with large-ARPU PMS and Family Office tiers driving revenue concentration and unit economics. All plans include a 14-day free trial.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440"/>
        <w:gridCol w:w="1440"/>
        <w:gridCol w:w="3180"/>
      </w:tblGrid>
      <w:tr>
        <w:trPr>
          <w:tblHeader/>
        </w:trP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  <w:tc>
          <w:tcPr>
            <w:tcW w:type="dxa" w:w="31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 Included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Retail Investor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Starter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$29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$290</w:t>
            </w:r>
          </w:p>
        </w:tc>
        <w:tc>
          <w:tcPr>
            <w:tcW w:type="dxa" w:w="31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 EM markets, correlation dashboard, AI news feed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Retail Investor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$79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$790</w:t>
            </w:r>
          </w:p>
        </w:tc>
        <w:tc>
          <w:tcPr>
            <w:tcW w:type="dxa" w:w="31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45 EM markets, DCC-GARCH engine, Butterfly Effect, Crisis Predictor, AI classification</w:t>
            </w:r>
          </w:p>
        </w:tc>
      </w:tr>
      <w:tr>
        <w:tc>
          <w:tcPr>
            <w:tcW w:type="dxa" w:w="1800"/>
            <w:vMerge w:val="restart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PMS / RIA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$199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$1,990</w:t>
            </w:r>
          </w:p>
        </w:tc>
        <w:tc>
          <w:tcPr>
            <w:tcW w:type="dxa" w:w="31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Pro + Macro transmission chains, Crisis predictor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100 API calls/day, custom alerts</w:t>
            </w:r>
          </w:p>
        </w:tc>
      </w:tr>
      <w:tr>
        <w:tc>
          <w:tcPr>
            <w:vMerge w:val="continue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</w:tcPr>
          <w:p/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Team (5 seats)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$499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$4,990</w:t>
            </w:r>
          </w:p>
        </w:tc>
        <w:tc>
          <w:tcPr>
            <w:tcW w:type="dxa" w:w="31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Unlimited API, white-label export, priority support</w:t>
            </w:r>
          </w:p>
        </w:tc>
      </w:tr>
      <w:tr>
        <w:tc>
          <w:tcPr>
            <w:tcW w:type="dxa" w:w="1800"/>
            <w:vMerge w:val="restart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Family Office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$999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$9,990</w:t>
            </w:r>
          </w:p>
        </w:tc>
        <w:tc>
          <w:tcPr>
            <w:tcW w:type="dxa" w:w="31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Unlimited seats, private LLM, entity-aware portfolio view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Dedicated CSM, 99.9% SLA</w:t>
            </w:r>
          </w:p>
        </w:tc>
      </w:tr>
      <w:tr>
        <w:tc>
          <w:tcPr>
            <w:vMerge w:val="continue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</w:tcPr>
          <w:p/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Sovereign / HNI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Custom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</w:t>
            </w:r>
          </w:p>
        </w:tc>
        <w:tc>
          <w:tcPr>
            <w:tcW w:type="dxa" w:w="31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On-premise LLM, SEBI/FATCA compliance, quarterly narrative reports</w:t>
            </w:r>
          </w:p>
        </w:tc>
      </w:tr>
      <w:tr>
        <w:tc>
          <w:tcPr>
            <w:tcW w:type="dxa" w:w="9360"/>
            <w:gridSpan w:val="5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0A234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Bloomberg Terminal: $2,000/month ($24,000/year per seat)   │   AlphaEdge Pro: $79/month   │   Saving: 96% cost reduction with EM-native intelligence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B.  Segment-Level Monetisation Plans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2342"/>
          <w:sz w:val="23"/>
          <w:szCs w:val="23"/>
        </w:rPr>
        <w:t xml:space="preserve">Retail Investors — Volume &amp; Community-Led Growth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Starter plan ($29/month) provides frictionless entry with 10 EM markets and the AI news feed. The Pro plan ($79/month) unlocks the full DCC-GARCH engine, Butterfly Effect graph, and crisis predictor — delivering capabilities unavailable anywhere else at this price point. Retail converts via the Discord community (500+ pre-qualified members), X/Twitter EM content, and partnerships with Indian fintech platforms (Zerodha, Smallcase, Varsity). Target: 30 Retail subscribers at beta launch (Week 10), blended ARPU $55/month.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2342"/>
          <w:sz w:val="23"/>
          <w:szCs w:val="23"/>
        </w:rPr>
        <w:t xml:space="preserve">PMS / RIA — Efficiency &amp; Compliance-Led Value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Professional ($199/month) is designed for the solo PMS manager or research analyst who needs institutional EM macro context without a Bloomberg budget. Full platform plus macro transmission chains, crisis predictor, and 100 API calls/day enables compliance-ready risk reporting in minutes. Team ($499/month) adds 5 seats, unlimited API access, white-label report export, and priority support — built for 2–10 person research teams. Acquisition: direct outreach to SEBI PMS registrants, Crescendo Partners' PMS network, and referral programme. Target: 15 PMS/Professional subscribers at beta, blended ARPU $280/month.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2342"/>
          <w:sz w:val="23"/>
          <w:szCs w:val="23"/>
        </w:rPr>
        <w:t xml:space="preserve">Family Offices — Privacy, Consolidation &amp; Legacy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Enterprise ($999/month) delivers unlimited seats, private Groq Llama 3.1 inference (data never leaves client cloud), entity-aware portfolio view across Trusts, SPVs, and LRS offshore holdings, and a dedicated Customer Success Manager. This directly addresses the #1 concern of UHNW family offices: data sovereignty. The Sovereign/HNI custom tier adds on-premise LLM deployment, SEBI/FATCA compliance modules, and auto-generated quarterly narrative reports explaining portfolio movements. Indian family offices with LRS foreign investments are the sole target of no other EM platform — AlphaEdge is purpose-built for this gap. Acquisition: relationship-led through Vinod's NVIDIA/LinkedIn network, CAIA/CFA India chapters, and family office associations. Target: 5 Family Office pilots at beta, ARPU $999+/month.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C. 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Subscribers</w:t>
            </w:r>
          </w:p>
        </w:tc>
        <w:tc>
          <w:tcPr>
            <w:tcW w:type="dxa" w:w="16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Blended ARPU</w:t>
            </w:r>
          </w:p>
        </w:tc>
        <w:tc>
          <w:tcPr>
            <w:tcW w:type="dxa" w:w="16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6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Phase 2 Beta — Week 10</w:t>
            </w:r>
          </w:p>
        </w:tc>
        <w:tc>
          <w:tcPr>
            <w:tcW w:type="dxa" w:w="16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</w:t>
            </w:r>
          </w:p>
        </w:tc>
        <w:tc>
          <w:tcPr>
            <w:tcW w:type="dxa" w:w="16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$200</w:t>
            </w:r>
          </w:p>
        </w:tc>
        <w:tc>
          <w:tcPr>
            <w:tcW w:type="dxa" w:w="16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$10,000</w:t>
            </w:r>
          </w:p>
        </w:tc>
        <w:tc>
          <w:tcPr>
            <w:tcW w:type="dxa" w:w="16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$120,000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Seed Round Close — Month 6</w:t>
            </w:r>
          </w:p>
        </w:tc>
        <w:tc>
          <w:tcPr>
            <w:tcW w:type="dxa" w:w="16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150</w:t>
            </w:r>
          </w:p>
        </w:tc>
        <w:tc>
          <w:tcPr>
            <w:tcW w:type="dxa" w:w="16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$187</w:t>
            </w:r>
          </w:p>
        </w:tc>
        <w:tc>
          <w:tcPr>
            <w:tcW w:type="dxa" w:w="16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$28,000</w:t>
            </w:r>
          </w:p>
        </w:tc>
        <w:tc>
          <w:tcPr>
            <w:tcW w:type="dxa" w:w="16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$336,000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Series A Target — Month 12</w:t>
            </w:r>
          </w:p>
        </w:tc>
        <w:tc>
          <w:tcPr>
            <w:tcW w:type="dxa" w:w="16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W w:type="dxa" w:w="16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$180</w:t>
            </w:r>
          </w:p>
        </w:tc>
        <w:tc>
          <w:tcPr>
            <w:tcW w:type="dxa" w:w="16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$90,000</w:t>
            </w:r>
          </w:p>
        </w:tc>
        <w:tc>
          <w:tcPr>
            <w:tcW w:type="dxa" w:w="16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$1,080,000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Blended ARPU is weighted across all three segments. The Seed target of $28K MRR assumes a mix of 80 Retail/Pro, 50 PMS/Professional, 15 PMS/Team, and 5 Family Office Enterprise subscribers. All projections are conservative and do not include API overage revenue, which is projected to add 8–15% to MRR post-Seed.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D.  Capital Structure &amp; Funding Plan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2342"/>
          <w:sz w:val="23"/>
          <w:szCs w:val="23"/>
        </w:rPr>
        <w:t xml:space="preserve">Seed Round — $12,000,000 (Post-Demo 2)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Crescendo Partners: $7,500,000 — lead investor, seed commitment confirmed; PMS distribution partnership included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Bloomberg LP Strategic Tranche: $4,500,000 — aligned with Bloomberg's 2026 AI Infrastructure Initiative for emerging markets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of funds: Production infrastructure 25% | Engineering team 35% | Sales &amp; marketing 25% | Legal/Ops/Compliance 15%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Runway: 24+ months at projected burn rate; break-even achievable at $15K MRR (75 subscribers)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2342"/>
          <w:sz w:val="23"/>
          <w:szCs w:val="23"/>
        </w:rPr>
        <w:t xml:space="preserve">Series A — $5,000,000–$10,000,000 (Month 12)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Trigger: $50K+ MRR sustained 90+ days + SEA/MENA expansion pipeline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Target investors: Accel India, Blume Ventures, Stellaris VP, Tiger Global EM fund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of funds: API productisation at scale, 10+ enterprise sales hires, full SEA/MENA market entry, Bloomberg Terminal integration GA</w:t>
      </w:r>
    </w:p>
    <w:p>
      <w:r>
        <w:br w:type="page"/>
      </w:r>
    </w:p>
    <w:p>
      <w:pPr>
        <w:pStyle w:val="Heading1"/>
        <w:shd w:fill="0A2342" w:val="clear"/>
        <w:spacing w:after="160" w:before="400"/>
        <w:ind w:left="160"/>
      </w:pPr>
      <w:r>
        <w:rPr>
          <w:rFonts w:ascii="Arial" w:cs="Arial" w:eastAsia="Arial" w:hAnsi="Arial"/>
          <w:b/>
          <w:bCs/>
          <w:color w:val="F59E0B"/>
          <w:sz w:val="30"/>
          <w:szCs w:val="30"/>
        </w:rPr>
        <w:t xml:space="preserve">V.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Market Analysis</w:t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A.  Market Opportunity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Emerging markets represent a $27 trillion asset class spanning 45+ country exchanges, yet institutional intelligence infrastructure remains dominated by Western-centric products calibrated for G10 market assumptions. The structural gaps are acute and well-defined: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Bloomberg Terminal: $24,000/year per seat. Excellent for US/EU markets. EM coverage is surface-level; DCC-GARCH cross-market correlation is absent entirely.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FactSet / Refinitiv: Similar pricing ($18,000–$22,000/year), even weaker on intra-EM structural breaks and local flow intelligence.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India-native tools (Screener.in, Tijori, Trendlyne): Excellent on company fundamentals; zero macro correlation or crisis prediction capability.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AlphaEdge: Purpose-built for the $27T EM gap — 45 markets, DCC-GARCH, AI news, crisis signals, at 2–10% of Bloomberg cost.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B.  India Structural Shift — The Flagship Differentiator</w:t>
      </w:r>
    </w:p>
    <w:p>
      <w:pPr>
        <w:pBdr>
          <w:left w:val="single" w:color="F59E0B" w:sz="16"/>
        </w:pBdr>
        <w:shd w:fill="FFF8E7" w:val="clear"/>
        <w:spacing w:after="100" w:before="100"/>
        <w:ind w:left="400" w:right="240"/>
      </w:pPr>
      <w:r>
        <w:rPr>
          <w:rFonts w:ascii="Arial" w:cs="Arial" w:eastAsia="Arial" w:hAnsi="Arial"/>
          <w:b/>
          <w:bCs/>
          <w:color w:val="78350F"/>
          <w:sz w:val="22"/>
          <w:szCs w:val="22"/>
        </w:rPr>
        <w:t xml:space="preserve">Key Signal: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India's equity market has undergone a historic, structurally irreversible transition. DII holdings (driven by SIP inflows of ₹23,000 Cr/month) crossed FII holdings for the first time in NSE history — permanently altering correlation dynamics, reducing foreign shock transmission, and creating a new EM investment paradigm.</w:t>
      </w:r>
    </w:p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SIP AUM compounding at 35% CAGR — creating a structurally bid equity market independent of FII flow cycles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FII correlation with Nifty has declined from 0.82 (2018) to ~0.54 (2024) — a fundamental shift in market microstructure that static correlation tools cannot capture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AlphaEdge DCC-GARCH tracks this structural change dynamically — flagging the crossover before mainstream media, 3 weeks ahead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case study is AlphaEdge's primary proof-of-concept for investor materials and customer acquisition — a live, verifiable, data-backed prediction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C. 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1440"/>
        <w:gridCol w:w="1440"/>
        <w:gridCol w:w="1200"/>
      </w:tblGrid>
      <w:tr>
        <w:trPr>
          <w:tblHeader/>
        </w:trP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 Coverage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DCC-GARCH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News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Crisis Signal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Bloomberg Terminal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$24,000/seat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Basic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FactSet / Refinitiv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$18-22K/seat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Basic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Koyfin / Quandl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$600-2,400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Limited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India tools (Screener etc.)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$200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India only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0A23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AlphaEdge (Pro)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$79–$999/mo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45 Markets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✓ DCC-GARCH</w:t>
            </w:r>
          </w:p>
        </w:tc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✓ Llama 3.1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✓ 5-Signal</w:t>
            </w:r>
          </w:p>
        </w:tc>
      </w:tr>
    </w:tbl>
    <w:p>
      <w:pPr>
        <w:pStyle w:val="Heading1"/>
        <w:shd w:fill="0A2342" w:val="clear"/>
        <w:spacing w:after="160" w:before="400"/>
        <w:ind w:left="160"/>
      </w:pPr>
      <w:r>
        <w:rPr>
          <w:rFonts w:ascii="Arial" w:cs="Arial" w:eastAsia="Arial" w:hAnsi="Arial"/>
          <w:b/>
          <w:bCs/>
          <w:color w:val="F59E0B"/>
          <w:sz w:val="30"/>
          <w:szCs w:val="30"/>
        </w:rPr>
        <w:t xml:space="preserve">VI.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Challenges &amp; Risk Mitigation</w:t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A.  Technical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 / Impact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DCC-GARCH compute cost at scale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 / Medium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Numba JIT + Redis caching benchmarked at &lt;200 ms; horizontal scaling on Vercel Edge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LLM inference latency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 / Low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Groq Llama 3.1 delivers &lt;100 ms; OpenRouter fallback ensures 99.9% uptime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Real-time data feed reliability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 / Medium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Multi-source fallback: Yahoo Finance + Finnhub + CoinGecko; Redis buffer prevents single-source failures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B.  Business &amp; Market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 / Impact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Slow institutional sales cycles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 / Medium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Retail-first GTM generates MRR while PMS/FO pipeline matures; Crescendo Partners provides warm PMS introductions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Bloomberg competitive response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 / High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EM-native DCC-GARCH is a 2–3 year internal build for Bloomberg; strategic partnership preferred over competition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Pricing pressure / churn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 / Medium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Tiered model allows flexible discounting; API overage and white-label upsells protect margin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SEBI data licensing changes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 / High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AlphaEdge uses publicly available NSE/BSE data and derivative intelligence — not raw licensed exchange feeds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C.  Key Lessons from Phase 1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Documentation-first unlocked investor conversations: 180 pages of technical documentation became the primary investor due diligence artifact, accelerating Crescendo and Bloomberg engagement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Community as R&amp;D lab: Discord member feedback directly shaped crisis predictor signal weighting and UI prioritisation — a zero-cost product research engine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Predict, then productise: Validated market calls (DII/FII crossover, 2022 spike) are more powerful than feature demos — earning credibility that no marketing budget can buy</w:t>
      </w:r>
    </w:p>
    <w:p>
      <w:r>
        <w:br w:type="page"/>
      </w:r>
    </w:p>
    <w:p>
      <w:pPr>
        <w:pStyle w:val="Heading1"/>
        <w:shd w:fill="0A2342" w:val="clear"/>
        <w:spacing w:after="160" w:before="400"/>
        <w:ind w:left="160"/>
      </w:pPr>
      <w:r>
        <w:rPr>
          <w:rFonts w:ascii="Arial" w:cs="Arial" w:eastAsia="Arial" w:hAnsi="Arial"/>
          <w:b/>
          <w:bCs/>
          <w:color w:val="F59E0B"/>
          <w:sz w:val="30"/>
          <w:szCs w:val="30"/>
        </w:rPr>
        <w:t xml:space="preserve">VII.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Phase 2 Roadmap &amp; Future Plans</w:t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A.  12-Week Execution Plan (Post-Funding Close)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2880"/>
        <w:gridCol w:w="2160"/>
      </w:tblGrid>
      <w:tr>
        <w:trPr>
          <w:tblHeader/>
        </w:trPr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8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Milestones</w:t>
            </w:r>
          </w:p>
        </w:tc>
        <w:tc>
          <w:tcPr>
            <w:tcW w:type="dxa" w:w="28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Milestones</w:t>
            </w:r>
          </w:p>
        </w:tc>
        <w:tc>
          <w:tcPr>
            <w:tcW w:type="dxa" w:w="2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KPI</w:t>
            </w:r>
          </w:p>
        </w:tc>
      </w:tr>
      <w:tr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Wk 1–3</w:t>
            </w:r>
          </w:p>
        </w:tc>
        <w:tc>
          <w:tcPr>
            <w:tcW w:type="dxa" w:w="28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Production infra: Vercel Edge + Redis + WebSocket + Stripe</w:t>
            </w:r>
          </w:p>
        </w:tc>
        <w:tc>
          <w:tcPr>
            <w:tcW w:type="dxa" w:w="28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Funding close, engineering hires, community launch campaign</w:t>
            </w:r>
          </w:p>
        </w:tc>
        <w:tc>
          <w:tcPr>
            <w:tcW w:type="dxa" w:w="2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Infra 99.5% uptime</w:t>
            </w:r>
          </w:p>
        </w:tc>
      </w:tr>
      <w:tr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Wk 4–6</w:t>
            </w:r>
          </w:p>
        </w:tc>
        <w:tc>
          <w:tcPr>
            <w:tcW w:type="dxa" w:w="28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News Intelligence: GDELT/ACLED + Groq Llama 3.1 pipeline live</w:t>
            </w:r>
          </w:p>
        </w:tc>
        <w:tc>
          <w:tcPr>
            <w:tcW w:type="dxa" w:w="28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PMS direct outreach (50 SEBI managers), Discord Pro push</w:t>
            </w:r>
          </w:p>
        </w:tc>
        <w:tc>
          <w:tcPr>
            <w:tcW w:type="dxa" w:w="2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15 subscribers</w:t>
            </w:r>
          </w:p>
        </w:tc>
      </w:tr>
      <w:tr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Wk 7–8</w:t>
            </w:r>
          </w:p>
        </w:tc>
        <w:tc>
          <w:tcPr>
            <w:tcW w:type="dxa" w:w="28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productisation: auth, rate limiting, v1 docs published</w:t>
            </w:r>
          </w:p>
        </w:tc>
        <w:tc>
          <w:tcPr>
            <w:tcW w:type="dxa" w:w="28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Beta launch, Retail Starter/Pro live, first revenue</w:t>
            </w:r>
          </w:p>
        </w:tc>
        <w:tc>
          <w:tcPr>
            <w:tcW w:type="dxa" w:w="2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30 subscribers</w:t>
            </w:r>
          </w:p>
        </w:tc>
      </w:tr>
      <w:tr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Wk 9–10</w:t>
            </w:r>
          </w:p>
        </w:tc>
        <w:tc>
          <w:tcPr>
            <w:tcW w:type="dxa" w:w="28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Family Office Enterprise pilot, on-prem LLM POC</w:t>
            </w:r>
          </w:p>
        </w:tc>
        <w:tc>
          <w:tcPr>
            <w:tcW w:type="dxa" w:w="28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PMS Professional + FO Enterprise onboarding, $10K MRR target</w:t>
            </w:r>
          </w:p>
        </w:tc>
        <w:tc>
          <w:tcPr>
            <w:tcW w:type="dxa" w:w="2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$10,000 MRR</w:t>
            </w:r>
          </w:p>
        </w:tc>
      </w:tr>
      <w:tr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234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Wk 11–12</w:t>
            </w:r>
          </w:p>
        </w:tc>
        <w:tc>
          <w:tcPr>
            <w:tcW w:type="dxa" w:w="28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Seed data room: retention cohorts, API metrics, Bloomberg integration POC</w:t>
            </w:r>
          </w:p>
        </w:tc>
        <w:tc>
          <w:tcPr>
            <w:tcW w:type="dxa" w:w="28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Seed investor meetings, Series A narrative development</w:t>
            </w:r>
          </w:p>
        </w:tc>
        <w:tc>
          <w:tcPr>
            <w:tcW w:type="dxa" w:w="2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Seed close prep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B.  Phase 3 Vision — Post-Seed ($500K–$1M)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2342"/>
          <w:sz w:val="23"/>
          <w:szCs w:val="23"/>
        </w:rPr>
        <w:t xml:space="preserve">Conversational AI Analyst (RAG)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 chat interface allowing users to query NSE/BSE filings, annual reports, concall transcripts, and EM regulatory databases in plain language. 'Ask AlphaEdge: What is HDFC Bank's net exposure to ASEAN credit markets?' Powered by Groq Llama 3.1 + Retrieval-Augmented Generation over AlphaEdge's proprietary EM document corpus.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2342"/>
          <w:sz w:val="23"/>
          <w:szCs w:val="23"/>
        </w:rPr>
        <w:t xml:space="preserve">Alternative Data Alpha Layer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Satellite-derived factory output signals, global shipping log data, and blockchain whale wallet flows integrated directly into the DCC-GARCH correlation model as exogenous variables — providing 48-hour early-warning signals on earnings surprises and liquidity shifts across EM crypto and equity markets.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2342"/>
          <w:sz w:val="23"/>
          <w:szCs w:val="23"/>
        </w:rPr>
        <w:t xml:space="preserve">Bloomberg Terminal Integration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API gateway enabling Bloomberg Terminal users to pull AlphaEdge DCC-GARCH correlation overlays, crisis probability scores, and EM structural change alerts directly into Terminal workflows — leveraging the Bloomberg LP strategic relationship developed through Phase 2.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2342"/>
          <w:sz w:val="23"/>
          <w:szCs w:val="23"/>
        </w:rPr>
        <w:t xml:space="preserve">Southeast Asia &amp; MENA Expansion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Dedicated structural analysis for SGX (Singapore), Bursa Malaysia, TADAWUL (Saudi Arabia), and DFM (Dubai) — replicating the India DII/FII case study methodology for Gulf Vision 2030 capital flow dynamics and ASEAN supply chain reorientation signals.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C.  Strategic Partnerships Pipeline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Bloomberg LP: Strategic alignment with 2026 AI Infrastructure Initiative; joint EM correlation data product for Terminal distribution — validated by Phase 2 investment tranche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Crescendo Partners: Financial partner with SEBI-registered PMS network — pipeline access to 50+ PMS managers immediately post-funding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NSE/BSE: Potential exclusive data partnership for India microstructure signals (order flow, FII/DII granular) — exploratory conversations planned for Month 3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CFA Institute India / CAIA: Curriculum integration of DCC-GARCH EM methodology as professional development content — drives brand and community growth</w:t>
      </w:r>
    </w:p>
    <w:p>
      <w:r>
        <w:br w:type="page"/>
      </w:r>
    </w:p>
    <w:p>
      <w:pPr>
        <w:pStyle w:val="Heading1"/>
        <w:shd w:fill="0A2342" w:val="clear"/>
        <w:spacing w:after="160" w:before="400"/>
        <w:ind w:left="160"/>
      </w:pPr>
      <w:r>
        <w:rPr>
          <w:rFonts w:ascii="Arial" w:cs="Arial" w:eastAsia="Arial" w:hAnsi="Arial"/>
          <w:b/>
          <w:bCs/>
          <w:color w:val="F59E0B"/>
          <w:sz w:val="30"/>
          <w:szCs w:val="30"/>
        </w:rPr>
        <w:t xml:space="preserve">VIII.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Team &amp; Resources</w:t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A.  Founder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8"/>
              <w:left w:val="single" w:color="F59E0B" w:sz="24"/>
              <w:bottom w:val="single" w:color="F59E0B" w:sz="8"/>
              <w:right w:val="single" w:color="F59E0B" w:sz="8"/>
            </w:tcBorders>
            <w:shd w:fill="0A234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32"/>
                <w:szCs w:val="32"/>
              </w:rPr>
              <w:t xml:space="preserve">Vinod Doddareddy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Founder &amp; CEO, AlphaEdge  |  Founder, Pinaka.ai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C8D9EE"/>
                <w:sz w:val="20"/>
                <w:szCs w:val="20"/>
              </w:rPr>
              <w:t xml:space="preserve">vinod.doddareddy@gmail.com   |   </w:t>
            </w:r>
            <w:r>
              <w:rPr>
                <w:rFonts w:ascii="Arial" w:cs="Arial" w:eastAsia="Arial" w:hAnsi="Arial"/>
                <w:color w:val="C8D9EE"/>
                <w:sz w:val="20"/>
                <w:szCs w:val="20"/>
              </w:rPr>
              <w:t xml:space="preserve">+91 63617 04635   |   </w:t>
            </w:r>
            <w:r>
              <w:rPr>
                <w:rFonts w:ascii="Arial" w:cs="Arial" w:eastAsia="Arial" w:hAnsi="Arial"/>
                <w:i/>
                <w:iCs/>
                <w:color w:val="C8D9EE"/>
                <w:sz w:val="20"/>
                <w:szCs w:val="20"/>
              </w:rPr>
              <w:t xml:space="preserve">alphaedge.dev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Credential</w:t>
            </w:r>
            <w:r>
              <w:rPr>
                <w:rFonts w:ascii="Arial" w:cs="Arial" w:eastAsia="Arial" w:hAnsi="Arial"/>
                <w:color w:val="C8D9EE"/>
                <w:sz w:val="20"/>
                <w:szCs w:val="20"/>
              </w:rPr>
              <w:t xml:space="preserve">  Ex-Director of SRE &amp; Engineering, NVIDIA India — production infrastructure at planetary scale for one of the world's most demanding ML hardware companies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Credential</w:t>
            </w:r>
            <w:r>
              <w:rPr>
                <w:rFonts w:ascii="Arial" w:cs="Arial" w:eastAsia="Arial" w:hAnsi="Arial"/>
                <w:color w:val="C8D9EE"/>
                <w:sz w:val="20"/>
                <w:szCs w:val="20"/>
              </w:rPr>
              <w:t xml:space="preserve">  Ex-Director, LinkedIn Engineering — distributed systems platform leadership serving 900M+ professionals globally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Practitioner</w:t>
            </w:r>
            <w:r>
              <w:rPr>
                <w:rFonts w:ascii="Arial" w:cs="Arial" w:eastAsia="Arial" w:hAnsi="Arial"/>
                <w:color w:val="C8D9EE"/>
                <w:sz w:val="20"/>
                <w:szCs w:val="20"/>
              </w:rPr>
              <w:t xml:space="preserve">  Active systematic trader: Nifty 50 (equity index), BTC (crypto), gold &amp; silver — solving his own pain point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Founder</w:t>
            </w:r>
            <w:r>
              <w:rPr>
                <w:rFonts w:ascii="Arial" w:cs="Arial" w:eastAsia="Arial" w:hAnsi="Arial"/>
                <w:color w:val="C8D9EE"/>
                <w:sz w:val="20"/>
                <w:szCs w:val="20"/>
              </w:rPr>
              <w:t xml:space="preserve">  Also founder of Pinaka.ai (AI Agentic Security) — demonstrating parallel AI venture execution capability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B.  Phase 2 Team Build Plan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Senior Backend Engineer (Python / FastAPI / Rust) — DCC-GARCH engine optimisation, API scaling, and data pipeline hardening — hire within 30 days of funding close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Full-Stack Engineer (React / TypeScript / deck.gl) — Dashboard feature build-out, mobile-responsive layout, and API consumer SDK — hire within 45 days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Quantitative Analyst (part-time / contract) — Signal validation, backtesting framework, and alternative data integration — Month 2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Enterprise Business Development (PMS &amp; Family Office) — Post-Seed hire targeting Crescendo Partners' PMS network and CAIA/CFA institutional channels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C.  Advisors &amp; Community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Bloomberg LP — Strategic advisory relationship developing through 2026 AI Infrastructure Initiative engagement; provides enterprise market validation and potential distribution partnership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Crescendo Partners — Investor advisory board, India PMS network access, institutional GTM guidance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500+ Discord Members — Active research validation cohort, backtesting community, zero-cost product feedback engine, and organic word-of-mouth growth channel</w:t>
      </w:r>
    </w:p>
    <w:p>
      <w:r>
        <w:br w:type="page"/>
      </w:r>
    </w:p>
    <w:p>
      <w:pPr>
        <w:pStyle w:val="Heading1"/>
        <w:shd w:fill="0A2342" w:val="clear"/>
        <w:spacing w:after="160" w:before="400"/>
        <w:ind w:left="160"/>
      </w:pPr>
      <w:r>
        <w:rPr>
          <w:rFonts w:ascii="Arial" w:cs="Arial" w:eastAsia="Arial" w:hAnsi="Arial"/>
          <w:b/>
          <w:bCs/>
          <w:color w:val="F59E0B"/>
          <w:sz w:val="30"/>
          <w:szCs w:val="30"/>
        </w:rPr>
        <w:t xml:space="preserve">IX.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SWOT Analysis</w:t>
      </w:r>
    </w:p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STRENGTHS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Only DCC-GARCH engine covering 45 EM markets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98% cheaper than Bloomberg Terminal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500+ organic community (zero paid acquisition)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Validated predictive accuracy: DII/FII crossover call 3 weeks early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Founder pedigree: NVIDIA India &amp; LinkedIn Engineering at Director 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180+ pages investor-grade technical documentation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1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2"/>
                <w:szCs w:val="22"/>
              </w:rPr>
              <w:t xml:space="preserve">WEAKNESSES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Pre-revenue: no live paying customers yet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Single founder — key-person risk until team is built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Brand recognition early stage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Sales function requires hiring post-funding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productisation incomplete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OPPORTUNITIES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Bloomberg 2026 AI Initiative opens strategic distribution lane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India PMS AUM growing 40% CAGR — 400+ SEBI-registered managers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160M+ Demat accounts: retail sophistication rising rapidly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SEBI mandating better risk disclosure for PMS funds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Southeast Asia &amp; MENA expansion (Phase 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Family office formation in India: 300+ new offices 2022–2025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2"/>
                <w:szCs w:val="22"/>
              </w:rPr>
              <w:t xml:space="preserve">THREATS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Bloomberg could add EM correlation features internally (2–3 yr build)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LLM API cost inflation (Groq/OpenRouter pricing changes)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SEBI data licensing tightening on real-time feeds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Slow institutional sales cycles (6–12 months)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Well-capitalised fintech entrants from US/Singapore</w:t>
            </w:r>
          </w:p>
        </w:tc>
      </w:tr>
    </w:tbl>
    <w:p>
      <w:pPr>
        <w:pStyle w:val="Heading1"/>
        <w:shd w:fill="0A2342" w:val="clear"/>
        <w:spacing w:after="160" w:before="400"/>
        <w:ind w:left="160"/>
      </w:pPr>
      <w:r>
        <w:rPr>
          <w:rFonts w:ascii="Arial" w:cs="Arial" w:eastAsia="Arial" w:hAnsi="Arial"/>
          <w:b/>
          <w:bCs/>
          <w:color w:val="F59E0B"/>
          <w:sz w:val="30"/>
          <w:szCs w:val="30"/>
        </w:rPr>
        <w:t xml:space="preserve">X.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Conclusion &amp; Investment Case</w:t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A.  Overall Assessment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AlphaEdge has executed Phase 1 with exceptional capital efficiency — six months of self-funded development producing a technically sophisticated platform prototype, 180+ pages of investor-grade documentation, 500+ organic community members, and two confirmed funding commitments from institutional-quality investors. This is not a speculative concept. It is a built, validated, investor-backed product addressing a structural gap in a $27 trillion market.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B.  The Investment Thesis</w:t>
      </w:r>
    </w:p>
    <w:p>
      <w:pPr>
        <w:pBdr>
          <w:left w:val="single" w:color="F59E0B" w:sz="16"/>
        </w:pBdr>
        <w:shd w:fill="FFF8E7" w:val="clear"/>
        <w:spacing w:after="100" w:before="100"/>
        <w:ind w:left="400" w:right="240"/>
      </w:pPr>
      <w:r>
        <w:rPr>
          <w:rFonts w:ascii="Arial" w:cs="Arial" w:eastAsia="Arial" w:hAnsi="Arial"/>
          <w:b/>
          <w:bCs/>
          <w:color w:val="78350F"/>
          <w:sz w:val="22"/>
          <w:szCs w:val="22"/>
        </w:rPr>
        <w:t xml:space="preserve">Core Argument: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The $27 trillion emerging markets asset class is systematically underserved by intelligence infrastructure built for developed market assumptions. AlphaEdge's DCC-GARCH engine is the only product delivering time-varying EM cross-market correlations, AI news classification, and multi-signal crisis prediction at institutional quality — at 2–10% of Bloomberg's cost. This is a structural gap, not a niche.</w:t>
      </w:r>
    </w:p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Validated technology: DCC-GARCH engine benchmarked, documented to 40 pages, and operational in production-spec architecture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Validated market call: India DII/FII ownership crossover predicted 3 weeks early — earned credibility that no marketing budget can replicate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Validated community: 500+ members who showed up without being invited — the strongest signal of product-market fit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Validated investors: Crescendo Partners and Bloomberg LP have not expressed interest — they have made commitments, contingent only on Demo 2 execution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C.  The Ask</w:t>
      </w:r>
    </w:p>
    <w:p>
      <w:pPr>
        <w:pBdr>
          <w:left w:val="single" w:color="1A3A5C" w:sz="14"/>
        </w:pBdr>
        <w:shd w:fill="EFF4FB" w:val="clear"/>
        <w:spacing w:after="80" w:before="80"/>
        <w:ind w:left="400" w:right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Seed Round Committed: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$12,000,000 — Crescendo Partners ($7.5M) + Bloomberg LP ($4.5M) — triggered by Demo 2 completion</w:t>
      </w:r>
    </w:p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left w:val="single" w:color="1A3A5C" w:sz="14"/>
        </w:pBdr>
        <w:shd w:fill="EFF4FB" w:val="clear"/>
        <w:spacing w:after="80" w:before="80"/>
        <w:ind w:left="400" w:right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Demo 2 Showcase: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Live DCC-GARCH engine on production infrastructure + AI News Classification pipeline + 5-Signal Crisis Predictor dashboard — Q2 2026</w:t>
      </w:r>
    </w:p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left w:val="single" w:color="1A3A5C" w:sz="14"/>
        </w:pBdr>
        <w:shd w:fill="EFF4FB" w:val="clear"/>
        <w:spacing w:after="80" w:before="80"/>
        <w:ind w:left="400" w:right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Series A (Month 12):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$5M–$10M — triggered by $50K+ MRR sustained 90+ days; full SEA/MENA expansion and Bloomberg Terminal integration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D.  Next Steps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Demo 2 Completion (Q2 2026): Showcase production platform to Crescendo Partners and Bloomberg LP — trigger funding commitment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Funding Close: Execute Phase 2 term sheets; first capital deployed within 48 hours of signing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Engineering Team: Senior backend + full-stack engineers hired within 30–45 days of close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Beta Launch (Week 8): First 50 paying subscribers; PMS and Family Office pilots active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$10K MRR (Week 10): Seed data room construction begins; 60-day MRR track record in progress</w:t>
      </w:r>
    </w:p>
    <w:p>
      <w:pPr>
        <w:pStyle w:val="ListParagraph"/>
        <w:numPr>
          <w:ilvl w:val="0"/>
          <w:numId w:val="2"/>
        </w:numPr>
        <w:spacing w:after="50" w:before="4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Seed Close (Month 6): $500K–$1M close; SEA/MENA expansion planning initiated</w:t>
      </w:r>
    </w:p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pBdr>
          <w:bottom w:val="single" w:color="F59E0B" w:sz="6" w:space="2"/>
        </w:pBdr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E. 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8"/>
              <w:left w:val="single" w:color="F59E0B" w:sz="20"/>
              <w:bottom w:val="single" w:color="F59E0B" w:sz="8"/>
              <w:right w:val="single" w:color="F59E0B" w:sz="4"/>
            </w:tcBorders>
            <w:shd w:fill="0A234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30"/>
                <w:szCs w:val="30"/>
              </w:rPr>
              <w:t xml:space="preserve">Vinod Doddareddy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Founder, AlphaEdge  |  Founder, Pinaka.ai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C8D9EE"/>
                <w:sz w:val="22"/>
                <w:szCs w:val="22"/>
              </w:rPr>
              <w:t xml:space="preserve">✉  vinod.doddareddy@gmail.com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C8D9EE"/>
                <w:sz w:val="22"/>
                <w:szCs w:val="22"/>
              </w:rPr>
              <w:t xml:space="preserve">☎  +91 63617 04635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8D9EE"/>
                <w:sz w:val="22"/>
                <w:szCs w:val="22"/>
              </w:rPr>
              <w:t xml:space="preserve">🌐  alphaedge.dev  (coming soon)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Discord Community: 500+ Members  |  All prices in USD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strictly confidential. It is intended solely for prospective investors and strategic partners of AlphaEdge. Do not distribute without prior written consent of the founder.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9E0B" w:sz="6"/>
      </w:pBdr>
      <w:spacing w:before="60"/>
    </w:pPr>
    <w:r>
      <w:rPr>
        <w:rFonts w:ascii="Arial" w:cs="Arial" w:eastAsia="Arial" w:hAnsi="Arial"/>
        <w:color w:val="6B7280"/>
        <w:sz w:val="16"/>
        <w:szCs w:val="16"/>
      </w:rPr>
      <w:t xml:space="preserve">alphaedge.dev   |   vinod.doddareddy@gmail.com   |   Discord Community: 500+ Members</w:t>
    </w:r>
    <w:r>
      <w:rPr>
        <w:rFonts w:ascii="Arial" w:cs="Arial" w:eastAsia="Arial" w:hAnsi="Arial"/>
        <w:color w:val="6B7280"/>
        <w:sz w:val="16"/>
        <w:szCs w:val="16"/>
      </w:rPr>
      <w:t xml:space="preserve">  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E0B" w:sz="6"/>
      </w:pBdr>
      <w:spacing w:after="60"/>
    </w:pPr>
    <w:r>
      <w:rPr>
        <w:rFonts w:ascii="Arial" w:cs="Arial" w:eastAsia="Arial" w:hAnsi="Arial"/>
        <w:b/>
        <w:bCs/>
        <w:color w:val="F59E0B"/>
        <w:sz w:val="18"/>
        <w:szCs w:val="18"/>
      </w:rPr>
      <w:t xml:space="preserve">AlphaEdge</w:t>
    </w:r>
    <w:r>
      <w:rPr>
        <w:rFonts w:ascii="Arial" w:cs="Arial" w:eastAsia="Arial" w:hAnsi="Arial"/>
        <w:color w:val="0A2342"/>
        <w:sz w:val="17"/>
        <w:szCs w:val="17"/>
      </w:rPr>
      <w:t xml:space="preserve">  |  Global Emerging Markets Intelligence Platform  |  Project Report  |  CONFIDENTIAL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720" w:hanging="360"/>
      </w:pPr>
      <w:rPr>
        <w:color w:val="F59E0B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2026-04-12T07:37:47.767Z</dcterms:created>
  <dcterms:modified xsi:type="dcterms:W3CDTF">2026-04-12T07:37:47.767Z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