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de cobertura de pruebas</w:t>
      </w:r>
    </w:p>
    <w:p>
      <w:r>
        <w:t>ClothesRecovery — DSY1104 Desarrollo Fullstack II — Evaluación Parcial 2</w:t>
      </w:r>
    </w:p>
    <w:p>
      <w:r>
        <w:t>Autor: Vicente Flores (sección 001D)    Fecha: 26-10-2026    Versión: 2.0</w:t>
      </w:r>
    </w:p>
    <w:p>
      <w:pPr>
        <w:pStyle w:val="Heading1"/>
      </w:pPr>
      <w:r>
        <w:t>1. Objetivo y alcance</w:t>
      </w:r>
    </w:p>
    <w:p>
      <w:r>
        <w:t>Este documento describe las pruebas unitarias del frontend de ClothesRecovery (React) y la cobertura de código que alcanzan. Las pruebas se escribieron con Jasmine y se ejecutan con Karma, como pide el enunciado.</w:t>
      </w:r>
    </w:p>
    <w:p>
      <w:r>
        <w:t>Qué se probó: la base de datos simulada (productos, usuarios, pedidos, blogs, categorías y zonas), los contextos del carrito y de la sesión, los componentes Navbar, ProductoCard y DireccionFields, y las vistas Productos, Ofertas, Login, Contacto, Comprar y CompraResultado. Qué no se probó: el resto de las vistas y componentes (ver la sección 7). La cobertura porcentual de este documento se mide solo sobre los archivos que cargan las pruebas.</w:t>
      </w:r>
    </w:p>
    <w:p>
      <w:pPr>
        <w:pStyle w:val="Heading1"/>
      </w:pPr>
      <w:r>
        <w:t>2. Herramientas y forma de ejecución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6236"/>
      </w:tblGrid>
      <w:tr>
        <w:tc>
          <w:tcPr>
            <w:tcW w:type="dxa" w:w="3118"/>
            <w:shd w:val="clear" w:color="auto" w:fill="2F3A4F"/>
          </w:tcPr>
          <w:p>
            <w:r/>
            <w:r>
              <w:rPr>
                <w:b/>
                <w:color w:val="FFFFFF"/>
                <w:sz w:val="20"/>
              </w:rPr>
              <w:t>Herramienta</w:t>
            </w:r>
          </w:p>
        </w:tc>
        <w:tc>
          <w:tcPr>
            <w:tcW w:type="dxa" w:w="6236"/>
            <w:shd w:val="clear" w:color="auto" w:fill="2F3A4F"/>
          </w:tcPr>
          <w:p>
            <w:r/>
            <w:r>
              <w:rPr>
                <w:b/>
                <w:color w:val="FFFFFF"/>
                <w:sz w:val="20"/>
              </w:rPr>
              <w:t>Para qué se usa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20"/>
              </w:rPr>
              <w:t>Jasmine 7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Escribir las pruebas: describe agrupa, it es un caso y expect compara el resultado. También entrega los mocks (jasmine.createSpy y spyOn).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20"/>
              </w:rPr>
              <w:t>Karma 6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Abrir un navegador (Chrome sin ventana), cargar los archivos *.spec.js y *.spec.jsx de src/ y ejecutar las pruebas.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20"/>
              </w:rPr>
              <w:t>karma-webpack + babel-loader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Convertir el JSX a JavaScript normal antes de correr las pruebas, igual que hace react-scripts.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20"/>
              </w:rPr>
              <w:t>babel-plugin-istanbul + karma-coverage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Medir qué sentencias, ramas, funciones y líneas ejecutan las pruebas, y generar el reporte.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20"/>
              </w:rPr>
              <w:t>@testing-library/react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Dibujar los componentes dentro de la prueba y simular clics y escritura.</w:t>
            </w:r>
          </w:p>
        </w:tc>
      </w:tr>
    </w:tbl>
    <w:p/>
    <w:p>
      <w:r>
        <w:t>Para ejecutarlas, desde la carpeta del proyecto:</w:t>
      </w:r>
    </w:p>
    <w:p>
      <w:pPr>
        <w:pStyle w:val="IntenseQuote"/>
      </w:pPr>
      <w:r>
        <w:t>npm install</w:t>
        <w:br/>
        <w:t>npm run test:karma</w:t>
      </w:r>
    </w:p>
    <w:p>
      <w:r>
        <w:t>La configuración está en karma.conf.js. El reporte HTML queda en la carpeta coverage/html y se abre con index.html. En esta máquina de desarrollo Karma usa el Chromium instalado en el entorno; en otro computador usa Google Chrome si está instalado (o la variable CHROME_BIN).</w:t>
      </w:r>
    </w:p>
    <w:p>
      <w:pPr>
        <w:pStyle w:val="Heading1"/>
      </w:pPr>
      <w:r>
        <w:t>3. Resultado de la ejecución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969"/>
        <w:gridCol w:w="2835"/>
      </w:tblGrid>
      <w:tr>
        <w:tc>
          <w:tcPr>
            <w:tcW w:type="dxa" w:w="3969"/>
            <w:shd w:val="clear" w:color="auto" w:fill="2F3A4F"/>
          </w:tcPr>
          <w:p>
            <w:r/>
            <w:r>
              <w:rPr>
                <w:b/>
                <w:color w:val="FFFFFF"/>
                <w:sz w:val="20"/>
              </w:rPr>
              <w:t>Métrica</w:t>
            </w:r>
          </w:p>
        </w:tc>
        <w:tc>
          <w:tcPr>
            <w:tcW w:type="dxa" w:w="2835"/>
            <w:shd w:val="clear" w:color="auto" w:fill="2F3A4F"/>
          </w:tcPr>
          <w:p>
            <w:r/>
            <w:r>
              <w:rPr>
                <w:b/>
                <w:color w:val="FFFFFF"/>
                <w:sz w:val="20"/>
              </w:rPr>
              <w:t>Resultado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20"/>
              </w:rPr>
              <w:t>Archivos de prueba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15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20"/>
              </w:rPr>
              <w:t>Pruebas ejecutadas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144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20"/>
              </w:rPr>
              <w:t>Pruebas que pasan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144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20"/>
              </w:rPr>
              <w:t>Pruebas que fallan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0</w:t>
            </w:r>
          </w:p>
        </w:tc>
      </w:tr>
    </w:tbl>
    <w:p/>
    <w:p>
      <w:pPr>
        <w:pStyle w:val="Heading1"/>
      </w:pPr>
      <w:r>
        <w:t>4. Cobertura de código</w:t>
      </w:r>
    </w:p>
    <w:p>
      <w:r>
        <w:t>Porcentajes medidos sobre los 17 archivos que cargan las pruebas: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2835"/>
        <w:gridCol w:w="2268"/>
      </w:tblGrid>
      <w:tr>
        <w:tc>
          <w:tcPr>
            <w:tcW w:type="dxa" w:w="3402"/>
            <w:shd w:val="clear" w:color="auto" w:fill="2F3A4F"/>
          </w:tcPr>
          <w:p>
            <w:r/>
            <w:r>
              <w:rPr>
                <w:b/>
                <w:color w:val="FFFFFF"/>
                <w:sz w:val="20"/>
              </w:rPr>
              <w:t>Métrica</w:t>
            </w:r>
          </w:p>
        </w:tc>
        <w:tc>
          <w:tcPr>
            <w:tcW w:type="dxa" w:w="2835"/>
            <w:shd w:val="clear" w:color="auto" w:fill="2F3A4F"/>
          </w:tcPr>
          <w:p>
            <w:r/>
            <w:r>
              <w:rPr>
                <w:b/>
                <w:color w:val="FFFFFF"/>
                <w:sz w:val="20"/>
              </w:rPr>
              <w:t>Cubierto / total</w:t>
            </w:r>
          </w:p>
        </w:tc>
        <w:tc>
          <w:tcPr>
            <w:tcW w:type="dxa" w:w="2268"/>
            <w:shd w:val="clear" w:color="auto" w:fill="2F3A4F"/>
          </w:tcPr>
          <w:p>
            <w:r/>
            <w:r>
              <w:rPr>
                <w:b/>
                <w:color w:val="FFFFFF"/>
                <w:sz w:val="20"/>
              </w:rPr>
              <w:t>Porcentaje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Sentencias (statements)</w:t>
            </w:r>
          </w:p>
        </w:tc>
        <w:tc>
          <w:tcPr>
            <w:tcW w:type="dxa" w:w="2835"/>
          </w:tcPr>
          <w:p>
            <w:pPr>
              <w:jc w:val="right"/>
            </w:pPr>
            <w:r/>
            <w:r>
              <w:rPr>
                <w:sz w:val="20"/>
              </w:rPr>
              <w:t>358 / 361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sz w:val="20"/>
              </w:rPr>
              <w:t>99,16 %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Ramas (branches)</w:t>
            </w:r>
          </w:p>
        </w:tc>
        <w:tc>
          <w:tcPr>
            <w:tcW w:type="dxa" w:w="2835"/>
          </w:tcPr>
          <w:p>
            <w:pPr>
              <w:jc w:val="right"/>
            </w:pPr>
            <w:r/>
            <w:r>
              <w:rPr>
                <w:sz w:val="20"/>
              </w:rPr>
              <w:t>144 / 157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sz w:val="20"/>
              </w:rPr>
              <w:t>91,71 %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Funciones</w:t>
            </w:r>
          </w:p>
        </w:tc>
        <w:tc>
          <w:tcPr>
            <w:tcW w:type="dxa" w:w="2835"/>
          </w:tcPr>
          <w:p>
            <w:pPr>
              <w:jc w:val="right"/>
            </w:pPr>
            <w:r/>
            <w:r>
              <w:rPr>
                <w:sz w:val="20"/>
              </w:rPr>
              <w:t>96 / 96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sz w:val="20"/>
              </w:rPr>
              <w:t>100 %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Líneas</w:t>
            </w:r>
          </w:p>
        </w:tc>
        <w:tc>
          <w:tcPr>
            <w:tcW w:type="dxa" w:w="2835"/>
          </w:tcPr>
          <w:p>
            <w:pPr>
              <w:jc w:val="right"/>
            </w:pPr>
            <w:r/>
            <w:r>
              <w:rPr>
                <w:sz w:val="20"/>
              </w:rPr>
              <w:t>328 / 331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sz w:val="20"/>
              </w:rPr>
              <w:t>99,09 %</w:t>
            </w:r>
          </w:p>
        </w:tc>
      </w:tr>
    </w:tbl>
    <w:p/>
    <w:p>
      <w:r>
        <w:t>Detalle por archivo: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75"/>
        <w:gridCol w:w="1191"/>
        <w:gridCol w:w="1020"/>
        <w:gridCol w:w="1247"/>
        <w:gridCol w:w="1020"/>
        <w:gridCol w:w="1701"/>
      </w:tblGrid>
      <w:tr>
        <w:tc>
          <w:tcPr>
            <w:tcW w:type="dxa" w:w="3175"/>
            <w:shd w:val="clear" w:color="auto" w:fill="2F3A4F"/>
          </w:tcPr>
          <w:p>
            <w:r/>
            <w:r>
              <w:rPr>
                <w:b/>
                <w:color w:val="FFFFFF"/>
                <w:sz w:val="20"/>
              </w:rPr>
              <w:t>Archivo</w:t>
            </w:r>
          </w:p>
        </w:tc>
        <w:tc>
          <w:tcPr>
            <w:tcW w:type="dxa" w:w="1191"/>
            <w:shd w:val="clear" w:color="auto" w:fill="2F3A4F"/>
          </w:tcPr>
          <w:p>
            <w:r/>
            <w:r>
              <w:rPr>
                <w:b/>
                <w:color w:val="FFFFFF"/>
                <w:sz w:val="20"/>
              </w:rPr>
              <w:t>Sentencias %</w:t>
            </w:r>
          </w:p>
        </w:tc>
        <w:tc>
          <w:tcPr>
            <w:tcW w:type="dxa" w:w="1020"/>
            <w:shd w:val="clear" w:color="auto" w:fill="2F3A4F"/>
          </w:tcPr>
          <w:p>
            <w:r/>
            <w:r>
              <w:rPr>
                <w:b/>
                <w:color w:val="FFFFFF"/>
                <w:sz w:val="20"/>
              </w:rPr>
              <w:t>Ramas %</w:t>
            </w:r>
          </w:p>
        </w:tc>
        <w:tc>
          <w:tcPr>
            <w:tcW w:type="dxa" w:w="1247"/>
            <w:shd w:val="clear" w:color="auto" w:fill="2F3A4F"/>
          </w:tcPr>
          <w:p>
            <w:r/>
            <w:r>
              <w:rPr>
                <w:b/>
                <w:color w:val="FFFFFF"/>
                <w:sz w:val="20"/>
              </w:rPr>
              <w:t>Funciones %</w:t>
            </w:r>
          </w:p>
        </w:tc>
        <w:tc>
          <w:tcPr>
            <w:tcW w:type="dxa" w:w="1020"/>
            <w:shd w:val="clear" w:color="auto" w:fill="2F3A4F"/>
          </w:tcPr>
          <w:p>
            <w:r/>
            <w:r>
              <w:rPr>
                <w:b/>
                <w:color w:val="FFFFFF"/>
                <w:sz w:val="20"/>
              </w:rPr>
              <w:t>Líneas %</w:t>
            </w:r>
          </w:p>
        </w:tc>
        <w:tc>
          <w:tcPr>
            <w:tcW w:type="dxa" w:w="1701"/>
            <w:shd w:val="clear" w:color="auto" w:fill="2F3A4F"/>
          </w:tcPr>
          <w:p>
            <w:r/>
            <w:r>
              <w:rPr>
                <w:b/>
                <w:color w:val="FFFFFF"/>
                <w:sz w:val="20"/>
              </w:rPr>
              <w:t>Sin cubrir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20"/>
              </w:rPr>
              <w:t>components/DireccionFields.jsx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20"/>
              </w:rPr>
              <w:t>100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20"/>
              </w:rPr>
              <w:t>100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20"/>
              </w:rPr>
              <w:t>100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20"/>
              </w:rPr>
              <w:t>100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20"/>
              </w:rPr>
              <w:t>components/Navbar.jsx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20"/>
              </w:rPr>
              <w:t>100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20"/>
              </w:rPr>
              <w:t>87,5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20"/>
              </w:rPr>
              <w:t>100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20"/>
              </w:rPr>
              <w:t>100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112 (rama)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20"/>
              </w:rPr>
              <w:t>components/ProductoCard.jsx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20"/>
              </w:rPr>
              <w:t>100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20"/>
              </w:rPr>
              <w:t>88,88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20"/>
              </w:rPr>
              <w:t>100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20"/>
              </w:rPr>
              <w:t>100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54 (rama)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20"/>
              </w:rPr>
              <w:t>context/CarritoContext.jsx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20"/>
              </w:rPr>
              <w:t>98,27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20"/>
              </w:rPr>
              <w:t>95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20"/>
              </w:rPr>
              <w:t>100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20"/>
              </w:rPr>
              <w:t>98,11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95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20"/>
              </w:rPr>
              <w:t>context/SesionContext.jsx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20"/>
              </w:rPr>
              <w:t>100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20"/>
              </w:rPr>
              <w:t>100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20"/>
              </w:rPr>
              <w:t>100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20"/>
              </w:rPr>
              <w:t>100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20"/>
              </w:rPr>
              <w:t>data/blogs.js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20"/>
              </w:rPr>
              <w:t>100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20"/>
              </w:rPr>
              <w:t>100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20"/>
              </w:rPr>
              <w:t>100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20"/>
              </w:rPr>
              <w:t>100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20"/>
              </w:rPr>
              <w:t>data/categorias.js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20"/>
              </w:rPr>
              <w:t>100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20"/>
              </w:rPr>
              <w:t>100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20"/>
              </w:rPr>
              <w:t>100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20"/>
              </w:rPr>
              <w:t>100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20"/>
              </w:rPr>
              <w:t>data/pedidos.js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20"/>
              </w:rPr>
              <w:t>95,12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20"/>
              </w:rPr>
              <w:t>50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20"/>
              </w:rPr>
              <w:t>100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20"/>
              </w:rPr>
              <w:t>94,59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17, 109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20"/>
              </w:rPr>
              <w:t>data/productos.js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20"/>
              </w:rPr>
              <w:t>100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20"/>
              </w:rPr>
              <w:t>100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20"/>
              </w:rPr>
              <w:t>100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20"/>
              </w:rPr>
              <w:t>100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20"/>
              </w:rPr>
              <w:t>data/usuarios.js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20"/>
              </w:rPr>
              <w:t>100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20"/>
              </w:rPr>
              <w:t>100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20"/>
              </w:rPr>
              <w:t>100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20"/>
              </w:rPr>
              <w:t>100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20"/>
              </w:rPr>
              <w:t>data/zonas.js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20"/>
              </w:rPr>
              <w:t>100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20"/>
              </w:rPr>
              <w:t>100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20"/>
              </w:rPr>
              <w:t>100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20"/>
              </w:rPr>
              <w:t>100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20"/>
              </w:rPr>
              <w:t>pages/CompraResultado.jsx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20"/>
              </w:rPr>
              <w:t>100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20"/>
              </w:rPr>
              <w:t>100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20"/>
              </w:rPr>
              <w:t>100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20"/>
              </w:rPr>
              <w:t>100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20"/>
              </w:rPr>
              <w:t>pages/Comprar.jsx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20"/>
              </w:rPr>
              <w:t>100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20"/>
              </w:rPr>
              <w:t>76,92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20"/>
              </w:rPr>
              <w:t>100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20"/>
              </w:rPr>
              <w:t>100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19-28 (ramas)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20"/>
              </w:rPr>
              <w:t>pages/Contacto.jsx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20"/>
              </w:rPr>
              <w:t>100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20"/>
              </w:rPr>
              <w:t>100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20"/>
              </w:rPr>
              <w:t>100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20"/>
              </w:rPr>
              <w:t>100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20"/>
              </w:rPr>
              <w:t>pages/Login.jsx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20"/>
              </w:rPr>
              <w:t>100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20"/>
              </w:rPr>
              <w:t>100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20"/>
              </w:rPr>
              <w:t>100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20"/>
              </w:rPr>
              <w:t>100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20"/>
              </w:rPr>
              <w:t>pages/Ofertas.jsx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20"/>
              </w:rPr>
              <w:t>100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20"/>
              </w:rPr>
              <w:t>100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20"/>
              </w:rPr>
              <w:t>100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20"/>
              </w:rPr>
              <w:t>100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20"/>
              </w:rPr>
              <w:t>pages/Productos.jsx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20"/>
              </w:rPr>
              <w:t>100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20"/>
              </w:rPr>
              <w:t>100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20"/>
              </w:rPr>
              <w:t>100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20"/>
              </w:rPr>
              <w:t>100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—</w:t>
            </w:r>
          </w:p>
        </w:tc>
      </w:tr>
    </w:tbl>
    <w:p/>
    <w:p>
      <w:pPr>
        <w:pStyle w:val="Heading1"/>
      </w:pPr>
      <w:r>
        <w:t>5. Uso de mocks</w:t>
      </w:r>
    </w:p>
    <w:p>
      <w:r>
        <w:t>Para aislar cada pieza se usan los espías (mocks) de Jasmine:</w:t>
      </w:r>
    </w:p>
    <w:p>
      <w:pPr>
        <w:pStyle w:val="ListBullet"/>
      </w:pPr>
      <w:r>
        <w:t>jasmine.createSpy: simula funciones que un componente recibe por props. Por ejemplo, en ProductoCard se pasa un espía como onAgregar y se verifica que el clic lo llame con el producto y el precio que se cobra; en DireccionFields se verifican los cambios de región y comuna.</w:t>
      </w:r>
    </w:p>
    <w:p>
      <w:pPr>
        <w:pStyle w:val="ListBullet"/>
      </w:pPr>
      <w:r>
        <w:t>spyOn(Storage.prototype, "setItem"): vigila el guardado en localStorage. Con callThrough se comprueba que el carrito y los pedidos se guardan; con throwError se simula que el almacenamiento falla y se verifica que la aplicación no se cae.</w:t>
      </w:r>
    </w:p>
    <w:p>
      <w:pPr>
        <w:pStyle w:val="ListBullet"/>
      </w:pPr>
      <w:r>
        <w:t>spyOn(window, "print"): reemplaza la impresión del navegador para comprobar que el botón "Imprimir boleta en PDF" la invoca sin abrir el diálogo real.</w:t>
      </w:r>
    </w:p>
    <w:p>
      <w:r>
        <w:t>Después de cada prueba los espías se restauran y el localStorage se limpia, para que las pruebas no dependan unas de otras.</w:t>
      </w:r>
    </w:p>
    <w:p>
      <w:pPr>
        <w:pStyle w:val="Heading1"/>
      </w:pPr>
      <w:r>
        <w:t>6. Pruebas por archivo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61"/>
        <w:gridCol w:w="680"/>
        <w:gridCol w:w="5669"/>
      </w:tblGrid>
      <w:tr>
        <w:tc>
          <w:tcPr>
            <w:tcW w:type="dxa" w:w="3061"/>
            <w:shd w:val="clear" w:color="auto" w:fill="2F3A4F"/>
          </w:tcPr>
          <w:p>
            <w:r/>
            <w:r>
              <w:rPr>
                <w:b/>
                <w:color w:val="FFFFFF"/>
                <w:sz w:val="20"/>
              </w:rPr>
              <w:t>Archivo de prueba</w:t>
            </w:r>
          </w:p>
        </w:tc>
        <w:tc>
          <w:tcPr>
            <w:tcW w:type="dxa" w:w="680"/>
            <w:shd w:val="clear" w:color="auto" w:fill="2F3A4F"/>
          </w:tcPr>
          <w:p>
            <w:r/>
            <w:r>
              <w:rPr>
                <w:b/>
                <w:color w:val="FFFFFF"/>
                <w:sz w:val="20"/>
              </w:rPr>
              <w:t>N.º</w:t>
            </w:r>
          </w:p>
        </w:tc>
        <w:tc>
          <w:tcPr>
            <w:tcW w:type="dxa" w:w="5669"/>
            <w:shd w:val="clear" w:color="auto" w:fill="2F3A4F"/>
          </w:tcPr>
          <w:p>
            <w:r/>
            <w:r>
              <w:rPr>
                <w:b/>
                <w:color w:val="FFFFFF"/>
                <w:sz w:val="20"/>
              </w:rPr>
              <w:t>Qué verifica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data/productos.spec.js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29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Formato de precio; ofertas (20 %, redondeo, precio final); leer por código y por categoría; buscarProductos por texto y categoría; crear, editar y eliminar productos; descontar stock.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data/pedidos.spec.js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Pasarela simulada (acepta hasta $150.000 inclusive y rechaza sobre ese monto); crear pedido con número y código de orden; copia de ítems; localStorage (con mocks); leer, editar y eliminar.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context/CarritoContext.spec.jsx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13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Carrito vacío; agregar y sumar cantidades; tope de stock; producto inexistente; cambiar cantidad; eliminar; vaciar; guardar y recuperar desde localStorage, incluso cuando el guardado falla.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data/usuarios.spec.js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10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Buscar por correo; existeCorreo; validar credenciales (correctas, clave mala, correo inexistente); crear, editar y eliminar usuarios.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data/zonas.spec.js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10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16 regiones; nombre de región y comuna por id (número o texto); ids inexistentes; cada comuna pertenece a una región; categorías.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pages/Productos.spec.jsx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10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Listado completo; búsqueda por texto sin distinguir mayúsculas; filtro por categoría; combinación de ambos; filtros en la URL; botón Limpiar; contador; mensaje sin resultados; vista de Ofertas.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pages/Comprar.spec.jsx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9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Carrito vacío; formulario vacío sin sesión; formulario completado con la sesión; total en el botón; escritura en el formulario; pago aceptado, rechazado por monto y rechazado por stock; datos del pedido.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pages/CompraResultado.spec.jsx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8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Vista de compra exitosa y de error; motivo del rechazo (monto o stock); datos del cliente y producto; pedido no encontrado; botón de impresión (mock de window.print); mensaje de envío por email.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components/Navbar.spec.jsx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8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Enlaces de login y registro sin sesión; saludo y "Cerrar sesión" con sesión; búsqueda que navega a /productos?q=; búsqueda del menú lateral; contador del carrito; categorías.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components/ProductoCard.spec.jsx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7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Nombre y precio; etiqueta de oferta con precio anterior y con descuento; clic llama a onAgregar (mock) con el precio que se cobra; aviso de stock; enlace al detalle.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data/blogs.spec.js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7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Los 3 artículos iniciales; buscar por slug; crear, editar y eliminar.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context/SesionContext.spec.jsx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Parte sin sesión; iniciarSesion deja al usuario conectado; no guarda la contraseña; cerrarSesion borra lo guardado; recupera la sesión al recargar; datos dañados en localStorage.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pages/Login.spec.jsx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Login correcto navega al inicio; clave incorrecta muestra error; sin error al inicio; la sesión queda guardada sin la contraseña.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components/DireccionFields.spec.jsx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Cascada región → comuna: la comuna parte deshabilitada, solo se ofrecen las comunas de la región elegida, al cambiar la región se avisa al padre (mock) y se borra la comuna; la calle también avisa con el nombre del campo.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pages/Contacto.spec.jsx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Formulario controlado; confirmación al enviar y limpieza de campos.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Total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144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</w:r>
          </w:p>
        </w:tc>
      </w:tr>
    </w:tbl>
    <w:p/>
    <w:p>
      <w:pPr>
        <w:pStyle w:val="Heading1"/>
      </w:pPr>
      <w:r>
        <w:t>7. Qué falta cubrir y por qué</w:t>
      </w:r>
    </w:p>
    <w:p>
      <w:r>
        <w:t>Líneas y ramas sin cubrir dentro de los archivos medidos:</w:t>
      </w:r>
    </w:p>
    <w:p>
      <w:pPr>
        <w:pStyle w:val="ListBullet"/>
      </w:pPr>
      <w:r>
        <w:t>pedidos.js, línea 17: leer pedidos ya guardados en localStorage al cargar el módulo. Las pruebas parten sin pedidos guardados.</w:t>
      </w:r>
    </w:p>
    <w:p>
      <w:pPr>
        <w:pStyle w:val="ListBullet"/>
      </w:pPr>
      <w:r>
        <w:t>pedidos.js, línea 109: conservar los demás pedidos al eliminar uno. Las pruebas eliminan con un solo pedido creado.</w:t>
      </w:r>
    </w:p>
    <w:p>
      <w:pPr>
        <w:pStyle w:val="ListBullet"/>
      </w:pPr>
      <w:r>
        <w:t>CarritoContext.jsx, línea 95: conservar los otros productos al cambiar la cantidad de uno. Las pruebas cambian la cantidad con un solo producto en el carrito.</w:t>
      </w:r>
    </w:p>
    <w:p>
      <w:pPr>
        <w:pStyle w:val="ListBullet"/>
      </w:pPr>
      <w:r>
        <w:t>Navbar.jsx, línea 112 (rama): una variante de la condición de la barra de búsqueda que no se ejercita.</w:t>
      </w:r>
    </w:p>
    <w:p>
      <w:pPr>
        <w:pStyle w:val="ListBullet"/>
      </w:pPr>
      <w:r>
        <w:t>ProductoCard.jsx, línea 54 (rama): texto "Sin stock" cuando el producto no tiene unidades. Los productos de prueba tienen stock.</w:t>
      </w:r>
    </w:p>
    <w:p>
      <w:pPr>
        <w:pStyle w:val="ListBullet"/>
      </w:pPr>
      <w:r>
        <w:t>Comprar.jsx, líneas 19-28 (ramas): valores de respaldo cuando la sesión no trae algún dato de dirección.</w:t>
      </w:r>
    </w:p>
    <w:p>
      <w:r>
        <w:t>Archivos sin pruebas, y por lo tanto fuera de la medición de porcentajes:</w:t>
      </w:r>
    </w:p>
    <w:p>
      <w:pPr>
        <w:pStyle w:val="ListBullet"/>
      </w:pPr>
      <w:r>
        <w:t>Vistas: Home, ProductoDetalle, Categorias, Nosotros, Blogs, BlogDetalle, Registro y Carrito.</w:t>
      </w:r>
    </w:p>
    <w:p>
      <w:pPr>
        <w:pStyle w:val="ListBullet"/>
      </w:pPr>
      <w:r>
        <w:t>Componentes: Footer, CategoriaCard y EquipoSeccion.</w:t>
      </w:r>
    </w:p>
    <w:p>
      <w:pPr>
        <w:pStyle w:val="ListBullet"/>
      </w:pPr>
      <w:r>
        <w:t>App.js (rutas) e index.js (arranque).</w:t>
      </w:r>
    </w:p>
    <w:p>
      <w:r>
        <w:t>Por eso el 99 % describe la cobertura de los módulos probados, no de todo el proyecto. Las vistas sin pruebas unitarias se verificaron manualmente y con un recorrido automatizado de navegación (login, búsqueda y filtros, cascada región-comuna, pago aceptado y rechazado, carrito persistente), pero ese recorrido no forma parte de esta suite.</w:t>
      </w:r>
    </w:p>
    <w:p>
      <w:pPr>
        <w:pStyle w:val="Heading1"/>
      </w:pPr>
      <w:r>
        <w:t>8. Conclusión y próximos pasos</w:t>
      </w:r>
    </w:p>
    <w:p>
      <w:r>
        <w:t>La lógica del negocio (precios, ofertas, stock, carrito, sesión, buscador, pasarela de pago, usuarios y pedidos) está probada de forma directa: 144 pruebas pasan y las funciones CRUD tienen cobertura completa en productos, usuarios, blogs, categorías y zonas. Como siguiente paso, se agregarían pruebas para Registro, Carrito y Home, que son las vistas con más lógica sin cubrir.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