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TAD – Architettura tecnica</w:t>
      </w:r>
    </w:p>
    <w:p>
      <w:pPr>
        <w:pStyle w:val="Subtitle"/>
      </w:pPr>
      <w:r>
        <w:t xml:space="preserve">Progetto ATM Bancomat con TIBCO BW 6</w:t>
      </w:r>
    </w:p>
    <w:p>
      <w:pPr>
        <w:pStyle w:val="Heading1"/>
      </w:pPr>
      <w:r>
        <w:t xml:space="preserve">1. Organizzazione del progetto</w:t>
      </w:r>
    </w:p>
    <w:p>
      <w:pPr>
        <w:pStyle w:val="Normal"/>
      </w:pPr>
      <w:r>
        <w:t xml:space="preserve">Ho previsto tre parti: una pagina HTML con CSS e JavaScript, un piccolo servizio locale in Node.js con Express e un processo TIBCO BW 6. La pagina raccoglierà la richiesta, il servizio salverà l’XML e TIBCO lo leggerà per elaborare il prelievo.</w:t>
      </w:r>
    </w:p>
    <w:p>
      <w:pPr>
        <w:pStyle w:val="Normal"/>
      </w:pPr>
      <w:r>
        <w:t xml:space="preserve">Il flusso sarà: pagina → servizio locale → cartella input → TIBCO → cartella processed oppure error. Pagina e API saranno servite dallo stesso indirizzo locale. Il servizio ascolterà su 127.0.0.1.</w:t>
      </w:r>
    </w:p>
    <w:p>
      <w:pPr>
        <w:pStyle w:val="Heading1"/>
      </w:pPr>
      <w:r>
        <w:t xml:space="preserve">2. Controlli della richiesta</w:t>
      </w:r>
    </w:p>
    <w:p>
      <w:pPr>
        <w:pStyle w:val="Normal"/>
      </w:pPr>
      <w:r>
        <w:t xml:space="preserve">JavaScript controllerà i campi prima dell’invio. Il servizio ripeterà i controlli, perché quelli della pagina possono essere aggirati, e confronterà nome, cognome e PIN con l’archivio dei clienti fittizi.</w:t>
      </w:r>
    </w:p>
    <w:p>
      <w:pPr>
        <w:pStyle w:val="Normal"/>
      </w:pPr>
      <w:r>
        <w:t xml:space="preserve">Per il PIN userò l’espressione ^[0-9]{5}$. Lo conserverò come stringa per non perdere lo zero iniziale. Nome e cognome saranno obbligatori dopo la rimozione degli spazi iniziali e finali. Gli importi saranno positivi, con al massimo due decimali; i confronti saranno fatti in centesimi interi.</w:t>
      </w:r>
    </w:p>
    <w:p>
      <w:pPr>
        <w:pStyle w:val="Heading1"/>
      </w:pPr>
      <w:r>
        <w:t xml:space="preserve">3. Esempio del file XML</w:t>
      </w:r>
    </w:p>
    <w:p>
      <w:pPr>
        <w:pStyle w:val="Normal"/>
      </w:pPr>
      <w:r>
        <w:t xml:space="preserve">Il file sarà scritto in UTF-8. L’importo avrà il punto decimale; data e ora saranno generate dal servizio al momento della richiesta, con il fuso orario. Questo è un esempio con dati di prova:</w:t>
      </w:r>
    </w:p>
    <w:p>
      <w:pPr>
        <w:pStyle w:val="Code"/>
      </w:pPr>
      <w:r>
        <w:t xml:space="preserve">&lt;?xml version="1.0" encoding="UTF-8"?&gt;</w:t>
      </w:r>
    </w:p>
    <w:p>
      <w:pPr>
        <w:pStyle w:val="Code"/>
      </w:pPr>
      <w:r>
        <w:t xml:space="preserve">&lt;TransazioneATM&gt;</w:t>
      </w:r>
    </w:p>
    <w:p>
      <w:pPr>
        <w:pStyle w:val="Code"/>
      </w:pPr>
      <w:r>
        <w:t xml:space="preserve">  &lt;Cliente&gt;</w:t>
      </w:r>
    </w:p>
    <w:p>
      <w:pPr>
        <w:pStyle w:val="Code"/>
      </w:pPr>
      <w:r>
        <w:t xml:space="preserve">    &lt;Nome&gt;Mario&lt;/Nome&gt;</w:t>
      </w:r>
    </w:p>
    <w:p>
      <w:pPr>
        <w:pStyle w:val="Code"/>
      </w:pPr>
      <w:r>
        <w:t xml:space="preserve">    &lt;Cognome&gt;Rossi&lt;/Cognome&gt;</w:t>
      </w:r>
    </w:p>
    <w:p>
      <w:pPr>
        <w:pStyle w:val="Code"/>
      </w:pPr>
      <w:r>
        <w:t xml:space="preserve">    &lt;PIN&gt;12345&lt;/PIN&gt;</w:t>
      </w:r>
    </w:p>
    <w:p>
      <w:pPr>
        <w:pStyle w:val="Code"/>
      </w:pPr>
      <w:r>
        <w:t xml:space="preserve">  &lt;/Cliente&gt;</w:t>
      </w:r>
    </w:p>
    <w:p>
      <w:pPr>
        <w:pStyle w:val="Code"/>
      </w:pPr>
      <w:r>
        <w:t xml:space="preserve">  &lt;DettagliPrelievo&gt;</w:t>
      </w:r>
    </w:p>
    <w:p>
      <w:pPr>
        <w:pStyle w:val="Code"/>
      </w:pPr>
      <w:r>
        <w:t xml:space="preserve">    &lt;Importo&gt;100.00&lt;/Importo&gt;</w:t>
      </w:r>
    </w:p>
    <w:p>
      <w:pPr>
        <w:pStyle w:val="Code"/>
      </w:pPr>
      <w:r>
        <w:t xml:space="preserve">    &lt;DataOra&gt;2026-10-19T11:00:00+02:00&lt;/DataOra&gt;</w:t>
      </w:r>
    </w:p>
    <w:p>
      <w:pPr>
        <w:pStyle w:val="Code"/>
      </w:pPr>
      <w:r>
        <w:t xml:space="preserve">  &lt;/DettagliPrelievo&gt;</w:t>
      </w:r>
    </w:p>
    <w:p>
      <w:pPr>
        <w:pStyle w:val="Code"/>
      </w:pPr>
      <w:r>
        <w:t xml:space="preserve">&lt;/TransazioneATM&gt;</w:t>
      </w:r>
    </w:p>
    <w:p>
      <w:pPr>
        <w:pStyle w:val="Normal"/>
      </w:pPr>
      <w:r>
        <w:t xml:space="preserve">I nomi degli elementi resteranno quelli della traccia. Lo schema XSD descriverà campi obbligatori, ordine degli elementi, PIN di cinque cifre, importo positivo e data con fuso. I caratteri riservati dell’XML saranno convertiti nelle rispettive entità, per esempio &amp; in &amp;amp;.</w:t>
      </w:r>
    </w:p>
    <w:p>
      <w:r>
        <w:br w:type="page"/>
      </w:r>
    </w:p>
    <w:p>
      <w:pPr>
        <w:pStyle w:val="Heading1"/>
      </w:pPr>
      <w:r>
        <w:t xml:space="preserve">4. Salvataggio del file</w:t>
      </w:r>
    </w:p>
    <w:p>
      <w:pPr>
        <w:pStyle w:val="Normal"/>
      </w:pPr>
      <w:r>
        <w:t xml:space="preserve">Il browser non può scrivere liberamente in una cartella del computer. Per questo invierà i dati al servizio locale, che leggerà il percorso dalla variabile ATM_OUTPUT_DIR. Per la dimostrazione il percorso potrà essere C:\ATM\input.</w:t>
      </w:r>
    </w:p>
    <w:p>
      <w:pPr>
        <w:pStyle w:val="Normal"/>
      </w:pPr>
      <w:r>
        <w:t xml:space="preserve">Il servizio genererà un identificativo univoco e lo userà come nome del file, per esempio &lt;identificativo&gt;.xml. Il client non potrà scegliere percorsi o nomi arbitrari. Lo stesso identificativo sarà mantenuto se si riprova una richiesta dopo un errore di rete.</w:t>
      </w:r>
    </w:p>
    <w:p>
      <w:pPr>
        <w:pStyle w:val="Normal"/>
      </w:pPr>
      <w:r>
        <w:t xml:space="preserve">La scrittura avverrà prima in un file .tmp e poi, quando sarà completa, il file verrà rinominato .xml nella stessa cartella. TIBCO dovrà cercare soltanto i file .xml. Se il salvataggio fallisce, la pagina mostrerà un errore e non eseguirà il popup.</w:t>
      </w:r>
    </w:p>
    <w:p>
      <w:pPr>
        <w:pStyle w:val="Normal"/>
      </w:pPr>
      <w:r>
        <w:t xml:space="preserve">Il PIN in chiaro nell’XML serve soltanto per rispettare il contratto della dimostrazione. Non userò dati reali e non scriverò il PIN nei log. Questo formato non è adatto a un ATM reale.</w:t>
      </w:r>
    </w:p>
    <w:p>
      <w:pPr>
        <w:pStyle w:val="Heading1"/>
      </w:pPr>
      <w:r>
        <w:t xml:space="preserve">5. Saldo e richieste ripetute</w:t>
      </w:r>
    </w:p>
    <w:p>
      <w:pPr>
        <w:pStyle w:val="Normal"/>
      </w:pPr>
      <w:r>
        <w:t xml:space="preserve">Per la demo ho previsto un archivio SQLite con clienti, saldo iniziale, prenotazioni e identificativi delle richieste. La disponibilità sarà il saldo iniziale meno gli importi già prenotati. Le prenotazioni resteranno salvate anche dopo il riavvio del servizio.</w:t>
      </w:r>
    </w:p>
    <w:p>
      <w:pPr>
        <w:pStyle w:val="Normal"/>
      </w:pPr>
      <w:r>
        <w:t xml:space="preserve">Il controllo della disponibilità e la prenotazione dovranno avvenire nella stessa transazione del database. In questo modo, due richieste contemporanee non potranno impegnare più denaro di quello disponibile. Una richiesta ripetuta con lo stesso identificativo non creerà una seconda prenotazione; lo stesso identificativo con dati diversi sarà rifiutato.</w:t>
      </w:r>
    </w:p>
    <w:p>
      <w:pPr>
        <w:pStyle w:val="Normal"/>
      </w:pPr>
      <w:r>
        <w:t xml:space="preserve">Il servizio locale gestirà solo la disponibilità della demo. TIBCO gestirà l’addebito nel proprio archivio centrale di prova, una sola volta per identificativo, senza sottrarre di nuovo denaro dal saldo locale. In questa prima versione non è previsto il riallineamento automatico dei due archivi: le prenotazioni resteranno occupate fino alla riconciliazione.</w:t>
      </w:r>
    </w:p>
    <w:p>
      <w:pPr>
        <w:pStyle w:val="Normal"/>
      </w:pPr>
      <w:r>
        <w:t xml:space="preserve">Se la scrittura fallisce prima che il file sia pubblicato e l’esito è certo, la prenotazione dovrà essere annullata. Se il servizio si interrompe in un punto in cui non è chiaro se TIBCO abbia già ricevuto il file, conserverò la prenotazione e verificherò l’identificativo nel registro. Non creerò una nuova richiesta per risolvere l’incertezza.</w:t>
      </w:r>
    </w:p>
    <w:p>
      <w:pPr>
        <w:pStyle w:val="Normal"/>
      </w:pPr>
      <w:r>
        <w:t xml:space="preserve">Prima di liberare fondi o azzerare una prova controllerò quindi che non ci siano file ancora in attesa. Durante il collaudo userò cartelle e dati separati per ogni scenario.</w:t>
      </w:r>
    </w:p>
    <w:p>
      <w:r>
        <w:br w:type="page"/>
      </w:r>
    </w:p>
    <w:p>
      <w:pPr>
        <w:pStyle w:val="Heading1"/>
      </w:pPr>
      <w:r>
        <w:t xml:space="preserve">6. Processo da realizzare in TIBCO BW 6</w:t>
      </w:r>
    </w:p>
    <w:p>
      <w:pPr>
        <w:pStyle w:val="Normal"/>
      </w:pPr>
      <w:r>
        <w:t xml:space="preserve">1) File Poller: imposterò il percorso C:\ATM\input\*.xml, un intervallo di controllo di 5 secondi e l’opzione Include Existing Files, così verranno considerate anche le richieste presenti prima dell’avvio. Gestirò gli eventi di creazione dei file.</w:t>
      </w:r>
    </w:p>
    <w:p>
      <w:pPr>
        <w:pStyle w:val="Normal"/>
      </w:pPr>
      <w:r>
        <w:t xml:space="preserve">2) Lettura e analisi: userò Read File in UTF-8 per leggere il contenuto. Lo passerò a Parse XML, con Input Style impostato su Text. Nell’Output Editor selezionerò lo schema XSD di TransazioneATM e abiliterò Validate Output.</w:t>
      </w:r>
    </w:p>
    <w:p>
      <w:pPr>
        <w:pStyle w:val="Normal"/>
      </w:pPr>
      <w:r>
        <w:t xml:space="preserve">3) Controlli: dopo la validazione dello schema, controllerò i dati del cliente, il PIN e l’importo. Lo schema verifica la struttura del messaggio, ma non può stabilire se il cliente esiste o se ha saldo sufficiente.</w:t>
      </w:r>
    </w:p>
    <w:p>
      <w:pPr>
        <w:pStyle w:val="Normal"/>
      </w:pPr>
      <w:r>
        <w:t xml:space="preserve">4) Elaborazione: ricaverò l’identificativo dal nome del file e controllerò un registro persistente. Se la richiesta è già stata completata, non eseguirò un altro addebito. Per una richiesta nuova, registrazione dell’esito e aggiornamento del saldo centrale dovranno appartenere alla stessa transazione, con un vincolo di unicità sull’identificativo.</w:t>
      </w:r>
    </w:p>
    <w:p>
      <w:pPr>
        <w:pStyle w:val="Normal"/>
      </w:pPr>
      <w:r>
        <w:t xml:space="preserve">5) Archiviazione: userò Rename File per spostare i file riusciti in processed. I file non validi o rifiutati saranno spostati in error. Registrerò identificativo e motivo dell’errore, senza riportare il PIN.</w:t>
      </w:r>
    </w:p>
    <w:p>
      <w:pPr>
        <w:pStyle w:val="Normal"/>
      </w:pPr>
      <w:r>
        <w:t xml:space="preserve">6) Riavvii ed errori: se l’addebito è riuscito ma lo spostamento del file fallisce, al tentativo successivo il registro impedirà un secondo addebito. In caso di errore temporaneo riproverò lo stesso identificativo; per un errore di validazione correggerò prima la causa. Un esito incerto richiederà una verifica prima di proseguire.</w:t>
      </w:r>
    </w:p>
    <w:p>
      <w:pPr>
        <w:pStyle w:val="Heading1"/>
      </w:pPr>
      <w:r>
        <w:t xml:space="preserve">7. Cartelle condivise e verifica in laboratorio</w:t>
      </w:r>
    </w:p>
    <w:p>
      <w:pPr>
        <w:pStyle w:val="Normal"/>
      </w:pPr>
      <w:r>
        <w:t xml:space="preserve">Se servizio e TIBCO girano su computer diversi, userò una cartella condivisa raggiungibile da entrambi, per esempio \\server\atm\input. Verificherò i permessi degli utenti che eseguono i servizi e la rinomina del file sulla condivisione. Un percorso C:\ATM\input su due computer diversi non indica la stessa cartella.</w:t>
      </w:r>
    </w:p>
    <w:p>
      <w:pPr>
        <w:pStyle w:val="Normal"/>
      </w:pPr>
      <w:r>
        <w:t xml:space="preserve">Le attività sono descritte con riferimento alla documentazione ufficiale BW 6.11. La versione e i nomi delle opzioni disponibili nel laboratorio andranno controllati in Business Studio. Questo TAD descrive un processo da realizzare: non riporta un collaudo TIBCO già eseguito.</w:t>
      </w:r>
    </w:p>
    <w:p>
      <w:pPr>
        <w:pStyle w:val="Heading1"/>
      </w:pPr>
      <w:r>
        <w:t xml:space="preserve">Riferimenti e prove</w:t>
      </w:r>
    </w:p>
    <w:p>
      <w:hyperlink r:id="rIdPoller">
        <w:r>
          <w:rPr>
            <w:rStyle w:val="Hyperlink"/>
          </w:rPr>
          <w:t>TIBCO BW 6.11 – File Poller</w:t>
        </w:r>
      </w:hyperlink>
    </w:p>
    <w:p>
      <w:hyperlink r:id="rIdParse">
        <w:r>
          <w:rPr>
            <w:rStyle w:val="Hyperlink"/>
          </w:rPr>
          <w:t>TIBCO BW 6.11 – Parse XML</w:t>
        </w:r>
      </w:hyperlink>
    </w:p>
    <w:p>
      <w:hyperlink r:id="rIdFile">
        <w:r>
          <w:rPr>
            <w:rStyle w:val="Hyperlink"/>
          </w:rPr>
          <w:t>TIBCO BW 6.6 – File Palette (Rename File)</w:t>
        </w:r>
      </w:hyperlink>
    </w:p>
    <w:p>
      <w:hyperlink r:id="rIdExcel">
        <w:r>
          <w:rPr>
            <w:rStyle w:val="Hyperlink"/>
          </w:rPr>
          <w:t>Casi di test: apri Casi_di_test_ATM.xlsx</w:t>
        </w:r>
      </w:hyperlink>
    </w:p>
    <w:sectPr>
      <w:footerReference w:type="default" r:id="rIdFooter"/>
      <w:pgSz w:w="11906" w:h="16838"/>
      <w:pgMar w:top="1134" w:right="1134" w:bottom="1134" w:left="1134" w:header="567" w:footer="567"/>
    </w:sectPr>
  </w:body>
</w:document>
</file>

<file path=word/footer1.xml><?xml version="1.0" encoding="utf-8"?>
<w:ftr xmlns:w="http://schemas.openxmlformats.org/wordprocessingml/2006/main">
  <w:p>
    <w:pPr>
      <w:jc w:val="right"/>
    </w:pPr>
    <w:r>
      <w:rPr>
        <w:color w:val="666666"/>
        <w:sz w:val="18"/>
      </w:rPr>
      <w:t xml:space="preserve">Progetto ATM · </w:t>
    </w:r>
    <w:fldSimple w:instr="PAGE">
      <w:r>
        <w:t>1</w:t>
      </w:r>
    </w:fldSimple>
  </w:p>
</w:ftr>
</file>

<file path=word/styles.xml><?xml version="1.0" encoding="utf-8"?>
<w:styles xmlns:w="http://schemas.openxmlformats.org/wordprocessingml/2006/main">
  <w:docDefaults>
    <w:rPrDefault>
      <w:rPr>
        <w:rFonts w:ascii="Calibri" w:hAnsi="Calibri"/>
        <w:sz w:val="22"/>
        <w:lang w:val="it-IT"/>
      </w:rPr>
    </w:rPrDefault>
    <w:pPrDefault>
      <w:pPr>
        <w:spacing w:after="120" w:line="264" w:lineRule="auto"/>
        <w:widowControl/>
      </w:pPr>
    </w:pPrDefault>
  </w:docDefaults>
  <w:style w:type="paragraph" w:default="1" w:styleId="Normal">
    <w:name w:val="Normal"/>
  </w:style>
  <w:style w:type="paragraph" w:styleId="Title">
    <w:name w:val="Title"/>
    <w:basedOn w:val="Normal"/>
    <w:pPr>
      <w:keepNext/>
      <w:spacing w:before="0" w:after="140"/>
    </w:pPr>
    <w:rPr>
      <w:b/>
      <w:color w:val="203A53"/>
      <w:sz w:val="34"/>
    </w:rPr>
  </w:style>
  <w:style w:type="paragraph" w:styleId="Subtitle">
    <w:name w:val="Subtitle"/>
    <w:basedOn w:val="Normal"/>
    <w:pPr>
      <w:keepNext/>
      <w:spacing w:after="240"/>
    </w:pPr>
    <w:rPr>
      <w:color w:val="555555"/>
      <w:sz w:val="22"/>
    </w:rPr>
  </w:style>
  <w:style w:type="paragraph" w:styleId="Heading1">
    <w:name w:val="heading 1"/>
    <w:basedOn w:val="Normal"/>
    <w:pPr>
      <w:keepNext/>
      <w:keepLines/>
      <w:spacing w:before="220" w:after="100"/>
      <w:outlineLvl w:val="0"/>
    </w:pPr>
    <w:rPr>
      <w:b/>
      <w:color w:val="203A53"/>
      <w:sz w:val="26"/>
    </w:rPr>
  </w:style>
  <w:style w:type="paragraph" w:styleId="Code">
    <w:name w:val="Codice XML"/>
    <w:basedOn w:val="Normal"/>
    <w:pPr>
      <w:keepNext/>
      <w:spacing w:after="0" w:line="220" w:lineRule="auto"/>
      <w:shd w:fill="F3F5F7"/>
    </w:pPr>
    <w:rPr>
      <w:rFonts w:ascii="Consolas" w:hAnsi="Consolas"/>
      <w:sz w:val="19"/>
    </w:r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 Id="rIdPoller" Type="http://schemas.openxmlformats.org/officeDocument/2006/relationships/hyperlink" Target="https://docs.tibco.com/pub/activematrix_businessworks/6.11.0/doc/html/binding-palette/file-poller.htm" TargetMode="External"/><Relationship Id="rIdParse" Type="http://schemas.openxmlformats.org/officeDocument/2006/relationships/hyperlink" Target="https://docs.tibco.com/pub/activematrix_businessworks/6.11.0/doc/html/binding-palette/parse-xml.htm" TargetMode="External"/><Relationship Id="rIdFile" Type="http://schemas.openxmlformats.org/officeDocument/2006/relationships/hyperlink" Target="https://docs.tibco.com/pub/activematrix_businessworks/6.6.0/doc/html/GUID-CEC25132-84CC-4186-955F-00C975A3948D.html" TargetMode="External"/><Relationship Id="rIdExcel" Type="http://schemas.openxmlformats.org/officeDocument/2006/relationships/hyperlink" Target="Casi_di_test_ATM.xlsx" TargetMode="External"/></Relationships>
</file>