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Title"/>
      </w:pPr>
      <w:r>
        <w:t>TAD Architettura tecnica del progetto ATM</w:t>
      </w:r>
    </w:p>
    <w:p>
      <w:r>
        <w:t>Vincenzo Minervini | Revisione del 21 ottobre 2026</w:t>
      </w:r>
    </w:p>
    <w:p>
      <w:r>
        <w:t>Questo documento descrive la versione del progetto in cui TIBCO BusinessWorks gestisce tutte le operazioni sul database. Il frontend comunica attraverso file XML e non usa servizi REST. I test dei componenti sono stati eseguiti su PostgreSQL e Chromium; il collaudo completo del processo BusinessWorks rimane da completare in laboratorio.</w:t>
      </w:r>
    </w:p>
    <w:p>
      <w:pPr>
        <w:pStyle w:val="Heading1"/>
      </w:pPr>
      <w:r>
        <w:t>1 Organizzazione del progetto</w:t>
      </w:r>
    </w:p>
    <w:p>
      <w:r>
        <w:t>Ho mantenuto il modulo ProgettoATM e l’applicazione ProgettoATM.application. Il processo attivo è progettoatm.ATMCompleto. La connessione PostgreSQL è una risorsa JDBC del modulo. Questa revisione non contiene un Shared Module separato né nuovi sottoprocessi.</w:t>
      </w:r>
    </w:p>
    <w:tbl>
      <w:tblPr>
        <w:tblW w:type="auto" w:w="0"/>
        <w:jc w:val="center"/>
        <w:tblLayout w:type="fixed"/>
        <w:tblLook w:firstColumn="1" w:firstRow="1" w:lastColumn="0" w:lastRow="0" w:noHBand="0" w:noVBand="1" w:val="04A0"/>
      </w:tblPr>
      <w:tblGrid>
        <w:gridCol w:w="2438"/>
        <w:gridCol w:w="7200"/>
      </w:tblGrid>
      <w:tr>
        <w:trPr>
          <w:tblHeader/>
        </w:trPr>
        <w:tc>
          <w:tcPr>
            <w:tcW w:type="dxa" w:w="2438"/>
            <w:vAlign w:val="center"/>
            <w:tcBorders>
              <w:top w:val="single" w:sz="4" w:color="D9D9D9"/>
              <w:left w:val="single" w:sz="4" w:color="D9D9D9"/>
              <w:bottom w:val="single" w:sz="4" w:color="D9D9D9"/>
              <w:right w:val="single" w:sz="4" w:color="D9D9D9"/>
            </w:tcBorders>
            <w:shd w:fill="203A50"/>
            <w:tcMar>
              <w:top w:w="90" w:type="dxa"/>
              <w:left w:w="90" w:type="dxa"/>
              <w:bottom w:w="90" w:type="dxa"/>
              <w:right w:w="90" w:type="dxa"/>
            </w:tcMar>
          </w:tcPr>
          <w:p>
            <w:pPr>
              <w:spacing w:after="60" w:before="60"/>
            </w:pPr>
            <w:r>
              <w:rPr>
                <w:b/>
                <w:color w:val="FFFFFF"/>
                <w:sz w:val="19"/>
              </w:rPr>
              <w:t>Componente</w:t>
            </w:r>
          </w:p>
        </w:tc>
        <w:tc>
          <w:tcPr>
            <w:tcW w:type="dxa" w:w="7200"/>
            <w:vAlign w:val="center"/>
            <w:tcBorders>
              <w:top w:val="single" w:sz="4" w:color="D9D9D9"/>
              <w:left w:val="single" w:sz="4" w:color="D9D9D9"/>
              <w:bottom w:val="single" w:sz="4" w:color="D9D9D9"/>
              <w:right w:val="single" w:sz="4" w:color="D9D9D9"/>
            </w:tcBorders>
            <w:shd w:fill="203A50"/>
            <w:tcMar>
              <w:top w:w="90" w:type="dxa"/>
              <w:left w:w="90" w:type="dxa"/>
              <w:bottom w:w="90" w:type="dxa"/>
              <w:right w:w="90" w:type="dxa"/>
            </w:tcMar>
          </w:tcPr>
          <w:p>
            <w:pPr>
              <w:spacing w:after="60" w:before="60"/>
            </w:pPr>
            <w:r>
              <w:rPr>
                <w:b/>
                <w:color w:val="FFFFFF"/>
                <w:sz w:val="19"/>
              </w:rPr>
              <w:t>Responsabilità</w:t>
            </w:r>
          </w:p>
        </w:tc>
      </w:tr>
      <w:tr>
        <w:tc>
          <w:tcPr>
            <w:tcW w:type="dxa" w:w="2438"/>
            <w:vAlign w:val="center"/>
            <w:tcBorders>
              <w:top w:val="single" w:sz="4" w:color="D9D9D9"/>
              <w:left w:val="single" w:sz="4" w:color="D9D9D9"/>
              <w:bottom w:val="single" w:sz="4" w:color="D9D9D9"/>
              <w:right w:val="single" w:sz="4" w:color="D9D9D9"/>
            </w:tcBorders>
            <w:shd w:fill="F1F4F7"/>
            <w:tcMar>
              <w:top w:w="90" w:type="dxa"/>
              <w:left w:w="90" w:type="dxa"/>
              <w:bottom w:w="90" w:type="dxa"/>
              <w:right w:w="90" w:type="dxa"/>
            </w:tcMar>
          </w:tcPr>
          <w:p>
            <w:pPr>
              <w:spacing w:after="60" w:before="60"/>
            </w:pPr>
            <w:r>
              <w:rPr>
                <w:sz w:val="19"/>
              </w:rPr>
              <w:t>Frontend HTML CSS JavaScript</w:t>
            </w:r>
          </w:p>
        </w:tc>
        <w:tc>
          <w:tcPr>
            <w:tcW w:type="dxa" w:w="7200"/>
            <w:vAlign w:val="center"/>
            <w:tcBorders>
              <w:top w:val="single" w:sz="4" w:color="D9D9D9"/>
              <w:left w:val="single" w:sz="4" w:color="D9D9D9"/>
              <w:bottom w:val="single" w:sz="4" w:color="D9D9D9"/>
              <w:right w:val="single" w:sz="4" w:color="D9D9D9"/>
            </w:tcBorders>
            <w:shd w:fill="F1F4F7"/>
            <w:tcMar>
              <w:top w:w="90" w:type="dxa"/>
              <w:left w:w="90" w:type="dxa"/>
              <w:bottom w:w="90" w:type="dxa"/>
              <w:right w:w="90" w:type="dxa"/>
            </w:tcMar>
          </w:tcPr>
          <w:p>
            <w:pPr>
              <w:spacing w:after="60" w:before="60"/>
            </w:pPr>
            <w:r>
              <w:rPr>
                <w:sz w:val="19"/>
              </w:rPr>
              <w:t>Raccoglie i dati, controlla il formato, pubblica XML e legge l’esito dalle cartelle.</w:t>
            </w:r>
          </w:p>
        </w:tc>
      </w:tr>
      <w:tr>
        <w:tc>
          <w:tcPr>
            <w:tcW w:type="dxa" w:w="243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sz w:val="19"/>
              </w:rPr>
              <w:t>Processo ATMCompleto</w:t>
            </w:r>
          </w:p>
        </w:tc>
        <w:tc>
          <w:tcPr>
            <w:tcW w:type="dxa" w:w="720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sz w:val="19"/>
              </w:rPr>
              <w:t>Acquisisce i file, valida lo schema, esegue la query JDBC e archivia i risultati.</w:t>
            </w:r>
          </w:p>
        </w:tc>
      </w:tr>
      <w:tr>
        <w:tc>
          <w:tcPr>
            <w:tcW w:type="dxa" w:w="2438"/>
            <w:vAlign w:val="center"/>
            <w:tcBorders>
              <w:top w:val="single" w:sz="4" w:color="D9D9D9"/>
              <w:left w:val="single" w:sz="4" w:color="D9D9D9"/>
              <w:bottom w:val="single" w:sz="4" w:color="D9D9D9"/>
              <w:right w:val="single" w:sz="4" w:color="D9D9D9"/>
            </w:tcBorders>
            <w:shd w:fill="F1F4F7"/>
            <w:tcMar>
              <w:top w:w="90" w:type="dxa"/>
              <w:left w:w="90" w:type="dxa"/>
              <w:bottom w:w="90" w:type="dxa"/>
              <w:right w:w="90" w:type="dxa"/>
            </w:tcMar>
          </w:tcPr>
          <w:p>
            <w:pPr>
              <w:spacing w:after="60" w:before="60"/>
            </w:pPr>
            <w:r>
              <w:rPr>
                <w:sz w:val="19"/>
              </w:rPr>
              <w:t>ConnessionePostgres</w:t>
            </w:r>
          </w:p>
        </w:tc>
        <w:tc>
          <w:tcPr>
            <w:tcW w:type="dxa" w:w="7200"/>
            <w:vAlign w:val="center"/>
            <w:tcBorders>
              <w:top w:val="single" w:sz="4" w:color="D9D9D9"/>
              <w:left w:val="single" w:sz="4" w:color="D9D9D9"/>
              <w:bottom w:val="single" w:sz="4" w:color="D9D9D9"/>
              <w:right w:val="single" w:sz="4" w:color="D9D9D9"/>
            </w:tcBorders>
            <w:shd w:fill="F1F4F7"/>
            <w:tcMar>
              <w:top w:w="90" w:type="dxa"/>
              <w:left w:w="90" w:type="dxa"/>
              <w:bottom w:w="90" w:type="dxa"/>
              <w:right w:w="90" w:type="dxa"/>
            </w:tcMar>
          </w:tcPr>
          <w:p>
            <w:pPr>
              <w:spacing w:after="60" w:before="60"/>
            </w:pPr>
            <w:r>
              <w:rPr>
                <w:sz w:val="19"/>
              </w:rPr>
              <w:t>Configura il collegamento JDBC. Le credenziali si impostano localmente.</w:t>
            </w:r>
          </w:p>
        </w:tc>
      </w:tr>
      <w:tr>
        <w:tc>
          <w:tcPr>
            <w:tcW w:type="dxa" w:w="243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sz w:val="19"/>
              </w:rPr>
              <w:t>PostgreSQL</w:t>
            </w:r>
          </w:p>
        </w:tc>
        <w:tc>
          <w:tcPr>
            <w:tcW w:type="dxa" w:w="720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sz w:val="19"/>
              </w:rPr>
              <w:t>Conserva clienti, saldi, transazioni e vincoli. Non richiede funzioni applicative.</w:t>
            </w:r>
          </w:p>
        </w:tc>
      </w:tr>
      <w:tr>
        <w:tc>
          <w:tcPr>
            <w:tcW w:type="dxa" w:w="2438"/>
            <w:vAlign w:val="center"/>
            <w:tcBorders>
              <w:top w:val="single" w:sz="4" w:color="D9D9D9"/>
              <w:left w:val="single" w:sz="4" w:color="D9D9D9"/>
              <w:bottom w:val="single" w:sz="4" w:color="D9D9D9"/>
              <w:right w:val="single" w:sz="4" w:color="D9D9D9"/>
            </w:tcBorders>
            <w:shd w:fill="F1F4F7"/>
            <w:tcMar>
              <w:top w:w="90" w:type="dxa"/>
              <w:left w:w="90" w:type="dxa"/>
              <w:bottom w:w="90" w:type="dxa"/>
              <w:right w:w="90" w:type="dxa"/>
            </w:tcMar>
          </w:tcPr>
          <w:p>
            <w:pPr>
              <w:spacing w:after="60" w:before="60"/>
            </w:pPr>
            <w:r>
              <w:rPr>
                <w:sz w:val="19"/>
              </w:rPr>
              <w:t>Cartelle input processed error</w:t>
            </w:r>
          </w:p>
        </w:tc>
        <w:tc>
          <w:tcPr>
            <w:tcW w:type="dxa" w:w="7200"/>
            <w:vAlign w:val="center"/>
            <w:tcBorders>
              <w:top w:val="single" w:sz="4" w:color="D9D9D9"/>
              <w:left w:val="single" w:sz="4" w:color="D9D9D9"/>
              <w:bottom w:val="single" w:sz="4" w:color="D9D9D9"/>
              <w:right w:val="single" w:sz="4" w:color="D9D9D9"/>
            </w:tcBorders>
            <w:shd w:fill="F1F4F7"/>
            <w:tcMar>
              <w:top w:w="90" w:type="dxa"/>
              <w:left w:w="90" w:type="dxa"/>
              <w:bottom w:w="90" w:type="dxa"/>
              <w:right w:w="90" w:type="dxa"/>
            </w:tcMar>
          </w:tcPr>
          <w:p>
            <w:pPr>
              <w:spacing w:after="60" w:before="60"/>
            </w:pPr>
            <w:r>
              <w:rPr>
                <w:sz w:val="19"/>
              </w:rPr>
              <w:t>Scambiano richieste ed esiti tra browser e runtime.</w:t>
            </w:r>
          </w:p>
        </w:tc>
      </w:tr>
    </w:tbl>
    <w:p>
      <w:pPr>
        <w:pStyle w:val="Heading1"/>
      </w:pPr>
      <w:r>
        <w:t>2 Percorso della richiesta</w:t>
      </w:r>
    </w:p>
    <w:p>
      <w:r>
        <w:t>Il browser scrive UUID.xml in input. File Poller acquisisce il contenuto in UTF-8. Parse XML verifica TransazioneATM.xsd e passa i dati a ConcludiPrelievo. L’attività JDBC autentica il cliente, verifica il saldo e registra il risultato. Solo gli esiti OK e GIA_ELABORATA raggiungono processed. I rifiuti arrivano in error. Un errore JDBC lascia la richiesta in input.</w:t>
      </w:r>
    </w:p>
    <w:p>
      <w:r>
        <w:t>La pagina mostra il successo solo dopo aver trovato lo stesso XML in processed. La presenza in error produce un rifiuto generico; il dettaglio si consulta nel processo e nel log TIBCO. L’invio del file, da solo, non conferma il prelievo.</w:t>
      </w:r>
    </w:p>
    <w:p>
      <w:r>
        <w:br w:type="page"/>
      </w:r>
    </w:p>
    <w:p>
      <w:pPr>
        <w:pStyle w:val="Heading1"/>
      </w:pPr>
      <w:r>
        <w:t>3 Contratto XML e frontend</w:t>
      </w:r>
    </w:p>
    <w:p>
      <w:r>
        <w:t>Il nome del file contiene l’UUID, che identifica la richiesta anche nei tentativi successivi. Il messaggio contiene Cliente con Nome, Cognome e PIN, seguito da DettagliPrelievo con Importo e DataOra. Il PIN rimane una stringa di cinque cifre, compreso lo zero iniziale. L’importo è positivo, con massimo due decimali. Il browser converte la virgola in punto e genera DataOra in UTC.</w:t>
      </w:r>
    </w:p>
    <w:p>
      <w:r>
        <w:t>Il frontend elimina gli spazi esterni dai nominativi, codifica i caratteri riservati XML e non contiene query o credenziali del database. Lo schema XSD verifica struttura, campi e formato. Il controllo dell’identità e della disponibilità è eseguito dalla query JDBC, anche se il file è stato creato al di fuori della pagina.</w:t>
      </w:r>
    </w:p>
    <w:p>
      <w:r>
        <w:t>Per accedere ai file, l’utente seleziona esplicitamente la cartella con File System Access API. Il browser deve poter raggiungere lo stesso filesystem usato da TIBCO. La soluzione è destinata a Chrome o Edge su PC e non costituisce un accesso remoto da smartphone.</w:t>
      </w:r>
    </w:p>
    <w:p>
      <w:r>
        <w:t>Il modulo blocca una seconda richiesta mentre attende l’esito. Conserva solo l’UUID in localStorage, senza PIN o nominativi. Dopo un ricaricamento richiede di ricollegare la cartella e controllare lo stesso UUID. Il PIN viene rimosso dal modulo quando viene letto l’esito.</w:t>
      </w:r>
    </w:p>
    <w:p>
      <w:pPr>
        <w:pStyle w:val="Heading1"/>
      </w:pPr>
      <w:r>
        <w:t>4 Logica del database nel processo TIBCO</w:t>
      </w:r>
    </w:p>
    <w:p>
      <w:r>
        <w:t>ConcludiPrelievo contiene una sola istruzione SQL parametrizzata, con UUID, nome, cognome, PIN e importo in centesimi. La query è definita nel BWP e non richiama le vecchie funzioni prenota_prelievo o concludi_prelievo.</w:t>
      </w:r>
    </w:p>
    <w:p>
      <w:r>
        <w:t>La query blocca la riga del cliente con FOR UPDATE, controlla una transazione precedente e registra la nuova richiesta. Se il saldo basta, inserisce ESEGUITA e aggiorna il saldo. Se non basta, inserisce RIFIUTATA e lascia il saldo invariato. Inserimento e addebito appartengono alla stessa istruzione: un errore annulla entrambi.</w:t>
      </w:r>
    </w:p>
    <w:tbl>
      <w:tblPr>
        <w:tblW w:type="auto" w:w="0"/>
        <w:jc w:val="center"/>
        <w:tblLayout w:type="fixed"/>
        <w:tblLook w:firstColumn="1" w:firstRow="1" w:lastColumn="0" w:lastRow="0" w:noHBand="0" w:noVBand="1" w:val="04A0"/>
      </w:tblPr>
      <w:tblGrid>
        <w:gridCol w:w="3061"/>
        <w:gridCol w:w="6576"/>
      </w:tblGrid>
      <w:tr>
        <w:trPr>
          <w:tblHeader/>
        </w:trPr>
        <w:tc>
          <w:tcPr>
            <w:tcW w:type="dxa" w:w="3061"/>
            <w:vAlign w:val="center"/>
            <w:tcBorders>
              <w:top w:val="single" w:sz="4" w:color="D9D9D9"/>
              <w:left w:val="single" w:sz="4" w:color="D9D9D9"/>
              <w:bottom w:val="single" w:sz="4" w:color="D9D9D9"/>
              <w:right w:val="single" w:sz="4" w:color="D9D9D9"/>
            </w:tcBorders>
            <w:shd w:fill="203A50"/>
            <w:tcMar>
              <w:top w:w="90" w:type="dxa"/>
              <w:left w:w="90" w:type="dxa"/>
              <w:bottom w:w="90" w:type="dxa"/>
              <w:right w:w="90" w:type="dxa"/>
            </w:tcMar>
          </w:tcPr>
          <w:p>
            <w:pPr>
              <w:spacing w:after="60" w:before="60"/>
            </w:pPr>
            <w:r>
              <w:rPr>
                <w:b/>
                <w:color w:val="FFFFFF"/>
                <w:sz w:val="19"/>
              </w:rPr>
              <w:t>Esito</w:t>
            </w:r>
          </w:p>
        </w:tc>
        <w:tc>
          <w:tcPr>
            <w:tcW w:type="dxa" w:w="6576"/>
            <w:vAlign w:val="center"/>
            <w:tcBorders>
              <w:top w:val="single" w:sz="4" w:color="D9D9D9"/>
              <w:left w:val="single" w:sz="4" w:color="D9D9D9"/>
              <w:bottom w:val="single" w:sz="4" w:color="D9D9D9"/>
              <w:right w:val="single" w:sz="4" w:color="D9D9D9"/>
            </w:tcBorders>
            <w:shd w:fill="203A50"/>
            <w:tcMar>
              <w:top w:w="90" w:type="dxa"/>
              <w:left w:w="90" w:type="dxa"/>
              <w:bottom w:w="90" w:type="dxa"/>
              <w:right w:w="90" w:type="dxa"/>
            </w:tcMar>
          </w:tcPr>
          <w:p>
            <w:pPr>
              <w:spacing w:after="60" w:before="60"/>
            </w:pPr>
            <w:r>
              <w:rPr>
                <w:b/>
                <w:color w:val="FFFFFF"/>
                <w:sz w:val="19"/>
              </w:rPr>
              <w:t>Comportamento</w:t>
            </w:r>
          </w:p>
        </w:tc>
      </w:tr>
      <w:tr>
        <w:tc>
          <w:tcPr>
            <w:tcW w:type="dxa" w:w="3061"/>
            <w:vAlign w:val="center"/>
            <w:tcBorders>
              <w:top w:val="single" w:sz="4" w:color="D9D9D9"/>
              <w:left w:val="single" w:sz="4" w:color="D9D9D9"/>
              <w:bottom w:val="single" w:sz="4" w:color="D9D9D9"/>
              <w:right w:val="single" w:sz="4" w:color="D9D9D9"/>
            </w:tcBorders>
            <w:shd w:fill="F1F4F7"/>
            <w:tcMar>
              <w:top w:w="90" w:type="dxa"/>
              <w:left w:w="90" w:type="dxa"/>
              <w:bottom w:w="90" w:type="dxa"/>
              <w:right w:w="90" w:type="dxa"/>
            </w:tcMar>
          </w:tcPr>
          <w:p>
            <w:pPr>
              <w:spacing w:after="60" w:before="60"/>
            </w:pPr>
            <w:r>
              <w:rPr>
                <w:sz w:val="19"/>
              </w:rPr>
              <w:t>OK</w:t>
            </w:r>
          </w:p>
        </w:tc>
        <w:tc>
          <w:tcPr>
            <w:tcW w:type="dxa" w:w="6576"/>
            <w:vAlign w:val="center"/>
            <w:tcBorders>
              <w:top w:val="single" w:sz="4" w:color="D9D9D9"/>
              <w:left w:val="single" w:sz="4" w:color="D9D9D9"/>
              <w:bottom w:val="single" w:sz="4" w:color="D9D9D9"/>
              <w:right w:val="single" w:sz="4" w:color="D9D9D9"/>
            </w:tcBorders>
            <w:shd w:fill="F1F4F7"/>
            <w:tcMar>
              <w:top w:w="90" w:type="dxa"/>
              <w:left w:w="90" w:type="dxa"/>
              <w:bottom w:w="90" w:type="dxa"/>
              <w:right w:w="90" w:type="dxa"/>
            </w:tcMar>
          </w:tcPr>
          <w:p>
            <w:pPr>
              <w:spacing w:after="60" w:before="60"/>
            </w:pPr>
            <w:r>
              <w:rPr>
                <w:sz w:val="19"/>
              </w:rPr>
              <w:t>Nuovo prelievo registrato e addebitato.</w:t>
            </w:r>
          </w:p>
        </w:tc>
      </w:tr>
      <w:tr>
        <w:tc>
          <w:tcPr>
            <w:tcW w:type="dxa" w:w="3061"/>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sz w:val="19"/>
              </w:rPr>
              <w:t>GIA_ELABORATA</w:t>
            </w:r>
          </w:p>
        </w:tc>
        <w:tc>
          <w:tcPr>
            <w:tcW w:type="dxa" w:w="65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sz w:val="19"/>
              </w:rPr>
              <w:t>UUID già eseguito; nessun secondo addebito.</w:t>
            </w:r>
          </w:p>
        </w:tc>
      </w:tr>
      <w:tr>
        <w:tc>
          <w:tcPr>
            <w:tcW w:type="dxa" w:w="3061"/>
            <w:vAlign w:val="center"/>
            <w:tcBorders>
              <w:top w:val="single" w:sz="4" w:color="D9D9D9"/>
              <w:left w:val="single" w:sz="4" w:color="D9D9D9"/>
              <w:bottom w:val="single" w:sz="4" w:color="D9D9D9"/>
              <w:right w:val="single" w:sz="4" w:color="D9D9D9"/>
            </w:tcBorders>
            <w:shd w:fill="F1F4F7"/>
            <w:tcMar>
              <w:top w:w="90" w:type="dxa"/>
              <w:left w:w="90" w:type="dxa"/>
              <w:bottom w:w="90" w:type="dxa"/>
              <w:right w:w="90" w:type="dxa"/>
            </w:tcMar>
          </w:tcPr>
          <w:p>
            <w:pPr>
              <w:spacing w:after="60" w:before="60"/>
            </w:pPr>
            <w:r>
              <w:rPr>
                <w:sz w:val="19"/>
              </w:rPr>
              <w:t>CLIENTE_NON_VALIDO</w:t>
            </w:r>
          </w:p>
        </w:tc>
        <w:tc>
          <w:tcPr>
            <w:tcW w:type="dxa" w:w="6576"/>
            <w:vAlign w:val="center"/>
            <w:tcBorders>
              <w:top w:val="single" w:sz="4" w:color="D9D9D9"/>
              <w:left w:val="single" w:sz="4" w:color="D9D9D9"/>
              <w:bottom w:val="single" w:sz="4" w:color="D9D9D9"/>
              <w:right w:val="single" w:sz="4" w:color="D9D9D9"/>
            </w:tcBorders>
            <w:shd w:fill="F1F4F7"/>
            <w:tcMar>
              <w:top w:w="90" w:type="dxa"/>
              <w:left w:w="90" w:type="dxa"/>
              <w:bottom w:w="90" w:type="dxa"/>
              <w:right w:w="90" w:type="dxa"/>
            </w:tcMar>
          </w:tcPr>
          <w:p>
            <w:pPr>
              <w:spacing w:after="60" w:before="60"/>
            </w:pPr>
            <w:r>
              <w:rPr>
                <w:sz w:val="19"/>
              </w:rPr>
              <w:t>Credenziali respinte; nessuna transazione creata.</w:t>
            </w:r>
          </w:p>
        </w:tc>
      </w:tr>
      <w:tr>
        <w:tc>
          <w:tcPr>
            <w:tcW w:type="dxa" w:w="3061"/>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sz w:val="19"/>
              </w:rPr>
              <w:t>SALDO_INSUFFICIENTE</w:t>
            </w:r>
          </w:p>
        </w:tc>
        <w:tc>
          <w:tcPr>
            <w:tcW w:type="dxa" w:w="65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sz w:val="19"/>
              </w:rPr>
              <w:t>Saldo invariato; nuova transazione RIFIUTATA.</w:t>
            </w:r>
          </w:p>
        </w:tc>
      </w:tr>
      <w:tr>
        <w:tc>
          <w:tcPr>
            <w:tcW w:type="dxa" w:w="3061"/>
            <w:vAlign w:val="center"/>
            <w:tcBorders>
              <w:top w:val="single" w:sz="4" w:color="D9D9D9"/>
              <w:left w:val="single" w:sz="4" w:color="D9D9D9"/>
              <w:bottom w:val="single" w:sz="4" w:color="D9D9D9"/>
              <w:right w:val="single" w:sz="4" w:color="D9D9D9"/>
            </w:tcBorders>
            <w:shd w:fill="F1F4F7"/>
            <w:tcMar>
              <w:top w:w="90" w:type="dxa"/>
              <w:left w:w="90" w:type="dxa"/>
              <w:bottom w:w="90" w:type="dxa"/>
              <w:right w:w="90" w:type="dxa"/>
            </w:tcMar>
          </w:tcPr>
          <w:p>
            <w:pPr>
              <w:spacing w:after="60" w:before="60"/>
            </w:pPr>
            <w:r>
              <w:rPr>
                <w:sz w:val="19"/>
              </w:rPr>
              <w:t>CONFLITTO_ID</w:t>
            </w:r>
          </w:p>
        </w:tc>
        <w:tc>
          <w:tcPr>
            <w:tcW w:type="dxa" w:w="6576"/>
            <w:vAlign w:val="center"/>
            <w:tcBorders>
              <w:top w:val="single" w:sz="4" w:color="D9D9D9"/>
              <w:left w:val="single" w:sz="4" w:color="D9D9D9"/>
              <w:bottom w:val="single" w:sz="4" w:color="D9D9D9"/>
              <w:right w:val="single" w:sz="4" w:color="D9D9D9"/>
            </w:tcBorders>
            <w:shd w:fill="F1F4F7"/>
            <w:tcMar>
              <w:top w:w="90" w:type="dxa"/>
              <w:left w:w="90" w:type="dxa"/>
              <w:bottom w:w="90" w:type="dxa"/>
              <w:right w:w="90" w:type="dxa"/>
            </w:tcMar>
          </w:tcPr>
          <w:p>
            <w:pPr>
              <w:spacing w:after="60" w:before="60"/>
            </w:pPr>
            <w:r>
              <w:rPr>
                <w:sz w:val="19"/>
              </w:rPr>
              <w:t>UUID usato con cliente o importo diversi; nessuna modifica.</w:t>
            </w:r>
          </w:p>
        </w:tc>
      </w:tr>
      <w:tr>
        <w:tc>
          <w:tcPr>
            <w:tcW w:type="dxa" w:w="3061"/>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sz w:val="19"/>
              </w:rPr>
              <w:t>RICHIESTA_DA_VERIFICARE</w:t>
            </w:r>
          </w:p>
        </w:tc>
        <w:tc>
          <w:tcPr>
            <w:tcW w:type="dxa" w:w="65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sz w:val="19"/>
              </w:rPr>
              <w:t>Prenotazione precedente o conflitto concorrente non ancora visibile; verifica dello stesso UUID.</w:t>
            </w:r>
          </w:p>
        </w:tc>
      </w:tr>
    </w:tbl>
    <w:p>
      <w:r>
        <w:br w:type="page"/>
      </w:r>
    </w:p>
    <w:p>
      <w:pPr>
        <w:pStyle w:val="Heading1"/>
      </w:pPr>
      <w:r>
        <w:t>5 Concorrenza e recupero</w:t>
      </w:r>
    </w:p>
    <w:p>
      <w:r>
        <w:t>Il lock sul cliente serializza le operazioni sul saldo. Il vincolo univoco sull’UUID impedisce di registrare due volte la stessa richiesta. Nei test concorrenti da 80 € su un saldo di 100 €, una richiesta è stata eseguita e l’altra rifiutata: sono rimasti 20 €. Con UUID concorrenti, una sola richiesta ha prodotto un addebito; l’altra può ricevere RICHIESTA_DA_VERIFICARE.</w:t>
      </w:r>
    </w:p>
    <w:p>
      <w:r>
        <w:t>Dopo un commit riuscito ma prima dell’archiviazione, ripetere lo stesso UUID restituisce GIA_ELABORATA senza addebitare di nuovo. Il funzionamento della query è verificato; il recupero effettivo di Rename File deve ancora essere provato nel runtime BW.</w:t>
      </w:r>
    </w:p>
    <w:p>
      <w:r>
        <w:t>Il File Poller deve rilevare creazione e modifica e includere i file già presenti. Le transizioni ignorano un contenuto vuoto. Questo gestisce il file appena creato prima della chiusura della scrittura del browser. Va mantenuta una sola istanza del poller con Max Jobs uguale a 1. Il comportamento effettivo degli eventi rimane un punto di collaudo.</w:t>
      </w:r>
    </w:p>
    <w:p>
      <w:r>
        <w:t>Le cartelle sono riscontri locali e devono essere protette da modifiche esterne. Se la scrittura fallisce o l’esito è incerto, la pagina conserva l’UUID e blocca un nuovo prelievo. Prima di rimuovere lo stato pendente occorre controllare input, processed, error e la transazione nel database.</w:t>
      </w:r>
    </w:p>
    <w:p>
      <w:pPr>
        <w:pStyle w:val="Heading1"/>
      </w:pPr>
      <w:r>
        <w:t>6 Configurazione e migrazione</w:t>
      </w:r>
    </w:p>
    <w:p>
      <w:r>
        <w:t>Importare ProgettoATM e ProgettoATM.application in Business Studio usando un workspace separato dal repository.</w:t>
      </w:r>
    </w:p>
    <w:p>
      <w:r>
        <w:t>Per una nuova installazione eseguire database/01_creazione_tabelle.sql in atm_didattico. Il progetto non precarica clienti. PostgreSQL deve supportare MATERIALIZED CTE, quindi versione 12 o successiva.</w:t>
      </w:r>
    </w:p>
    <w:p>
      <w:r>
        <w:t>Configurare driver e risorsa JDBC con host, database, utente e password locali. Non inserire password nei documenti o nei log.</w:t>
      </w:r>
    </w:p>
    <w:p>
      <w:r>
        <w:t>Creare le cartelle sorelle input, processed ed error. Impostare il percorso assoluto input/*.xml nel File Poller. Le destinazioni vengono ricavate dal percorso di input.</w:t>
      </w:r>
    </w:p>
    <w:p>
      <w:r>
        <w:t>Validare e compilare il progetto in Business Studio, avviare l’applicazione e collegare la cartella dal frontend. Se il picker non è consentito da file locale, servire public con un server statico su localhost o HTTPS.</w:t>
      </w:r>
    </w:p>
    <w:p>
      <w:r>
        <w:t>Arrestare la versione precedente e risolvere tutte le PRENOTATA prima della migrazione. Non azzerare i saldi. Le vecchie funzioni PostgreSQL non vengono chiamate né eliminate automaticamente.</w:t>
      </w:r>
    </w:p>
    <w:p>
      <w:r>
        <w:br w:type="page"/>
      </w:r>
    </w:p>
    <w:p>
      <w:pPr>
        <w:pStyle w:val="Heading1"/>
      </w:pPr>
      <w:r>
        <w:t>7 Collaudo eseguito</w:t>
      </w:r>
    </w:p>
    <w:p>
      <w:r>
        <w:t>Il 21 ottobre 2026 ho eseguito il collaudo automatico sul branch refactor/tibco-only-no-rest. Il database era temporaneo e separato: non sono stati usati dati o credenziali del database personale. La query eseguita è stata estratta direttamente da ATMCompleto.bwp.</w:t>
      </w:r>
    </w:p>
    <w:tbl>
      <w:tblPr>
        <w:tblW w:type="auto" w:w="0"/>
        <w:jc w:val="center"/>
        <w:tblLayout w:type="fixed"/>
        <w:tblLook w:firstColumn="1" w:firstRow="1" w:lastColumn="0" w:lastRow="0" w:noHBand="0" w:noVBand="1" w:val="04A0"/>
      </w:tblPr>
      <w:tblGrid>
        <w:gridCol w:w="2665"/>
        <w:gridCol w:w="6973"/>
      </w:tblGrid>
      <w:tr>
        <w:trPr>
          <w:tblHeader/>
        </w:trPr>
        <w:tc>
          <w:tcPr>
            <w:tcW w:type="dxa" w:w="2665"/>
            <w:vAlign w:val="center"/>
            <w:tcBorders>
              <w:top w:val="single" w:sz="4" w:color="D9D9D9"/>
              <w:left w:val="single" w:sz="4" w:color="D9D9D9"/>
              <w:bottom w:val="single" w:sz="4" w:color="D9D9D9"/>
              <w:right w:val="single" w:sz="4" w:color="D9D9D9"/>
            </w:tcBorders>
            <w:shd w:fill="203A50"/>
            <w:tcMar>
              <w:top w:w="90" w:type="dxa"/>
              <w:left w:w="90" w:type="dxa"/>
              <w:bottom w:w="90" w:type="dxa"/>
              <w:right w:w="90" w:type="dxa"/>
            </w:tcMar>
          </w:tcPr>
          <w:p>
            <w:pPr>
              <w:spacing w:after="60" w:before="60"/>
            </w:pPr>
            <w:r>
              <w:rPr>
                <w:b/>
                <w:color w:val="FFFFFF"/>
                <w:sz w:val="19"/>
              </w:rPr>
              <w:t>Ambiente</w:t>
            </w:r>
          </w:p>
        </w:tc>
        <w:tc>
          <w:tcPr>
            <w:tcW w:type="dxa" w:w="6973"/>
            <w:vAlign w:val="center"/>
            <w:tcBorders>
              <w:top w:val="single" w:sz="4" w:color="D9D9D9"/>
              <w:left w:val="single" w:sz="4" w:color="D9D9D9"/>
              <w:bottom w:val="single" w:sz="4" w:color="D9D9D9"/>
              <w:right w:val="single" w:sz="4" w:color="D9D9D9"/>
            </w:tcBorders>
            <w:shd w:fill="203A50"/>
            <w:tcMar>
              <w:top w:w="90" w:type="dxa"/>
              <w:left w:w="90" w:type="dxa"/>
              <w:bottom w:w="90" w:type="dxa"/>
              <w:right w:w="90" w:type="dxa"/>
            </w:tcMar>
          </w:tcPr>
          <w:p>
            <w:pPr>
              <w:spacing w:after="60" w:before="60"/>
            </w:pPr>
            <w:r>
              <w:rPr>
                <w:b/>
                <w:color w:val="FFFFFF"/>
                <w:sz w:val="19"/>
              </w:rPr>
              <w:t>Risultato verificato</w:t>
            </w:r>
          </w:p>
        </w:tc>
      </w:tr>
      <w:tr>
        <w:tc>
          <w:tcPr>
            <w:tcW w:type="dxa" w:w="2665"/>
            <w:vAlign w:val="center"/>
            <w:tcBorders>
              <w:top w:val="single" w:sz="4" w:color="D9D9D9"/>
              <w:left w:val="single" w:sz="4" w:color="D9D9D9"/>
              <w:bottom w:val="single" w:sz="4" w:color="D9D9D9"/>
              <w:right w:val="single" w:sz="4" w:color="D9D9D9"/>
            </w:tcBorders>
            <w:shd w:fill="F1F4F7"/>
            <w:tcMar>
              <w:top w:w="90" w:type="dxa"/>
              <w:left w:w="90" w:type="dxa"/>
              <w:bottom w:w="90" w:type="dxa"/>
              <w:right w:w="90" w:type="dxa"/>
            </w:tcMar>
          </w:tcPr>
          <w:p>
            <w:pPr>
              <w:spacing w:after="60" w:before="60"/>
            </w:pPr>
            <w:r>
              <w:rPr>
                <w:sz w:val="19"/>
              </w:rPr>
              <w:t>PostgreSQL 16.15</w:t>
            </w:r>
          </w:p>
        </w:tc>
        <w:tc>
          <w:tcPr>
            <w:tcW w:type="dxa" w:w="6973"/>
            <w:vAlign w:val="center"/>
            <w:tcBorders>
              <w:top w:val="single" w:sz="4" w:color="D9D9D9"/>
              <w:left w:val="single" w:sz="4" w:color="D9D9D9"/>
              <w:bottom w:val="single" w:sz="4" w:color="D9D9D9"/>
              <w:right w:val="single" w:sz="4" w:color="D9D9D9"/>
            </w:tcBorders>
            <w:shd w:fill="F1F4F7"/>
            <w:tcMar>
              <w:top w:w="90" w:type="dxa"/>
              <w:left w:w="90" w:type="dxa"/>
              <w:bottom w:w="90" w:type="dxa"/>
              <w:right w:w="90" w:type="dxa"/>
            </w:tcMar>
          </w:tcPr>
          <w:p>
            <w:pPr>
              <w:spacing w:after="60" w:before="60"/>
            </w:pPr>
            <w:r>
              <w:rPr>
                <w:sz w:val="19"/>
              </w:rPr>
              <w:t>16 prove SQL superate: addebito, rifiuti, replay, conflitti, concorrenza, rollback, persistenza fra connessioni e nominativi.</w:t>
            </w:r>
          </w:p>
        </w:tc>
      </w:tr>
      <w:tr>
        <w:tc>
          <w:tcPr>
            <w:tcW w:type="dxa" w:w="2665"/>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sz w:val="19"/>
              </w:rPr>
              <w:t>Validatore XSD lxml</w:t>
            </w:r>
          </w:p>
        </w:tc>
        <w:tc>
          <w:tcPr>
            <w:tcW w:type="dxa" w:w="6973"/>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sz w:val="19"/>
              </w:rPr>
              <w:t>1 prova con più varianti superata: XML valido e rifiuto di PIN e importi non conformi.</w:t>
            </w:r>
          </w:p>
        </w:tc>
      </w:tr>
      <w:tr>
        <w:tc>
          <w:tcPr>
            <w:tcW w:type="dxa" w:w="2665"/>
            <w:vAlign w:val="center"/>
            <w:tcBorders>
              <w:top w:val="single" w:sz="4" w:color="D9D9D9"/>
              <w:left w:val="single" w:sz="4" w:color="D9D9D9"/>
              <w:bottom w:val="single" w:sz="4" w:color="D9D9D9"/>
              <w:right w:val="single" w:sz="4" w:color="D9D9D9"/>
            </w:tcBorders>
            <w:shd w:fill="F1F4F7"/>
            <w:tcMar>
              <w:top w:w="90" w:type="dxa"/>
              <w:left w:w="90" w:type="dxa"/>
              <w:bottom w:w="90" w:type="dxa"/>
              <w:right w:w="90" w:type="dxa"/>
            </w:tcMar>
          </w:tcPr>
          <w:p>
            <w:pPr>
              <w:spacing w:after="60" w:before="60"/>
            </w:pPr>
            <w:r>
              <w:rPr>
                <w:sz w:val="19"/>
              </w:rPr>
              <w:t>Chromium 134.0.6998.35</w:t>
            </w:r>
          </w:p>
        </w:tc>
        <w:tc>
          <w:tcPr>
            <w:tcW w:type="dxa" w:w="6973"/>
            <w:vAlign w:val="center"/>
            <w:tcBorders>
              <w:top w:val="single" w:sz="4" w:color="D9D9D9"/>
              <w:left w:val="single" w:sz="4" w:color="D9D9D9"/>
              <w:bottom w:val="single" w:sz="4" w:color="D9D9D9"/>
              <w:right w:val="single" w:sz="4" w:color="D9D9D9"/>
            </w:tcBorders>
            <w:shd w:fill="F1F4F7"/>
            <w:tcMar>
              <w:top w:w="90" w:type="dxa"/>
              <w:left w:w="90" w:type="dxa"/>
              <w:bottom w:w="90" w:type="dxa"/>
              <w:right w:w="90" w:type="dxa"/>
            </w:tcMar>
          </w:tcPr>
          <w:p>
            <w:pPr>
              <w:spacing w:after="60" w:before="60"/>
            </w:pPr>
            <w:r>
              <w:rPr>
                <w:sz w:val="19"/>
              </w:rPr>
              <w:t>15 prove superate: modulo, XML, stato pendente, doppio invio, recupero, errore di scrittura e layout.</w:t>
            </w:r>
          </w:p>
        </w:tc>
      </w:tr>
    </w:tbl>
    <w:p>
      <w:pPr>
        <w:spacing w:before="120"/>
      </w:pPr>
      <w:r>
        <w:t>I test browser usano il DOM e il filesystem OPFS reali di Chromium. Il selettore della cartella è sostituito dal test e gli esiti in processed/error sono preparati dal test. Queste prove non dimostrano l’accesso alla cartella del sistema operativo né l’esecuzione di TIBCO.</w:t>
      </w:r>
    </w:p>
    <w:p>
      <w:r>
        <w:t>Nella tabella dei 31 casi, 18 risultano superati nell’ambito dichiarato e 13 bloccati. Per i casi bloccati ho riportato anche le verifiche parziali disponibili. I successi della vecchia versione REST non sono stati riportati come successi della nuova versione.</w:t>
      </w:r>
    </w:p>
    <w:p>
      <w:pPr>
        <w:pStyle w:val="Heading1"/>
      </w:pPr>
      <w:r>
        <w:t>8 Verifiche ancora necessarie</w:t>
      </w:r>
    </w:p>
    <w:p>
      <w:r>
        <w:t>Restano la validazione e la build in Business Studio, il flusso completo pagina–File Poller–JDBC–archivio, gli errori di archiviazione, i riavvii BW, l’interruzione reale durante la scrittura e i permessi su cartelle locali o condivise fra due computer. Fino a queste prove il progetto non è dichiarato collaudato end-to-end.</w:t>
      </w:r>
    </w:p>
    <w:p>
      <w:pPr>
        <w:pStyle w:val="Heading1"/>
      </w:pPr>
      <w:r>
        <w:t>9 Evidenze e documenti collegati</w:t>
      </w:r>
    </w:p>
    <w:p>
      <w:r>
        <w:t>I risultati completi e gli identificativi delle prove sono in docs/evidenze/database.json e docs/evidenze/browser.json. La tabella aggiornata è docs/Casi_di_test_ATM.xlsx. I documenti della versione precedente restano in docs/storico.</w:t>
      </w:r>
    </w:p>
    <w:p>
      <w:r>
        <w:t>Esecuzione GitHub Actions: https://github.com/vicente490x/Progetto-ATM/actions/runs/39643799067</w:t>
      </w:r>
    </w:p>
    <w:p>
      <w:r>
        <w:t>Revisione esaminata: 493774204756ef8dfb936e5840fd24597bc552b2</w:t>
      </w:r>
    </w:p>
    <w:p>
      <w:r>
        <w:t>Riferimenti tecnici: documentazione TIBCO File Poller, PostgreSQL SELECT e Transaction Isolation, Chrome File System Access API. I collegamenti sono riportati in docs/ARCHITETTURA.md.</w:t>
      </w:r>
    </w:p>
    <w:sectPr>
      <w:footerReference w:type="default" r:id="rIdFooter"/>
      <w:pgSz w:w="11906" w:h="16838"/>
      <w:pgMar w:top="1020" w:right="1134" w:bottom="1020" w:left="1134" w:header="567" w:footer="567"/>
    </w:sectPr>
  </w:body>
</w:document>
</file>

<file path=word/footer1.xml><?xml version="1.0" encoding="utf-8"?>
<w:ftr xmlns:w="http://schemas.openxmlformats.org/wordprocessingml/2006/main">
  <w:p>
    <w:pPr>
      <w:jc w:val="right"/>
    </w:pPr>
    <w:r>
      <w:rPr>
        <w:sz w:val="18"/>
      </w:rPr>
      <w:t xml:space="preserve">Progetto ATM   </w:t>
    </w:r>
    <w:fldSimple w:instr="PAGE"/>
  </w:p>
</w:ftr>
</file>

<file path=word/styles.xml><?xml version="1.0" encoding="utf-8"?>
<w:styles xmlns:w="http://schemas.openxmlformats.org/wordprocessingml/2006/main">
  <w:docDefaults>
    <w:rPrDefault>
      <w:rPr>
        <w:rFonts w:ascii="Calibri" w:hAnsi="Calibri"/>
        <w:sz w:val="22"/>
        <w:lang w:val="it-IT"/>
      </w:rPr>
    </w:rPrDefault>
    <w:pPrDefault>
      <w:pPr>
        <w:spacing w:after="120" w:line="264" w:lineRule="auto"/>
        <w:widowControl/>
      </w:pPr>
    </w:pPrDefault>
  </w:docDefaults>
  <w:style w:type="paragraph" w:default="1" w:styleId="Normal">
    <w:name w:val="Normal"/>
    <w:pPr>
      <w:spacing w:after="120" w:line="259" w:lineRule="auto"/>
    </w:pPr>
    <w:rPr>
      <w:rFonts w:ascii="Arial" w:hAnsi="Arial"/>
      <w:color w:val="000000"/>
      <w:sz w:val="21"/>
    </w:rPr>
  </w:style>
  <w:style w:type="paragraph" w:styleId="Title">
    <w:name w:val="Title"/>
    <w:basedOn w:val="Normal"/>
    <w:pPr>
      <w:keepNext/>
      <w:spacing w:before="0" w:after="120"/>
    </w:pPr>
    <w:rPr>
      <w:rFonts w:ascii="Arial" w:hAnsi="Arial"/>
      <w:b/>
      <w:color w:val="000000"/>
      <w:sz w:val="42"/>
    </w:rPr>
  </w:style>
  <w:style w:type="paragraph" w:styleId="Subtitle">
    <w:name w:val="Subtitle"/>
    <w:basedOn w:val="Normal"/>
    <w:pPr>
      <w:keepNext/>
      <w:spacing w:after="120"/>
    </w:pPr>
    <w:rPr>
      <w:rFonts w:ascii="Arial" w:hAnsi="Arial"/>
      <w:color w:val="000000"/>
      <w:sz w:val="22"/>
    </w:rPr>
  </w:style>
  <w:style w:type="paragraph" w:styleId="Heading1">
    <w:name w:val="heading 1"/>
    <w:basedOn w:val="Normal"/>
    <w:pPr>
      <w:keepNext/>
      <w:keepLines/>
      <w:spacing w:before="200" w:after="120"/>
      <w:outlineLvl w:val="0"/>
    </w:pPr>
    <w:rPr>
      <w:rFonts w:ascii="Arial" w:hAnsi="Arial"/>
      <w:b/>
      <w:color w:val="000000"/>
      <w:sz w:val="26"/>
    </w:rPr>
  </w:style>
  <w:style w:type="paragraph" w:styleId="Code">
    <w:name w:val="Codice XML"/>
    <w:basedOn w:val="Normal"/>
    <w:pPr>
      <w:keepNext/>
      <w:spacing w:after="0" w:line="220" w:lineRule="auto"/>
      <w:shd w:fill="F3F5F7"/>
    </w:pPr>
    <w:rPr>
      <w:rFonts w:ascii="Consolas" w:hAnsi="Consolas"/>
      <w:sz w:val="19"/>
    </w:rPr>
  </w:style>
  <w:style w:type="character" w:styleId="Hyperlink">
    <w:name w:val="Hyperlink"/>
    <w:rPr>
      <w:color w:val="0563C1"/>
      <w:u w:val="single"/>
    </w:rPr>
  </w:style>
  <w:style w:type="paragraph" w:customStyle="1" w:styleId="Heading2">
    <w:name w:val="heading 2"/>
    <w:pPr>
      <w:spacing w:after="120"/>
    </w:pPr>
    <w:rPr>
      <w:rFonts w:ascii="Arial" w:hAnsi="Arial"/>
      <w:color w:val="000000"/>
      <w:sz w:val="22"/>
    </w:r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Footer" Type="http://schemas.openxmlformats.org/officeDocument/2006/relationships/footer" Target="footer1.xml"/><Relationship Id="rIdPoller" Type="http://schemas.openxmlformats.org/officeDocument/2006/relationships/hyperlink" Target="https://docs.tibco.com/pub/activematrix_businessworks/6.11.0/doc/html/binding-palette/file-poller.htm" TargetMode="External"/><Relationship Id="rIdParse" Type="http://schemas.openxmlformats.org/officeDocument/2006/relationships/hyperlink" Target="https://docs.tibco.com/pub/activematrix_businessworks/6.11.0/doc/html/binding-palette/parse-xml.htm" TargetMode="External"/><Relationship Id="rIdFile" Type="http://schemas.openxmlformats.org/officeDocument/2006/relationships/hyperlink" Target="https://docs.tibco.com/pub/activematrix_businessworks/6.6.0/doc/html/GUID-CEC25132-84CC-4186-955F-00C975A3948D.html" TargetMode="External"/><Relationship Id="rIdExcel" Type="http://schemas.openxmlformats.org/officeDocument/2006/relationships/hyperlink" Target="Casi_di_test_ATM.xlsx" TargetMode="External"/></Relationships>
</file>

<file path=docProps/core.xml><?xml version="1.0" encoding="utf-8"?>
<cp:coreProperties xmlns:cp="http://schemas.openxmlformats.org/package/2006/metadata/core-properties" xmlns:dc="http://purl.org/dc/elements/1.1/" xmlns:dcterms="http://purl.org/dc/terms/" xmlns:xsi="http://www.w3.org/2001/XMLSchema-instance">
  <dc:title>TAD Architettura tecnica del progetto ATM</dc:title>
  <cp:lastModifiedBy>python-docx</cp:lastModifiedBy>
  <cp:revision>1</cp:revision>
  <dcterms:modified xsi:type="dcterms:W3CDTF">2026-10-21T21:59:51Z</dcterms:modified>
  <dc:creator>Vincenzo Minervini</dc:creator>
</cp:coreProperties>
</file>