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Progetto ATM Bancomat</w:t>
      </w:r>
    </w:p>
    <w:p>
      <w:pPr>
        <w:pStyle w:val="Subtitle"/>
      </w:pPr>
      <w:r>
        <w:t xml:space="preserve">BUR e FUD – progetto per l’esame di TIBCO BW 6</w:t>
      </w:r>
    </w:p>
    <w:p>
      <w:pPr>
        <w:pStyle w:val="Normal"/>
      </w:pPr>
      <w:r>
        <w:t xml:space="preserve">In questi documenti descrivo come intendo realizzare il progetto partendo dalla traccia. Le prove sono raccolte nel file Excel allegato. I risultati andranno compilati durante il collaudo.</w:t>
      </w:r>
    </w:p>
    <w:p>
      <w:pPr>
        <w:pStyle w:val="Heading1"/>
      </w:pPr>
      <w:r>
        <w:t xml:space="preserve">1. BUR – Richieste del cliente</w:t>
      </w:r>
    </w:p>
    <w:p>
      <w:pPr>
        <w:pStyle w:val="Normal"/>
      </w:pPr>
      <w:r>
        <w:t xml:space="preserve">Il cliente richiede un’applicazione per un ATM che permetta soltanto di prelevare denaro. Non sono previste altre operazioni, come versamenti, bonifici o ricariche.</w:t>
      </w:r>
    </w:p>
    <w:p>
      <w:pPr>
        <w:pStyle w:val="Normal"/>
      </w:pPr>
      <w:r>
        <w:t xml:space="preserve">Per essere riconosciuto, l’utente deve inserire nome, cognome e un PIN di cinque cifre. I dati devono corrispondere a un cliente presente nel sistema: non basta inserire un PIN della lunghezza giusta.</w:t>
      </w:r>
    </w:p>
    <w:p>
      <w:pPr>
        <w:pStyle w:val="Normal"/>
      </w:pPr>
      <w:r>
        <w:t xml:space="preserve">L’utente deve poter scegliere un importo di 50 €, 100 € o 200 € tramite radio button. Deve essere disponibile anche un campo per un importo libero. La richiesta può essere accettata soltanto se il saldo disponibile è sufficiente.</w:t>
      </w:r>
    </w:p>
    <w:p>
      <w:pPr>
        <w:pStyle w:val="Normal"/>
      </w:pPr>
      <w:r>
        <w:t xml:space="preserve">I dati del prelievo devono essere salvati in un file XML nella cartella che sarà letta da TIBCO BW 6. Dopo il salvataggio deve comparire il popup “Prelevare il denaro entro 30 secondi”. In caso di errore, l’applicazione deve spiegare il problema e non mostrare il popup di successo.</w:t>
      </w:r>
    </w:p>
    <w:p>
      <w:pPr>
        <w:pStyle w:val="Heading1"/>
      </w:pPr>
      <w:r>
        <w:t xml:space="preserve">2. FUD – Come ho interpretato la richiesta</w:t>
      </w:r>
    </w:p>
    <w:p>
      <w:pPr>
        <w:pStyle w:val="Normal"/>
      </w:pPr>
      <w:r>
        <w:t xml:space="preserve">La pagina conterrà i campi Nome, Cognome e PIN. Il PIN sarà un campo password. Sotto i dati del cliente inserirò i tre importi standard e l’opzione “Altro importo”, con il relativo campo. Sarà possibile utilizzare una sola scelta alla volta e l’importo da inviare sarà sempre visibile.</w:t>
      </w:r>
    </w:p>
    <w:p>
      <w:pPr>
        <w:pStyle w:val="Normal"/>
      </w:pPr>
      <w:r>
        <w:t xml:space="preserve">Premendo “Conferma Prelievo”, la pagina controllerà i campi obbligatori, le cinque cifre del PIN e l’importo. Nome e cognome potranno contenere accenti, spazi, apostrofi e trattini. Per l’importo saranno ammessi punto o virgola e al massimo due decimali; zero, numeri negativi e testo non saranno accettati. Anche 80 € dovrà essere accettato, se il saldo lo permette.</w:t>
      </w:r>
    </w:p>
    <w:p>
      <w:pPr>
        <w:pStyle w:val="Normal"/>
      </w:pPr>
      <w:r>
        <w:t xml:space="preserve">Il servizio locale ripeterà i controlli, riconoscerà il cliente e verificherà il saldo. Se tutto è corretto, prenoterà l’importo e salverà il file XML. La prenotazione serve a evitare che più richieste ancora in attesa superino insieme il saldo disponibile.</w:t>
      </w:r>
    </w:p>
    <w:p>
      <w:r>
        <w:br w:type="page"/>
      </w:r>
    </w:p>
    <w:p>
      <w:pPr>
        <w:pStyle w:val="Heading1"/>
      </w:pPr>
      <w:r>
        <w:t xml:space="preserve">2.1 Esito della richiesta e messaggi</w:t>
      </w:r>
    </w:p>
    <w:p>
      <w:pPr>
        <w:pStyle w:val="Normal"/>
      </w:pPr>
      <w:r>
        <w:t xml:space="preserve">Il pulsante sarà disabilitato durante l’invio. Ogni richiesta avrà un identificativo: se si interrompe la connessione, il tentativo successivo userà lo stesso identificativo, così non verranno creati un secondo file o una seconda prenotazione.</w:t>
      </w:r>
    </w:p>
    <w:p>
      <w:pPr>
        <w:pStyle w:val="Normal"/>
      </w:pPr>
      <w:r>
        <w:t xml:space="preserve">Se il PIN non contiene esattamente cinque cifre, comparirà “Il PIN deve essere di 5 cifre”. Se i dati non corrispondono a un cliente, comparirà “Cliente o PIN non riconosciuti”. Se l’importo supera il saldo disponibile, comparirà “Saldo insufficiente”.</w:t>
      </w:r>
    </w:p>
    <w:p>
      <w:pPr>
        <w:pStyle w:val="Normal"/>
      </w:pPr>
      <w:r>
        <w:t xml:space="preserve">Il popup “Prelevare il denaro entro 30 secondi” comparirà soltanto quando il servizio confermerà il salvataggio. Nel progetto questo messaggio è richiesto dalla traccia: non dimostra che TIBCO abbia già elaborato il prelievo. L’esito del processo TIBCO sarà verificato separatamente.</w:t>
      </w:r>
    </w:p>
    <w:p>
      <w:pPr>
        <w:pStyle w:val="Heading1"/>
      </w:pPr>
      <w:r>
        <w:t xml:space="preserve">2.2 Dati usati per la dimostrazione</w:t>
      </w:r>
    </w:p>
    <w:p>
      <w:pPr>
        <w:pStyle w:val="Normal"/>
      </w:pPr>
      <w:r>
        <w:t xml:space="preserve">Userò soltanto clienti fittizi. Il cliente principale sarà Mario Rossi, con PIN 12345 e saldo iniziale di 500 € nelle prove positive. Per il test sul saldo insufficiente partirò invece da 100 €. Ogni prova dovrà iniziare dai dati indicati nell’Excel, senza dipendere dalle prove precedenti.</w:t>
      </w:r>
    </w:p>
    <w:p>
      <w:pPr>
        <w:pStyle w:val="Normal"/>
      </w:pPr>
      <w:r>
        <w:t xml:space="preserve">Aggiungerò anche Èlia D’Amico-Rossi, con PIN 01234 e saldo di 500 €, per controllare accenti, apostrofi, trattini e lo zero iniziale del PIN. Il saldo della dimostrazione sarà configurabile.</w:t>
      </w:r>
    </w:p>
    <w:p>
      <w:pPr>
        <w:pStyle w:val="Heading1"/>
      </w:pPr>
      <w:r>
        <w:t xml:space="preserve">3. Casi di test nel file Excel</w:t>
      </w:r>
    </w:p>
    <w:p>
      <w:pPr>
        <w:pStyle w:val="Normal"/>
      </w:pPr>
      <w:r>
        <w:t xml:space="preserve">La tabella completa è nel file Casi_di_test_ATM.xlsx, da tenere nella stessa cartella di questo documento. Ho riportato i cinque casi principali della traccia e aggiunto le prove sui controlli, sul salvataggio e sul processo TIBCO.</w:t>
      </w:r>
    </w:p>
    <w:p>
      <w:hyperlink r:id="rIdExcel">
        <w:r>
          <w:rPr>
            <w:rStyle w:val="Hyperlink"/>
          </w:rPr>
          <w:t>Apri la tabella Excel: Casi_di_test_ATM.xlsx</w:t>
        </w:r>
      </w:hyperlink>
    </w:p>
    <w:p>
      <w:pPr>
        <w:pStyle w:val="Normal"/>
      </w:pPr>
      <w:r>
        <w:t xml:space="preserve">Nel foglio “Casi di test” sono indicati i dati iniziali, i passaggi e il risultato atteso. Le colonne “Risultato ottenuto”, “Esito”, “Data prova” e “Note / evidenze” vanno compilate durante l’esecuzione. Per ora tutti i casi sono segnati come “Da eseguire”.</w:t>
      </w:r>
    </w:p>
    <w:p>
      <w:pPr>
        <w:pStyle w:val="Normal"/>
      </w:pPr>
      <w:r>
        <w:t xml:space="preserve">Per considerare superato un caso controllerò sia ciò che compare nella pagina sia i file creati. Per le prove TIBCO controllerò anche il registro delle richieste elaborate e le cartelle processed ed error. I dettagli tecnici sono nel TAD allegato.</w:t>
      </w:r>
    </w:p>
    <w:p>
      <w:hyperlink r:id="rIdTAD">
        <w:r>
          <w:rPr>
            <w:rStyle w:val="Hyperlink"/>
          </w:rPr>
          <w:t>Apri il TAD: TAD_Architettura_Tecnica_ATM.docx</w:t>
        </w:r>
      </w:hyperlink>
    </w:p>
    <w:sectPr>
      <w:footerReference w:type="default" r:id="rIdFooter"/>
      <w:pgSz w:w="11906" w:h="16838"/>
      <w:pgMar w:top="1134" w:right="1134" w:bottom="1134" w:left="1134" w:header="567" w:footer="567"/>
    </w:sectPr>
  </w:body>
</w:document>
</file>

<file path=word/footer1.xml><?xml version="1.0" encoding="utf-8"?>
<w:ftr xmlns:w="http://schemas.openxmlformats.org/wordprocessingml/2006/main">
  <w:p>
    <w:pPr>
      <w:jc w:val="right"/>
    </w:pPr>
    <w:r>
      <w:rPr>
        <w:color w:val="666666"/>
        <w:sz w:val="18"/>
      </w:rPr>
      <w:t xml:space="preserve">Progetto ATM · </w:t>
    </w:r>
    <w:fldSimple w:instr="PAGE">
      <w:r>
        <w:t>1</w:t>
      </w:r>
    </w:fldSimple>
  </w:p>
</w:ftr>
</file>

<file path=word/styles.xml><?xml version="1.0" encoding="utf-8"?>
<w:styles xmlns:w="http://schemas.openxmlformats.org/wordprocessingml/2006/main">
  <w:docDefaults>
    <w:rPrDefault>
      <w:rPr>
        <w:rFonts w:ascii="Calibri" w:hAnsi="Calibri"/>
        <w:sz w:val="22"/>
        <w:lang w:val="it-IT"/>
      </w:rPr>
    </w:rPrDefault>
    <w:pPrDefault>
      <w:pPr>
        <w:spacing w:after="120" w:line="264" w:lineRule="auto"/>
        <w:widowControl/>
      </w:pPr>
    </w:pPrDefault>
  </w:docDefaults>
  <w:style w:type="paragraph" w:default="1" w:styleId="Normal">
    <w:name w:val="Normal"/>
  </w:style>
  <w:style w:type="paragraph" w:styleId="Title">
    <w:name w:val="Title"/>
    <w:basedOn w:val="Normal"/>
    <w:pPr>
      <w:keepNext/>
      <w:spacing w:before="0" w:after="140"/>
    </w:pPr>
    <w:rPr>
      <w:b/>
      <w:color w:val="203A53"/>
      <w:sz w:val="34"/>
    </w:rPr>
  </w:style>
  <w:style w:type="paragraph" w:styleId="Subtitle">
    <w:name w:val="Subtitle"/>
    <w:basedOn w:val="Normal"/>
    <w:pPr>
      <w:keepNext/>
      <w:spacing w:after="240"/>
    </w:pPr>
    <w:rPr>
      <w:color w:val="555555"/>
      <w:sz w:val="22"/>
    </w:rPr>
  </w:style>
  <w:style w:type="paragraph" w:styleId="Heading1">
    <w:name w:val="heading 1"/>
    <w:basedOn w:val="Normal"/>
    <w:pPr>
      <w:keepNext/>
      <w:keepLines/>
      <w:spacing w:before="220" w:after="100"/>
      <w:outlineLvl w:val="0"/>
    </w:pPr>
    <w:rPr>
      <w:b/>
      <w:color w:val="203A53"/>
      <w:sz w:val="26"/>
    </w:rPr>
  </w:style>
  <w:style w:type="paragraph" w:styleId="Code">
    <w:name w:val="Codice XML"/>
    <w:basedOn w:val="Normal"/>
    <w:pPr>
      <w:keepNext/>
      <w:spacing w:after="0" w:line="220" w:lineRule="auto"/>
      <w:shd w:fill="F3F5F7"/>
    </w:pPr>
    <w:rPr>
      <w:rFonts w:ascii="Consolas" w:hAnsi="Consolas"/>
      <w:sz w:val="1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Excel" Type="http://schemas.openxmlformats.org/officeDocument/2006/relationships/hyperlink" Target="Casi_di_test_ATM.xlsx" TargetMode="External"/><Relationship Id="rIdTAD" Type="http://schemas.openxmlformats.org/officeDocument/2006/relationships/hyperlink" Target="TAD_Architettura_Tecnica_ATM.docx" TargetMode="External"/></Relationships>
</file>