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RUSH</w:t>
      </w:r>
    </w:p>
    <w:p>
      <w:pPr>
        <w:pStyle w:val="Subtitle"/>
      </w:pPr>
      <w:r>
        <w:t>BUR — Business User Requirements</w:t>
      </w:r>
    </w:p>
    <w:p>
      <w:r>
        <w:t>Versione documento 1.0 · Candidato applicativo 2.2.0</w:t>
      </w:r>
    </w:p>
    <w:p>
      <w:r>
        <w:t>Data: 27/10/2026 · Lingua: italiano</w:t>
      </w:r>
    </w:p>
    <w:p>
      <w:r>
        <w:t>Stato: consegna tecnica del branch feature/rush-final-release.</w:t>
        <w:br/>
        <w:t>Accettazione commerciale subordinata alle verifiche remote indicate nel rapporto.</w:t>
      </w:r>
    </w:p>
    <w:p>
      <w:r>
        <w:br w:type="page"/>
      </w:r>
    </w:p>
    <w:p>
      <w:pPr>
        <w:pStyle w:val="Heading1"/>
      </w:pPr>
      <w:r>
        <w:t>Indice</w:t>
      </w:r>
    </w:p>
    <w:p>
      <w:r>
        <w:t>1. Scopo e contesto</w:t>
      </w:r>
    </w:p>
    <w:p>
      <w:r>
        <w:t>2. Obiettivi e attori</w:t>
      </w:r>
    </w:p>
    <w:p>
      <w:r>
        <w:t>3. Requisiti funzionali e accettazione</w:t>
      </w:r>
    </w:p>
    <w:p>
      <w:r>
        <w:t>4. Requisiti non funzionali</w:t>
      </w:r>
    </w:p>
    <w:p>
      <w:r>
        <w:t>5. Vincoli e perimetro</w:t>
      </w:r>
    </w:p>
    <w:p>
      <w:r>
        <w:t>6. Accettazione e limitazioni</w:t>
      </w:r>
    </w:p>
    <w:p>
      <w:r>
        <w:br w:type="page"/>
      </w:r>
    </w:p>
    <w:p>
      <w:pPr>
        <w:pStyle w:val="Heading1"/>
      </w:pPr>
      <w:r>
        <w:t>1. Scopo e contesto</w:t>
      </w:r>
    </w:p>
    <w:p>
      <w:r>
        <w:t>RUSH vuole raccogliere ordini della propria maglietta prima di impegnare la produzione. La piattaforma riduce il lavoro manuale su quantità, pagamenti, scadenze e comunicazioni, mantenendo esplicita la decisione di avviare la produzione e quella di chiudere la raccolta. La fonte primaria è SPEC.md, sezioni 1–18; la richiesta di completamento aggiunge account ADMIN persistente, visualizzatore GLB e documenti di consegna.</w:t>
      </w:r>
    </w:p>
    <w:p>
      <w:r>
        <w:t>La baseline analizzata è il commit 0e3ee36. Il candidato 2.2.0 conserva il prodotto unico, il pagamento ospitato e gli stati esistenti. Il confronto con il repository Progetto-ATM riguarda esclusivamente l’organizzazione BUR/FUD/TAD, la distinzione fra atteso e osservato e il registro Excel. Nessun requisito funzionale ATM appartiene a RUSH.</w:t>
      </w:r>
    </w:p>
    <w:p>
      <w:pPr>
        <w:pStyle w:val="Heading1"/>
      </w:pPr>
      <w:r>
        <w:t>2. Obiettivi e attori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r>
              <w:rPr>
                <w:b/>
                <w:sz w:val="16"/>
              </w:rPr>
              <w:t>Attore</w:t>
            </w:r>
          </w:p>
        </w:tc>
        <w:tc>
          <w:tcPr>
            <w:tcW w:type="dxa" w:w="4819"/>
          </w:tcPr>
          <w:p>
            <w:r>
              <w:rPr>
                <w:b/>
                <w:sz w:val="16"/>
              </w:rPr>
              <w:t>Esigenza e responsabilità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Cliente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Comprendere la prevendita, scegliere taglia/quantità, pagare e ricevere conferma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Amministratore RUSH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Governare raccolta e produzione, controllare ordini, rimborsi e consegne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PR / organizzazione evento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Eseguire la consegna; nessun account applicativo dedicato previsto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Gestore tecnico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Configurare ambienti, credenziali, migrazioni, monitoraggio e ripristino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Titolare del servizio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Fornire dati autentici, approvare condizioni e autorizzare il lancio LIVE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 w:val="0"/>
                <w:sz w:val="16"/>
              </w:rPr>
              <w:t>Servizi integrati</w:t>
            </w:r>
          </w:p>
        </w:tc>
        <w:tc>
          <w:tcPr>
            <w:tcW w:type="dxa" w:w="4819"/>
          </w:tcPr>
          <w:p>
            <w:r>
              <w:rPr>
                <w:b w:val="0"/>
                <w:sz w:val="16"/>
              </w:rPr>
              <w:t>Stripe conferma pagamenti/rimborsi; Resend invia email; Turnstile e Redis proteggono gli accessi</w:t>
            </w:r>
          </w:p>
        </w:tc>
      </w:tr>
    </w:tbl>
    <w:p>
      <w:r>
        <w:t>Gli indicatori operativi disponibili sono pezzi validi, soglia, pagato lordo, rimborsato, netto, scadenze e stato consegna. Non sono definiti obiettivi quantitativi di conversione o SLA nel capitolato; non vengono attribuiti risultati economici non misurati.</w:t>
      </w:r>
    </w:p>
    <w:p>
      <w:pPr>
        <w:pStyle w:val="Heading1"/>
      </w:pPr>
      <w:r>
        <w:t>3. Requisiti funzionali e accettazione</w:t>
      </w:r>
    </w:p>
    <w:p>
      <w:r>
        <w:t>P1 indica requisito indispensabile al rilascio; P2 indica un miglioramento richiesto alla presentazione o manutenzione. Ogni criterio è verificabile con i casi nel registro Excel e i riferimenti FUD.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2409"/>
          </w:tcPr>
          <w:p>
            <w:r>
              <w:rPr>
                <w:b/>
                <w:sz w:val="16"/>
              </w:rPr>
              <w:t>SPEC</w:t>
            </w:r>
          </w:p>
        </w:tc>
        <w:tc>
          <w:tcPr>
            <w:tcW w:type="dxa" w:w="2409"/>
          </w:tcPr>
          <w:p>
            <w:r>
              <w:rPr>
                <w:b/>
                <w:sz w:val="16"/>
              </w:rPr>
              <w:t>Priorità</w:t>
            </w:r>
          </w:p>
        </w:tc>
        <w:tc>
          <w:tcPr>
            <w:tcW w:type="dxa" w:w="2409"/>
          </w:tcPr>
          <w:p>
            <w:r>
              <w:rPr>
                <w:b/>
                <w:sz w:val="16"/>
              </w:rPr>
              <w:t>Requisito e criterio di accettazione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BUR-001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2, 14, 17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Logo immediato; accesso principale denominato PRE-SALE; percorso home → prodotto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BUR-002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3, 6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Prezzo iniziale 25 EUR e totale calcolato dal server; taglie XS–XXL e quantità validate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BUR-003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Foto originali navigabili e ingrandibili; selezione conservata nel modulo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BUR-004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Estensione 3D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GLB fornito come voce del carosello; rotazione, zoom, fronte/retro, pausa/ripresa e ripristino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BUR-005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Estensione 3D, 14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Caricamento su selezione, avanzamento, fallback, touch separato dal carosello e movimenti ridotti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BUR-006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3, 4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Conteggio quantità pagate e valide aggiornato automaticamente; soglia iniziale 15 configurabile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BUR-007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4, 12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Soglia raggiunta genera avviso admin e non chiude la raccolta; ordini oltre soglia ammessi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BUR-008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Apertura/chiusura manuale; nuove prenotazioni bloccate dopo chiusura, ordini precedenti conservati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BUR-009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Checkout Stripe e conferma autorevole da evento autenticato; nessun dato carta persistito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BUR-010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Registrazione codice, cliente, taglia, quantità, importi, date e stati; email di conferma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BUR-011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7, 16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Condizioni visibili e accettazione obbligatoria; versione accettata immutabile per ordine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BUR-012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Scadenza individuale due mesi di calendario dal pagamento; adeguamento fine mese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BUR-013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8, 12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Alla scadenza senza produzione: richiesta rimborso, stato riconciliato, avviso cliente e admin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BUR-014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Avvio e completamento produzione amministrativi; avvio ferma nuovi rimborsi automatici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BUR-015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Account ADMIN attivo, login/logout e sessione revocabile; pagine e API inaccessibili agli anonimi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BUR-016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Estensione admin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Bootstrap da input protetto o variabili; hash bcrypt, assenza duplicati e nessuna password nei log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BUR-017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Dashboard completa: totali, soglia, taglie, incassi, stati, scadenze e rimborsi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BUR-018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Ordini ricercabili, filtrabili, paginati; export CSV/XLSX con riepilogo taglie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BUR-019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Preavviso iniziale sette giorni prima della scadenza senza produzione; deduplicazione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BUR-020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Gestione consegna serata RUSH / PR / consegnata con audit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BUR-021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3, 10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Configurazione del prodotto unico: listino, taglie, limiti e condizioni versionate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BUR-022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HTTPS, cookie protetti, Origin, anti-bot e limitazione tentativi; errore servizi nega operazioni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BUR-023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Backup e ripristino verificabili senza sovrascrivere il database attivo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BUR-024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Pagine privacy, cookie, termini e rimborsi; dati venditore autentici prima di LIVE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BUR-025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Layout responsive, controlli accessibili, navigazione tastiera e alternativa al 3D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BUR-026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Estensione QA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Installazione, lint, tipi, build e regressioni ripetibili; risultati reali distinguibili dalle prove bloccate</w:t>
            </w:r>
          </w:p>
        </w:tc>
      </w:tr>
      <w:tr>
        <w:trPr>
          <w:cantSplit/>
        </w:trPr>
        <w:tc>
          <w:tcPr>
            <w:tcW w:type="dxa" w:w="2409"/>
          </w:tcPr>
          <w:p>
            <w:r>
              <w:rPr>
                <w:b w:val="0"/>
                <w:sz w:val="16"/>
              </w:rPr>
              <w:t>BUR-027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Estensione docs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409"/>
          </w:tcPr>
          <w:p>
            <w:r>
              <w:rPr>
                <w:b w:val="0"/>
                <w:sz w:val="16"/>
              </w:rPr>
              <w:t>Manuale, BUR, FUD, TAD, registro test, rapporto e README coerenti con l’implementazione</w:t>
            </w:r>
          </w:p>
        </w:tc>
      </w:tr>
    </w:tbl>
    <w:p>
      <w:pPr>
        <w:pStyle w:val="Heading1"/>
      </w:pPr>
      <w:r>
        <w:t>4. Requisiti non funzionali</w:t>
      </w:r>
    </w:p>
    <w:p>
      <w:r>
        <w:t>La sicurezza deve restare server-side: nascondere un comando non autorizza una chiamata API. Le sessioni sono rifiutate in caso di errore DB; il checkout non deve proseguire se Redis o la verifica anti-bot falliscono. Il prezzo non proviene dal browser. Gli errori pubblici devono evitare segreti e dettagli del provider.</w:t>
      </w:r>
    </w:p>
    <w:p>
      <w:r>
        <w:t>Il 3D non deve penalizzare l’ingresso iniziale: libreria e modello sono caricati soltanto alla selezione. Le fotografie restano disponibili per dispositivi senza WebGL. L’interfaccia rispetta la preferenza reduced-motion. Non viene dichiarata una conformità WCAG completa senza audit dedicato.</w:t>
      </w:r>
    </w:p>
    <w:p>
      <w:r>
        <w:t>La manutenzione richiede migrazioni versionate, lockfile, test, errori applicativi minimizzati e audit delle operazioni amministrative. Gli esiti economici ambigui devono essere riconciliabili senza duplicare addebiti o rimborsi. Il deployment mantiene staging e produzione separati e non applica migrazioni durante la build.</w:t>
      </w:r>
    </w:p>
    <w:p>
      <w:pPr>
        <w:pStyle w:val="Heading1"/>
      </w:pPr>
      <w:r>
        <w:t>5. Vincoli e perimetro</w:t>
      </w:r>
    </w:p>
    <w:p>
      <w:r>
        <w:t>Il progetto usa la struttura Next.js esistente. Non include account clienti, catalogo multi-prodotto, spedizioni, marketplace, ricostruzione del GLB o virtual try-on. Le tabelle storiche ignorate nel client Prisma rimangono per compatibilità; non vengono eliminate dal database.</w:t>
      </w:r>
    </w:p>
    <w:p>
      <w:r>
        <w:t>I dati commerciali e le configurazioni di produzione non sono modificati nel collaudo. Le credenziali non possono essere predefinite pubbliche. L’account di collaudo è distinto dall’amministratore del servizio. Il nuovo branch è feature/rush-final-release; non è previsto un merge automatico su main.</w:t>
      </w:r>
    </w:p>
    <w:p>
      <w:pPr>
        <w:pStyle w:val="Heading1"/>
      </w:pPr>
      <w:r>
        <w:t>6. Accettazione e limitazioni</w:t>
      </w:r>
    </w:p>
    <w:p>
      <w:r>
        <w:t>La validazione tecnica locale richiede i test eseguibili e la build riuscita; il rapporto documenta gli esiti puntuali. L’accettazione commerciale richiede inoltre pagamento TEST reale con webhook, recapito email, rimborso remoto, cron, configurazione LIVE, dati venditore e backup del servizio. I test con provider sostituiti non soddisfano da soli questi criteri.</w:t>
      </w:r>
    </w:p>
    <w:p>
      <w:r>
        <w:t>Il TAD descrive i meccanismi e il registro Excel collega requisito, procedura, atteso, osservato ed evidenza. Un requisito implementato può restare NON VERIFICATO nell’ambiente remoto. Il rilascio tecnico del branch e l’apertura delle vendite sono due decisioni distinte.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RUSH Presale · 27/10/2026  |  Pagina </w:t>
    </w:r>
    <w:fldSimple w:instr="PAGE"/>
    <w:r>
      <w:t xml:space="preserve"> di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RUSH  /  PRE-SALE                                         DOSSIER TECNICO  2.2.0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A161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A161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A16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 — Business User Requirements</dc:title>
  <dc:subject>RUSH Presale — consegna 2.2.0</dc:subject>
  <dc:creator>RUSH Presale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