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RUSH</w:t>
      </w:r>
    </w:p>
    <w:p>
      <w:pPr>
        <w:pStyle w:val="Subtitle"/>
      </w:pPr>
      <w:r>
        <w:t>Manuale d’uso RUSH Presale</w:t>
      </w:r>
    </w:p>
    <w:p>
      <w:r>
        <w:t>Versione documento 1.0 · Candidato applicativo 2.2.0</w:t>
      </w:r>
    </w:p>
    <w:p>
      <w:r>
        <w:t>Data: 27/10/2026 · Lingua: italiano</w:t>
      </w:r>
    </w:p>
    <w:p>
      <w:r>
        <w:t>Stato: consegna tecnica del branch feature/rush-final-release.</w:t>
        <w:br/>
        <w:t>Accettazione commerciale subordinata alle verifiche remote indicate nel rapporto.</w:t>
      </w:r>
    </w:p>
    <w:p>
      <w:r>
        <w:br w:type="page"/>
      </w:r>
    </w:p>
    <w:p>
      <w:pPr>
        <w:pStyle w:val="Heading1"/>
      </w:pPr>
      <w:r>
        <w:t>Indice</w:t>
      </w:r>
    </w:p>
    <w:p>
      <w:r>
        <w:t>1. Piattaforma e requisiti di utilizzo</w:t>
      </w:r>
    </w:p>
    <w:p>
      <w:r>
        <w:t>2. Navigazione e pagina prodotto</w:t>
      </w:r>
    </w:p>
    <w:p>
      <w:r>
        <w:t>3. Fotografie e visualizzazione 3D</w:t>
      </w:r>
    </w:p>
    <w:p>
      <w:r>
        <w:t>4. Taglie, quantità e condizioni</w:t>
      </w:r>
    </w:p>
    <w:p>
      <w:r>
        <w:t>5. Pagamento, conferma e rimborso</w:t>
      </w:r>
    </w:p>
    <w:p>
      <w:r>
        <w:t>6. Accesso amministrativo</w:t>
      </w:r>
    </w:p>
    <w:p>
      <w:r>
        <w:t>7. Dashboard, ordini e produzione</w:t>
      </w:r>
    </w:p>
    <w:p>
      <w:r>
        <w:t>8. Impostazioni</w:t>
      </w:r>
    </w:p>
    <w:p>
      <w:r>
        <w:t>9. Errori e risoluzione dei problemi</w:t>
      </w:r>
    </w:p>
    <w:p>
      <w:r>
        <w:br w:type="page"/>
      </w:r>
    </w:p>
    <w:p>
      <w:pPr>
        <w:pStyle w:val="Heading1"/>
      </w:pPr>
      <w:r>
        <w:t>1. Piattaforma e requisiti di utilizzo</w:t>
      </w:r>
    </w:p>
    <w:p>
      <w:r>
        <w:t>RUSH Presale raccoglie prenotazioni pagate della maglietta RUSH. Il prezzo iniziale è 25 EUR; la soglia iniziale di produzione è 15 pezzi. Prezzo e soglia correnti sono quelli pubblicati nella pagina PRE-SALE. La produzione richiede una conferma amministrativa distinta dalla chiusura della raccolta.</w:t>
      </w:r>
    </w:p>
    <w:p>
      <w:r>
        <w:t>Occorrono connessione Internet, browser aggiornato e JavaScript attivo. Il modello 3D richiede WebGL; quando non può essere visualizzato, restano utilizzabili le fotografie. Non occorre un account cliente. Il backoffice richiede invece un amministratore attivo inizializzato nel database. Gli screenshot rappresentano il collaudo locale del candidato 2.2.0, con database isolato e nessun ordine commerciale.</w:t>
      </w:r>
    </w:p>
    <w:p>
      <w:pPr>
        <w:pStyle w:val="Heading1"/>
      </w:pPr>
      <w:r>
        <w:t>2. Navigazione e pagina prodotto</w:t>
      </w:r>
    </w:p>
    <w:p>
      <w:r>
        <w:t>Aprire la home e selezionare PRE-SALE. Il logo identifica il servizio. La pagina prodotto riunisce fotografie, visualizzatore, prezzo, contatore, taglie, quantità e modulo di prenotazione. Il collegamento TORNA ALLA HOME riporta all’ingresso. Privacy, cookie, termini e rimborsi sono raggiungibili dal piè di pagina.</w:t>
      </w:r>
    </w:p>
    <w:p>
      <w:pPr>
        <w:jc w:val="center"/>
      </w:pPr>
      <w:r>
        <w:drawing>
          <wp:inline xmlns:a="http://schemas.openxmlformats.org/drawingml/2006/main" xmlns:pic="http://schemas.openxmlformats.org/drawingml/2006/picture">
            <wp:extent cx="5940000" cy="4884000"/>
            <wp:docPr id="1" name="Picture 1"/>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5940000" cy="4884000"/>
                    </a:xfrm>
                    <a:prstGeom prst="rect"/>
                  </pic:spPr>
                </pic:pic>
              </a:graphicData>
            </a:graphic>
          </wp:inline>
        </w:drawing>
      </w:r>
    </w:p>
    <w:p>
      <w:pPr>
        <w:pStyle w:val="Caption"/>
      </w:pPr>
      <w:r>
        <w:t>Home RUSH nel collaudo locale</w:t>
      </w:r>
    </w:p>
    <w:p>
      <w:pPr>
        <w:jc w:val="center"/>
      </w:pPr>
      <w:r>
        <w:drawing>
          <wp:inline xmlns:a="http://schemas.openxmlformats.org/drawingml/2006/main" xmlns:pic="http://schemas.openxmlformats.org/drawingml/2006/picture">
            <wp:extent cx="5621917" cy="6839999"/>
            <wp:docPr id="2" name="Picture 2"/>
            <wp:cNvGraphicFramePr>
              <a:graphicFrameLocks noChangeAspect="1"/>
            </wp:cNvGraphicFramePr>
            <a:graphic>
              <a:graphicData uri="http://schemas.openxmlformats.org/drawingml/2006/picture">
                <pic:pic>
                  <pic:nvPicPr>
                    <pic:cNvPr id="0" name="presale.png"/>
                    <pic:cNvPicPr/>
                  </pic:nvPicPr>
                  <pic:blipFill>
                    <a:blip r:embed="rId12"/>
                    <a:stretch>
                      <a:fillRect/>
                    </a:stretch>
                  </pic:blipFill>
                  <pic:spPr>
                    <a:xfrm>
                      <a:off x="0" y="0"/>
                      <a:ext cx="5621917" cy="6839999"/>
                    </a:xfrm>
                    <a:prstGeom prst="rect"/>
                  </pic:spPr>
                </pic:pic>
              </a:graphicData>
            </a:graphic>
          </wp:inline>
        </w:drawing>
      </w:r>
    </w:p>
    <w:p>
      <w:pPr>
        <w:pStyle w:val="Caption"/>
      </w:pPr>
      <w:r>
        <w:t>Pagina PRE-SALE con fotografie e modulo</w:t>
      </w:r>
    </w:p>
    <w:p>
      <w:r>
        <w:t>Il contatore considera le quantità pagate e non integralmente rimborsate; si aggiorna ogni 15 secondi. Un pagamento ancora in elaborazione non incrementa il contatore. Il superamento della soglia non impedisce ulteriori prenotazioni mentre la raccolta resta aperta.</w:t>
      </w:r>
    </w:p>
    <w:p>
      <w:pPr>
        <w:pStyle w:val="Heading1"/>
      </w:pPr>
      <w:r>
        <w:t>3. Fotografie e visualizzazione 3D</w:t>
      </w:r>
    </w:p>
    <w:p>
      <w:r>
        <w:t>I primi tre selettori sotto l’immagine mostrano fronte, retro e dettaglio della stampa. Toccare una fotografia per ingrandirla; chiudere con il pulsante ×, un clic nell’ingrandimento oppure Esc. Sul touchscreen è possibile scorrere le foto orizzontalmente.</w:t>
      </w:r>
    </w:p>
    <w:p>
      <w:r>
        <w:t>Selezionare 3D per caricare il modello tridimensionale nella stessa galleria. Il primo caricamento dipende dalla connessione; un indicatore mostra l’avanzamento. Il file modello pesa circa 5,9 MiB e contiene le texture. I comandi diventano disponibili quando il caricamento è terminato.</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r>
              <w:rPr>
                <w:b/>
                <w:sz w:val="16"/>
              </w:rPr>
              <w:t>Comando</w:t>
            </w:r>
          </w:p>
        </w:tc>
        <w:tc>
          <w:tcPr>
            <w:tcW w:type="dxa" w:w="4819"/>
          </w:tcPr>
          <w:p>
            <w:r>
              <w:rPr>
                <w:b/>
                <w:sz w:val="16"/>
              </w:rPr>
              <w:t>Risultato</w:t>
            </w:r>
          </w:p>
        </w:tc>
      </w:tr>
      <w:tr>
        <w:trPr>
          <w:cantSplit/>
        </w:trPr>
        <w:tc>
          <w:tcPr>
            <w:tcW w:type="dxa" w:w="4819"/>
          </w:tcPr>
          <w:p>
            <w:r>
              <w:rPr>
                <w:b w:val="0"/>
                <w:sz w:val="16"/>
              </w:rPr>
              <w:t>Trascinamento mouse o dito</w:t>
            </w:r>
          </w:p>
        </w:tc>
        <w:tc>
          <w:tcPr>
            <w:tcW w:type="dxa" w:w="4819"/>
          </w:tcPr>
          <w:p>
            <w:r>
              <w:rPr>
                <w:b w:val="0"/>
                <w:sz w:val="16"/>
              </w:rPr>
              <w:t>Rotazione manuale della maglietta</w:t>
            </w:r>
          </w:p>
        </w:tc>
      </w:tr>
      <w:tr>
        <w:trPr>
          <w:cantSplit/>
        </w:trPr>
        <w:tc>
          <w:tcPr>
            <w:tcW w:type="dxa" w:w="4819"/>
          </w:tcPr>
          <w:p>
            <w:r>
              <w:rPr>
                <w:b w:val="0"/>
                <w:sz w:val="16"/>
              </w:rPr>
              <w:t>Rotella o gesto a due dita</w:t>
            </w:r>
          </w:p>
        </w:tc>
        <w:tc>
          <w:tcPr>
            <w:tcW w:type="dxa" w:w="4819"/>
          </w:tcPr>
          <w:p>
            <w:r>
              <w:rPr>
                <w:b w:val="0"/>
                <w:sz w:val="16"/>
              </w:rPr>
              <w:t>Zoom limitato alla distanza configurata</w:t>
            </w:r>
          </w:p>
        </w:tc>
      </w:tr>
      <w:tr>
        <w:trPr>
          <w:cantSplit/>
        </w:trPr>
        <w:tc>
          <w:tcPr>
            <w:tcW w:type="dxa" w:w="4819"/>
          </w:tcPr>
          <w:p>
            <w:r>
              <w:rPr>
                <w:b w:val="0"/>
                <w:sz w:val="16"/>
              </w:rPr>
              <w:t>FRONTE / RETRO</w:t>
            </w:r>
          </w:p>
        </w:tc>
        <w:tc>
          <w:tcPr>
            <w:tcW w:type="dxa" w:w="4819"/>
          </w:tcPr>
          <w:p>
            <w:r>
              <w:rPr>
                <w:b w:val="0"/>
                <w:sz w:val="16"/>
              </w:rPr>
              <w:t>Vista scelta e arresto della rotazione automatica</w:t>
            </w:r>
          </w:p>
        </w:tc>
      </w:tr>
      <w:tr>
        <w:trPr>
          <w:cantSplit/>
        </w:trPr>
        <w:tc>
          <w:tcPr>
            <w:tcW w:type="dxa" w:w="4819"/>
          </w:tcPr>
          <w:p>
            <w:r>
              <w:rPr>
                <w:b w:val="0"/>
                <w:sz w:val="16"/>
              </w:rPr>
              <w:t>FERMA ROTAZIONE / AVVIA ROTAZIONE</w:t>
            </w:r>
          </w:p>
        </w:tc>
        <w:tc>
          <w:tcPr>
            <w:tcW w:type="dxa" w:w="4819"/>
          </w:tcPr>
          <w:p>
            <w:r>
              <w:rPr>
                <w:b w:val="0"/>
                <w:sz w:val="16"/>
              </w:rPr>
              <w:t>Pausa o ripresa della rotazione</w:t>
            </w:r>
          </w:p>
        </w:tc>
      </w:tr>
      <w:tr>
        <w:trPr>
          <w:cantSplit/>
        </w:trPr>
        <w:tc>
          <w:tcPr>
            <w:tcW w:type="dxa" w:w="4819"/>
          </w:tcPr>
          <w:p>
            <w:r>
              <w:rPr>
                <w:b w:val="0"/>
                <w:sz w:val="16"/>
              </w:rPr>
              <w:t>RIPRISTINA</w:t>
            </w:r>
          </w:p>
        </w:tc>
        <w:tc>
          <w:tcPr>
            <w:tcW w:type="dxa" w:w="4819"/>
          </w:tcPr>
          <w:p>
            <w:r>
              <w:rPr>
                <w:b w:val="0"/>
                <w:sz w:val="16"/>
              </w:rPr>
              <w:t>Posizione frontale, inquadratura e zoom iniziali; rotazione ferma</w:t>
            </w:r>
          </w:p>
        </w:tc>
      </w:tr>
      <w:tr>
        <w:trPr>
          <w:cantSplit/>
        </w:trPr>
        <w:tc>
          <w:tcPr>
            <w:tcW w:type="dxa" w:w="4819"/>
          </w:tcPr>
          <w:p>
            <w:r>
              <w:rPr>
                <w:b w:val="0"/>
                <w:sz w:val="16"/>
              </w:rPr>
              <w:t>Selettori fotografici</w:t>
            </w:r>
          </w:p>
        </w:tc>
        <w:tc>
          <w:tcPr>
            <w:tcW w:type="dxa" w:w="4819"/>
          </w:tcPr>
          <w:p>
            <w:r>
              <w:rPr>
                <w:b w:val="0"/>
                <w:sz w:val="16"/>
              </w:rPr>
              <w:t>Ritorno alle fotografie senza ricaricare la pagina</w:t>
            </w:r>
          </w:p>
        </w:tc>
      </w:tr>
    </w:tbl>
    <w:p>
      <w:pPr>
        <w:jc w:val="center"/>
      </w:pPr>
      <w:r>
        <w:drawing>
          <wp:inline xmlns:a="http://schemas.openxmlformats.org/drawingml/2006/main" xmlns:pic="http://schemas.openxmlformats.org/drawingml/2006/picture">
            <wp:extent cx="5621917" cy="6839999"/>
            <wp:docPr id="3" name="Picture 3"/>
            <wp:cNvGraphicFramePr>
              <a:graphicFrameLocks noChangeAspect="1"/>
            </wp:cNvGraphicFramePr>
            <a:graphic>
              <a:graphicData uri="http://schemas.openxmlformats.org/drawingml/2006/picture">
                <pic:pic>
                  <pic:nvPicPr>
                    <pic:cNvPr id="0" name="viewer-desktop.png"/>
                    <pic:cNvPicPr/>
                  </pic:nvPicPr>
                  <pic:blipFill>
                    <a:blip r:embed="rId13"/>
                    <a:stretch>
                      <a:fillRect/>
                    </a:stretch>
                  </pic:blipFill>
                  <pic:spPr>
                    <a:xfrm>
                      <a:off x="0" y="0"/>
                      <a:ext cx="5621917" cy="6839999"/>
                    </a:xfrm>
                    <a:prstGeom prst="rect"/>
                  </pic:spPr>
                </pic:pic>
              </a:graphicData>
            </a:graphic>
          </wp:inline>
        </w:drawing>
      </w:r>
    </w:p>
    <w:p>
      <w:pPr>
        <w:pStyle w:val="Caption"/>
      </w:pPr>
      <w:r>
        <w:t>Viewer 3D su desktop</w:t>
      </w:r>
    </w:p>
    <w:p>
      <w:pPr>
        <w:jc w:val="center"/>
      </w:pPr>
      <w:r>
        <w:drawing>
          <wp:inline xmlns:a="http://schemas.openxmlformats.org/drawingml/2006/main" xmlns:pic="http://schemas.openxmlformats.org/drawingml/2006/picture">
            <wp:extent cx="5621917" cy="6839999"/>
            <wp:docPr id="4" name="Picture 4"/>
            <wp:cNvGraphicFramePr>
              <a:graphicFrameLocks noChangeAspect="1"/>
            </wp:cNvGraphicFramePr>
            <a:graphic>
              <a:graphicData uri="http://schemas.openxmlformats.org/drawingml/2006/picture">
                <pic:pic>
                  <pic:nvPicPr>
                    <pic:cNvPr id="0" name="viewer-retro.png"/>
                    <pic:cNvPicPr/>
                  </pic:nvPicPr>
                  <pic:blipFill>
                    <a:blip r:embed="rId14"/>
                    <a:stretch>
                      <a:fillRect/>
                    </a:stretch>
                  </pic:blipFill>
                  <pic:spPr>
                    <a:xfrm>
                      <a:off x="0" y="0"/>
                      <a:ext cx="5621917" cy="6839999"/>
                    </a:xfrm>
                    <a:prstGeom prst="rect"/>
                  </pic:spPr>
                </pic:pic>
              </a:graphicData>
            </a:graphic>
          </wp:inline>
        </w:drawing>
      </w:r>
    </w:p>
    <w:p>
      <w:pPr>
        <w:pStyle w:val="Caption"/>
      </w:pPr>
      <w:r>
        <w:t>Vista posteriore del modello originale</w:t>
      </w:r>
    </w:p>
    <w:p>
      <w:pPr>
        <w:jc w:val="center"/>
      </w:pPr>
      <w:r>
        <w:drawing>
          <wp:inline xmlns:a="http://schemas.openxmlformats.org/drawingml/2006/main" xmlns:pic="http://schemas.openxmlformats.org/drawingml/2006/picture">
            <wp:extent cx="4017469" cy="6839999"/>
            <wp:docPr id="5" name="Picture 5"/>
            <wp:cNvGraphicFramePr>
              <a:graphicFrameLocks noChangeAspect="1"/>
            </wp:cNvGraphicFramePr>
            <a:graphic>
              <a:graphicData uri="http://schemas.openxmlformats.org/drawingml/2006/picture">
                <pic:pic>
                  <pic:nvPicPr>
                    <pic:cNvPr id="0" name="viewer-mobile.png"/>
                    <pic:cNvPicPr/>
                  </pic:nvPicPr>
                  <pic:blipFill>
                    <a:blip r:embed="rId15"/>
                    <a:stretch>
                      <a:fillRect/>
                    </a:stretch>
                  </pic:blipFill>
                  <pic:spPr>
                    <a:xfrm>
                      <a:off x="0" y="0"/>
                      <a:ext cx="4017469" cy="6839999"/>
                    </a:xfrm>
                    <a:prstGeom prst="rect"/>
                  </pic:spPr>
                </pic:pic>
              </a:graphicData>
            </a:graphic>
          </wp:inline>
        </w:drawing>
      </w:r>
    </w:p>
    <w:p>
      <w:pPr>
        <w:pStyle w:val="Caption"/>
      </w:pPr>
      <w:r>
        <w:t>Viewer 3D in viewport mobile</w:t>
      </w:r>
    </w:p>
    <w:p>
      <w:r>
        <w:t>La rotazione del modello non cambia la voce del carosello. Se il dispositivo richiede movimenti ridotti, la rotazione automatica iniziale rimane disattivata. Il passaggio a una scheda del browser nascosta ferma la rotazione; può essere riavviata dal controllo dedicato. Il modello fornito è una rappresentazione approssimata: le fotografie restano il riferimento visivo del prodotto.</w:t>
      </w:r>
    </w:p>
    <w:p>
      <w:pPr>
        <w:pStyle w:val="Heading1"/>
      </w:pPr>
      <w:r>
        <w:t>4. Taglie, quantità e condizioni</w:t>
      </w:r>
    </w:p>
    <w:p>
      <w:r>
        <w:t>Selezionare una taglia disponibile fra XS, S, M, L, XL e XXL. Le taglie disabilitate dall’amministratore non vengono proposte. Usare + e − per la quantità; il totale segue il prezzo corrente. Il cambio foto/3D conserva taglia e quantità.</w:t>
      </w:r>
    </w:p>
    <w:p>
      <w:r>
        <w:t>Compilare nome, cognome ed email, leggere le condizioni e selezionare l’accettazione. Se le condizioni o il listino cambiano durante la visita, l’accettazione viene richiesta nuovamente. La verifica anti-bot deve essere completata prima di attivare PRE-SALE. La disponibilità definitiva viene controllata dal server quando si avvia l’ordine.</w:t>
      </w:r>
    </w:p>
    <w:p>
      <w:pPr>
        <w:pStyle w:val="Heading1"/>
      </w:pPr>
      <w:r>
        <w:t>5. Pagamento, conferma e rimborso</w:t>
      </w:r>
    </w:p>
    <w:p>
      <w:r>
        <w:t>PRE-SALE apre il Checkout ospitato da Stripe. Il sito non conserva i dati completi della carta. Dopo il pagamento il ritorno alla conferma mostra lo stato comunicato dal server; il solo ritorno dal provider non prova che il pagamento sia riuscito. Conservare il codice ordine e l’email ricevuta.</w:t>
      </w:r>
    </w:p>
    <w:p>
      <w:r>
        <w:t>Ogni ordine memorizza prezzo, condizioni e data di pagamento. La scadenza iniziale è due mesi di calendario dal pagamento, con adeguamento all’ultimo giorno valido del mese. Se la produzione non è stata avviata alla scadenza, il processo pianificato richiede il rimborso. La conferma arriva dopo l’esito di Stripe; i tempi di accredito dipendono dal metodo di pagamento.</w:t>
      </w:r>
    </w:p>
    <w:p>
      <w:r>
        <w:t>La consegna avviene durante una serata RUSH o tramite PR, secondo le condizioni accettate. La piattaforma non gestisce una spedizione tradizionale. Con PRE-SALE CHIUSA non si possono avviare nuove prenotazioni. Gli ordini precedenti restano consultabili e gestibili.</w:t>
      </w:r>
    </w:p>
    <w:p>
      <w:pPr>
        <w:pStyle w:val="Heading1"/>
      </w:pPr>
      <w:r>
        <w:t>6. Accesso amministrativo</w:t>
      </w:r>
    </w:p>
    <w:p>
      <w:r>
        <w:t>Aprire /admin/login, inserire la password dell’account configurato e completare la verifica anti-bot. Un errore non rivela se l’account esiste. Dopo dieci tentativi nella finestra di 15 minuti il server rifiuta ulteriori accessi da quella sorgente. In locale, fuori dalle build di produzione, il controllo CAPTCHA è escluso soltanto su loopback.</w:t>
      </w:r>
    </w:p>
    <w:p>
      <w:pPr>
        <w:jc w:val="center"/>
      </w:pPr>
      <w:r>
        <w:drawing>
          <wp:inline xmlns:a="http://schemas.openxmlformats.org/drawingml/2006/main" xmlns:pic="http://schemas.openxmlformats.org/drawingml/2006/picture">
            <wp:extent cx="5940000" cy="4125000"/>
            <wp:docPr id="6" name="Picture 6"/>
            <wp:cNvGraphicFramePr>
              <a:graphicFrameLocks noChangeAspect="1"/>
            </wp:cNvGraphicFramePr>
            <a:graphic>
              <a:graphicData uri="http://schemas.openxmlformats.org/drawingml/2006/picture">
                <pic:pic>
                  <pic:nvPicPr>
                    <pic:cNvPr id="0" name="admin-login.png"/>
                    <pic:cNvPicPr/>
                  </pic:nvPicPr>
                  <pic:blipFill>
                    <a:blip r:embed="rId16"/>
                    <a:stretch>
                      <a:fillRect/>
                    </a:stretch>
                  </pic:blipFill>
                  <pic:spPr>
                    <a:xfrm>
                      <a:off x="0" y="0"/>
                      <a:ext cx="5940000" cy="4125000"/>
                    </a:xfrm>
                    <a:prstGeom prst="rect"/>
                  </pic:spPr>
                </pic:pic>
              </a:graphicData>
            </a:graphic>
          </wp:inline>
        </w:drawing>
      </w:r>
    </w:p>
    <w:p>
      <w:pPr>
        <w:pStyle w:val="Caption"/>
      </w:pPr>
      <w:r>
        <w:t>Pagina di accesso amministrativo</w:t>
      </w:r>
    </w:p>
    <w:p>
      <w:r>
        <w:t>La sessione dura al massimo 12 ore. ESCI revoca la sessione nel database e rimuove il cookie. Disattivazione dell’account, modifica dell’hash salvato, rotazione del segreto di sessione o della configurazione legacy invalidano le sessioni interessate. Se il database non risponde, l’accesso viene negato.</w:t>
      </w:r>
    </w:p>
    <w:p>
      <w:pPr>
        <w:pStyle w:val="Heading1"/>
      </w:pPr>
      <w:r>
        <w:t>7. Dashboard, ordini e produzione</w:t>
      </w:r>
    </w:p>
    <w:p>
      <w:r>
        <w:t>La dashboard presenta pezzi pagati/soglia, percentuale, quantità mancanti, ordini totali e pagati, lordo, rimborsato, netto, produzione, preavvisi, scaduti e consegne. Il netto non sottrae le commissioni Stripe. I rimborsi parziali e quelli ancora in corso sono distinguibili dal rimborso completo.</w:t>
      </w:r>
    </w:p>
    <w:p>
      <w:pPr>
        <w:jc w:val="center"/>
      </w:pPr>
      <w:r>
        <w:drawing>
          <wp:inline xmlns:a="http://schemas.openxmlformats.org/drawingml/2006/main" xmlns:pic="http://schemas.openxmlformats.org/drawingml/2006/picture">
            <wp:extent cx="5940000" cy="4640625"/>
            <wp:docPr id="7" name="Picture 7"/>
            <wp:cNvGraphicFramePr>
              <a:graphicFrameLocks noChangeAspect="1"/>
            </wp:cNvGraphicFramePr>
            <a:graphic>
              <a:graphicData uri="http://schemas.openxmlformats.org/drawingml/2006/picture">
                <pic:pic>
                  <pic:nvPicPr>
                    <pic:cNvPr id="0" name="admin-dashboard.png"/>
                    <pic:cNvPicPr/>
                  </pic:nvPicPr>
                  <pic:blipFill>
                    <a:blip r:embed="rId17"/>
                    <a:stretch>
                      <a:fillRect/>
                    </a:stretch>
                  </pic:blipFill>
                  <pic:spPr>
                    <a:xfrm>
                      <a:off x="0" y="0"/>
                      <a:ext cx="5940000" cy="4640625"/>
                    </a:xfrm>
                    <a:prstGeom prst="rect"/>
                  </pic:spPr>
                </pic:pic>
              </a:graphicData>
            </a:graphic>
          </wp:inline>
        </w:drawing>
      </w:r>
    </w:p>
    <w:p>
      <w:pPr>
        <w:pStyle w:val="Caption"/>
      </w:pPr>
      <w:r>
        <w:t>Dashboard amministrativa con database di collaudo</w:t>
      </w:r>
    </w:p>
    <w:p>
      <w:r>
        <w:t>CHIUDI PRE-SALE blocca nuove richieste e tenta l’annullamento dei Checkout aperti. Un avviso di riconciliazione richiede controllo in diagnostica; non significa che gli ordini siano stati cancellati. AVVIA PRODUZIONE richiede soglia raggiunta e assenza di rimborsi automatici ambigui. L’avvio è irreversibile e deve corrispondere all’avvio effettivo. PRODUZIONE COMPLETATA è disponibile soltanto dopo l’avvio.</w:t>
      </w:r>
    </w:p>
    <w:p>
      <w:r>
        <w:t>Ricercare ordini per codice, nome o email e applicare filtri per pagamento, rimborso, taglia e consegna. L’elenco usa 25 righe per pagina. CSV ed Excel rispettano i filtri; il foglio Produttore riepiloga i pezzi per taglia. Oltre 10.000 righe occorre restringere la ricerca. Conservare gli export soltanto nei luoghi autorizzati.</w:t>
      </w:r>
    </w:p>
    <w:p>
      <w:r>
        <w:t>La consegna è modificabile per un ordine pagato senza rimborso. Le opzioni sono DA CONSEGNARE, SERATA RUSH, PR e CONSEGNATA. Prima di confermare RIMBORSA controllare codice e importo: è un’azione economica nell’ambiente configurato. Per un rimborso PENDING usare RICONCILIA; non duplicare l’operazione manualmente.</w:t>
      </w:r>
    </w:p>
    <w:p>
      <w:pPr>
        <w:pStyle w:val="Heading1"/>
      </w:pPr>
      <w:r>
        <w:t>8. Impostazioni</w:t>
      </w:r>
    </w:p>
    <w:p>
      <w:r>
        <w:t>Il sito riguarda un unico prodotto: non esiste un catalogo multi-prodotto. Le impostazioni amministrano prezzo, soglia, disponibilità delle sei taglie, massimi di acquisto, manutenzione, durata dei nuovi ordini, preavviso, consegna, destinatari e testi email.</w:t>
      </w:r>
    </w:p>
    <w:p>
      <w:pPr>
        <w:jc w:val="center"/>
      </w:pPr>
      <w:r>
        <w:drawing>
          <wp:inline xmlns:a="http://schemas.openxmlformats.org/drawingml/2006/main" xmlns:pic="http://schemas.openxmlformats.org/drawingml/2006/picture">
            <wp:extent cx="2674341" cy="6839999"/>
            <wp:docPr id="8" name="Picture 8"/>
            <wp:cNvGraphicFramePr>
              <a:graphicFrameLocks noChangeAspect="1"/>
            </wp:cNvGraphicFramePr>
            <a:graphic>
              <a:graphicData uri="http://schemas.openxmlformats.org/drawingml/2006/picture">
                <pic:pic>
                  <pic:nvPicPr>
                    <pic:cNvPr id="0" name="admin-settings.png"/>
                    <pic:cNvPicPr/>
                  </pic:nvPicPr>
                  <pic:blipFill>
                    <a:blip r:embed="rId18"/>
                    <a:stretch>
                      <a:fillRect/>
                    </a:stretch>
                  </pic:blipFill>
                  <pic:spPr>
                    <a:xfrm>
                      <a:off x="0" y="0"/>
                      <a:ext cx="2674341" cy="6839999"/>
                    </a:xfrm>
                    <a:prstGeom prst="rect"/>
                  </pic:spPr>
                </pic:pic>
              </a:graphicData>
            </a:graphic>
          </wp:inline>
        </w:drawing>
      </w:r>
    </w:p>
    <w:p>
      <w:pPr>
        <w:pStyle w:val="Caption"/>
      </w:pPr>
      <w:r>
        <w:t>Impostazioni amministrative</w:t>
      </w:r>
    </w:p>
    <w:p>
      <w:r>
        <w:t>Le modifiche richiedono SALVA IMPOSTAZIONI. RICARICA scarta quelle non salvate dopo conferma. Un conflitto di revisione richiede di ricaricare e ripetere l’operazione; evita che una sessione sovrascriva modifiche di un’altra. Aggiornare il testo delle condizioni quando cambiano soglia, durata o consegna; le clausole obbligatorie non possono essere rimosse. Gli ordini esistenti mantengono i propri dati contrattuali.</w:t>
      </w:r>
    </w:p>
    <w:p>
      <w:r>
        <w:t>Anteprima scadenze è una lettura. Esegui controllo, invio email di prova e riconciliazione possono produrre effetti esterni dopo conferma. Questi strumenti sono riservati al backoffice e restano necessari alla manutenzione.</w:t>
      </w:r>
    </w:p>
    <w:p>
      <w:pPr>
        <w:pStyle w:val="Heading1"/>
      </w:pPr>
      <w:r>
        <w:t>9. Errori e risoluzione dei problemi</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r>
              <w:rPr>
                <w:b/>
                <w:sz w:val="16"/>
              </w:rPr>
              <w:t>Sintomo</w:t>
            </w:r>
          </w:p>
        </w:tc>
        <w:tc>
          <w:tcPr>
            <w:tcW w:type="dxa" w:w="4819"/>
          </w:tcPr>
          <w:p>
            <w:r>
              <w:rPr>
                <w:b/>
                <w:sz w:val="16"/>
              </w:rPr>
              <w:t>Azione</w:t>
            </w:r>
          </w:p>
        </w:tc>
      </w:tr>
      <w:tr>
        <w:trPr>
          <w:cantSplit/>
        </w:trPr>
        <w:tc>
          <w:tcPr>
            <w:tcW w:type="dxa" w:w="4819"/>
          </w:tcPr>
          <w:p>
            <w:r>
              <w:rPr>
                <w:b w:val="0"/>
                <w:sz w:val="16"/>
              </w:rPr>
              <w:t>Stato PRE-SALE non disponibile</w:t>
            </w:r>
          </w:p>
        </w:tc>
        <w:tc>
          <w:tcPr>
            <w:tcW w:type="dxa" w:w="4819"/>
          </w:tcPr>
          <w:p>
            <w:r>
              <w:rPr>
                <w:b w:val="0"/>
                <w:sz w:val="16"/>
              </w:rPr>
              <w:t>Attendere e riprovare; il checkout resta bloccato finché i dati non sono disponibili</w:t>
            </w:r>
          </w:p>
        </w:tc>
      </w:tr>
      <w:tr>
        <w:trPr>
          <w:cantSplit/>
        </w:trPr>
        <w:tc>
          <w:tcPr>
            <w:tcW w:type="dxa" w:w="4819"/>
          </w:tcPr>
          <w:p>
            <w:r>
              <w:rPr>
                <w:b w:val="0"/>
                <w:sz w:val="16"/>
              </w:rPr>
              <w:t>Condizioni cambiate</w:t>
            </w:r>
          </w:p>
        </w:tc>
        <w:tc>
          <w:tcPr>
            <w:tcW w:type="dxa" w:w="4819"/>
          </w:tcPr>
          <w:p>
            <w:r>
              <w:rPr>
                <w:b w:val="0"/>
                <w:sz w:val="16"/>
              </w:rPr>
              <w:t>Rileggere il testo corrente e accettarlo nuovamente</w:t>
            </w:r>
          </w:p>
        </w:tc>
      </w:tr>
      <w:tr>
        <w:trPr>
          <w:cantSplit/>
        </w:trPr>
        <w:tc>
          <w:tcPr>
            <w:tcW w:type="dxa" w:w="4819"/>
          </w:tcPr>
          <w:p>
            <w:r>
              <w:rPr>
                <w:b w:val="0"/>
                <w:sz w:val="16"/>
              </w:rPr>
              <w:t>Verifica anti-bot non completata</w:t>
            </w:r>
          </w:p>
        </w:tc>
        <w:tc>
          <w:tcPr>
            <w:tcW w:type="dxa" w:w="4819"/>
          </w:tcPr>
          <w:p>
            <w:r>
              <w:rPr>
                <w:b w:val="0"/>
                <w:sz w:val="16"/>
              </w:rPr>
              <w:t>Usare Riprova verifica; aprire il sito direttamente in un browser aggiornato</w:t>
            </w:r>
          </w:p>
        </w:tc>
      </w:tr>
      <w:tr>
        <w:trPr>
          <w:cantSplit/>
        </w:trPr>
        <w:tc>
          <w:tcPr>
            <w:tcW w:type="dxa" w:w="4819"/>
          </w:tcPr>
          <w:p>
            <w:r>
              <w:rPr>
                <w:b w:val="0"/>
                <w:sz w:val="16"/>
              </w:rPr>
              <w:t>Vista 3D non disponibile</w:t>
            </w:r>
          </w:p>
        </w:tc>
        <w:tc>
          <w:tcPr>
            <w:tcW w:type="dxa" w:w="4819"/>
          </w:tcPr>
          <w:p>
            <w:r>
              <w:rPr>
                <w:b w:val="0"/>
                <w:sz w:val="16"/>
              </w:rPr>
              <w:t>Tornare alle foto; controllare connessione e supporto WebGL</w:t>
            </w:r>
          </w:p>
        </w:tc>
      </w:tr>
      <w:tr>
        <w:trPr>
          <w:cantSplit/>
        </w:trPr>
        <w:tc>
          <w:tcPr>
            <w:tcW w:type="dxa" w:w="4819"/>
          </w:tcPr>
          <w:p>
            <w:r>
              <w:rPr>
                <w:b w:val="0"/>
                <w:sz w:val="16"/>
              </w:rPr>
              <w:t>Credenziali non valide</w:t>
            </w:r>
          </w:p>
        </w:tc>
        <w:tc>
          <w:tcPr>
            <w:tcW w:type="dxa" w:w="4819"/>
          </w:tcPr>
          <w:p>
            <w:r>
              <w:rPr>
                <w:b w:val="0"/>
                <w:sz w:val="16"/>
              </w:rPr>
              <w:t>Verificare la password dell’account inizializzato; rivolgersi al gestore tecnico</w:t>
            </w:r>
          </w:p>
        </w:tc>
      </w:tr>
      <w:tr>
        <w:trPr>
          <w:cantSplit/>
        </w:trPr>
        <w:tc>
          <w:tcPr>
            <w:tcW w:type="dxa" w:w="4819"/>
          </w:tcPr>
          <w:p>
            <w:r>
              <w:rPr>
                <w:b w:val="0"/>
                <w:sz w:val="16"/>
              </w:rPr>
              <w:t>Troppi tentativi</w:t>
            </w:r>
          </w:p>
        </w:tc>
        <w:tc>
          <w:tcPr>
            <w:tcW w:type="dxa" w:w="4819"/>
          </w:tcPr>
          <w:p>
            <w:r>
              <w:rPr>
                <w:b w:val="0"/>
                <w:sz w:val="16"/>
              </w:rPr>
              <w:t>Attendere la scadenza della finestra del limitatore</w:t>
            </w:r>
          </w:p>
        </w:tc>
      </w:tr>
      <w:tr>
        <w:trPr>
          <w:cantSplit/>
        </w:trPr>
        <w:tc>
          <w:tcPr>
            <w:tcW w:type="dxa" w:w="4819"/>
          </w:tcPr>
          <w:p>
            <w:r>
              <w:rPr>
                <w:b w:val="0"/>
                <w:sz w:val="16"/>
              </w:rPr>
              <w:t>Checkout non disponibile</w:t>
            </w:r>
          </w:p>
        </w:tc>
        <w:tc>
          <w:tcPr>
            <w:tcW w:type="dxa" w:w="4819"/>
          </w:tcPr>
          <w:p>
            <w:r>
              <w:rPr>
                <w:b w:val="0"/>
                <w:sz w:val="16"/>
              </w:rPr>
              <w:t>Riprovare con gli stessi dati; la chiave del tentativo limita i duplicati</w:t>
            </w:r>
          </w:p>
        </w:tc>
      </w:tr>
      <w:tr>
        <w:trPr>
          <w:cantSplit/>
        </w:trPr>
        <w:tc>
          <w:tcPr>
            <w:tcW w:type="dxa" w:w="4819"/>
          </w:tcPr>
          <w:p>
            <w:r>
              <w:rPr>
                <w:b w:val="0"/>
                <w:sz w:val="16"/>
              </w:rPr>
              <w:t>Rimborso in corso</w:t>
            </w:r>
          </w:p>
        </w:tc>
        <w:tc>
          <w:tcPr>
            <w:tcW w:type="dxa" w:w="4819"/>
          </w:tcPr>
          <w:p>
            <w:r>
              <w:rPr>
                <w:b w:val="0"/>
                <w:sz w:val="16"/>
              </w:rPr>
              <w:t>Verificare il provider e riconciliare; non presumere un fallimento</w:t>
            </w:r>
          </w:p>
        </w:tc>
      </w:tr>
    </w:tbl>
    <w:p>
      <w:pPr>
        <w:jc w:val="center"/>
      </w:pPr>
      <w:r>
        <w:drawing>
          <wp:inline xmlns:a="http://schemas.openxmlformats.org/drawingml/2006/main" xmlns:pic="http://schemas.openxmlformats.org/drawingml/2006/picture">
            <wp:extent cx="4017469" cy="6839999"/>
            <wp:docPr id="9" name="Picture 9"/>
            <wp:cNvGraphicFramePr>
              <a:graphicFrameLocks noChangeAspect="1"/>
            </wp:cNvGraphicFramePr>
            <a:graphic>
              <a:graphicData uri="http://schemas.openxmlformats.org/drawingml/2006/picture">
                <pic:pic>
                  <pic:nvPicPr>
                    <pic:cNvPr id="0" name="viewer-fallback.png"/>
                    <pic:cNvPicPr/>
                  </pic:nvPicPr>
                  <pic:blipFill>
                    <a:blip r:embed="rId19"/>
                    <a:stretch>
                      <a:fillRect/>
                    </a:stretch>
                  </pic:blipFill>
                  <pic:spPr>
                    <a:xfrm>
                      <a:off x="0" y="0"/>
                      <a:ext cx="4017469" cy="6839999"/>
                    </a:xfrm>
                    <a:prstGeom prst="rect"/>
                  </pic:spPr>
                </pic:pic>
              </a:graphicData>
            </a:graphic>
          </wp:inline>
        </w:drawing>
      </w:r>
    </w:p>
    <w:p>
      <w:pPr>
        <w:pStyle w:val="Caption"/>
      </w:pPr>
      <w:r>
        <w:t>Fallback quando il caricamento del modello fallisce</w:t>
      </w:r>
    </w:p>
    <w:p>
      <w:r>
        <w:t>Segnalare codice ordine, operazione, orario e messaggio, senza password, token, dati carta o URL del database. Il banner PAGAMENTI DI TEST identifica un ambiente di collaudo: scompare solo con configurazione applicativa production e Stripe live. La validazione commerciale e i contatti autentici del venditore restano prerequisiti del lancio.</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RUSH Presale · 27/10/2026  |  Pagina </w:t>
    </w:r>
    <w:fldSimple w:instr="PAGE"/>
    <w:r>
      <w:t xml:space="preserve"> di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RUSH  /  PRE-SALE                                         DOSSIER TECNICO  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A161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A161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A16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d’uso RUSH Presale</dc:title>
  <dc:subject>RUSH Presale — consegna 2.2.0</dc:subject>
  <dc:creator>RUSH Presale</dc:creator>
  <cp:keywords/>
  <dc:description>generated by python-docx</dc:description>
  <cp:lastModifiedBy/>
  <cp:revision>1</cp:revision>
  <dcterms:created xsi:type="dcterms:W3CDTF">2013-12-23T23:15:00Z</dcterms:created>
  <dcterms:modified xsi:type="dcterms:W3CDTF">2013-12-23T23:15:00Z</dcterms:modified>
  <cp:category/>
</cp:coreProperties>
</file>