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0"/>
          <w:szCs w:val="20"/>
        </w:rPr>
        <w:drawing>
          <wp:inline distB="0" distT="0" distL="0" distR="0">
            <wp:extent cx="2566971" cy="120700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66971" cy="120700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Las opciones reales como componente del valor bursátil: un análisis empírico en los sectores minero y energético de Chile durante el periodo de 2020 a 2025</w:t>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Vicente Joaquín Altamirano Aristondo</w:t>
      </w:r>
    </w:p>
    <w:p w:rsidR="00000000" w:rsidDel="00000000" w:rsidP="00000000" w:rsidRDefault="00000000" w:rsidRPr="00000000" w14:paraId="0000000A">
      <w:pPr>
        <w:jc w:val="center"/>
        <w:rPr/>
      </w:pPr>
      <w:r w:rsidDel="00000000" w:rsidR="00000000" w:rsidRPr="00000000">
        <w:rPr>
          <w:rtl w:val="0"/>
        </w:rPr>
        <w:t xml:space="preserve">José Ignacio Barrientos Rubilar</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Profesor patrocinante: Leonardo Pacheco</w:t>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spacing w:after="0" w:lineRule="auto"/>
        <w:jc w:val="center"/>
        <w:rPr/>
      </w:pPr>
      <w:r w:rsidDel="00000000" w:rsidR="00000000" w:rsidRPr="00000000">
        <w:rPr>
          <w:rtl w:val="0"/>
        </w:rPr>
      </w:r>
    </w:p>
    <w:p w:rsidR="00000000" w:rsidDel="00000000" w:rsidP="00000000" w:rsidRDefault="00000000" w:rsidRPr="00000000" w14:paraId="00000010">
      <w:pPr>
        <w:spacing w:after="0" w:lineRule="auto"/>
        <w:jc w:val="center"/>
        <w:rPr/>
      </w:pPr>
      <w:r w:rsidDel="00000000" w:rsidR="00000000" w:rsidRPr="00000000">
        <w:rPr>
          <w:rtl w:val="0"/>
        </w:rPr>
      </w:r>
    </w:p>
    <w:p w:rsidR="00000000" w:rsidDel="00000000" w:rsidP="00000000" w:rsidRDefault="00000000" w:rsidRPr="00000000" w14:paraId="00000011">
      <w:pPr>
        <w:spacing w:after="0" w:lineRule="auto"/>
        <w:jc w:val="center"/>
        <w:rPr/>
      </w:pPr>
      <w:r w:rsidDel="00000000" w:rsidR="00000000" w:rsidRPr="00000000">
        <w:rPr>
          <w:rtl w:val="0"/>
        </w:rPr>
        <w:t xml:space="preserve">Tesina presentada para el grado de Licenciado en Administración de Empresas de la Universidad Austral de Chile en diciembre de 2026 </w:t>
      </w:r>
    </w:p>
    <w:p w:rsidR="00000000" w:rsidDel="00000000" w:rsidP="00000000" w:rsidRDefault="00000000" w:rsidRPr="00000000" w14:paraId="00000012">
      <w:pPr>
        <w:spacing w:after="0" w:lineRule="auto"/>
        <w:jc w:val="center"/>
        <w:rPr/>
        <w:sectPr>
          <w:headerReference r:id="rId7" w:type="default"/>
          <w:pgSz w:h="15840" w:w="12240" w:orient="portrait"/>
          <w:pgMar w:bottom="1417" w:top="1417" w:left="1701" w:right="1701" w:header="708" w:footer="708"/>
          <w:pgNumType w:start="1"/>
        </w:sectPr>
      </w:pPr>
      <w:r w:rsidDel="00000000" w:rsidR="00000000" w:rsidRPr="00000000">
        <w:rPr>
          <w:rtl w:val="0"/>
        </w:rPr>
        <w:t xml:space="preserve">Facultad de Ciencias Económicas y Administrativas</w:t>
      </w:r>
    </w:p>
    <w:p w:rsidR="00000000" w:rsidDel="00000000" w:rsidP="00000000" w:rsidRDefault="00000000" w:rsidRPr="00000000" w14:paraId="00000013">
      <w:pPr>
        <w:jc w:val="center"/>
        <w:rPr>
          <w:sz w:val="26"/>
          <w:szCs w:val="26"/>
        </w:rPr>
      </w:pPr>
      <w:r w:rsidDel="00000000" w:rsidR="00000000" w:rsidRPr="00000000">
        <w:rPr>
          <w:sz w:val="26"/>
          <w:szCs w:val="26"/>
          <w:rtl w:val="0"/>
        </w:rPr>
        <w:t xml:space="preserve">Las opciones reales como componente del valor bursátil: un análisis empírico en los sectores minero y energético de Chile durante el periodo de 2020 a 2025</w:t>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i w:val="1"/>
          <w:iCs w:val="1"/>
        </w:rPr>
      </w:pPr>
      <w:r w:rsidDel="00000000" w:rsidR="00000000" w:rsidRPr="00000000">
        <w:rPr>
          <w:i w:val="1"/>
          <w:iCs w:val="1"/>
          <w:rtl w:val="0"/>
        </w:rPr>
        <w:t xml:space="preserve">Vicente Joaquín Altamirano Aristondo</w:t>
      </w:r>
    </w:p>
    <w:p w:rsidR="00000000" w:rsidDel="00000000" w:rsidP="00000000" w:rsidRDefault="00000000" w:rsidRPr="00000000" w14:paraId="00000016">
      <w:pPr>
        <w:jc w:val="center"/>
        <w:rPr>
          <w:i w:val="1"/>
          <w:iCs w:val="1"/>
        </w:rPr>
      </w:pPr>
      <w:r w:rsidDel="00000000" w:rsidR="00000000" w:rsidRPr="00000000">
        <w:rPr>
          <w:i w:val="1"/>
          <w:iCs w:val="1"/>
          <w:rtl w:val="0"/>
        </w:rPr>
        <w:t xml:space="preserve">José Ignacio Barrientos Rubilar</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RESUMEN</w:t>
      </w:r>
    </w:p>
    <w:p w:rsidR="00000000" w:rsidDel="00000000" w:rsidP="00000000" w:rsidRDefault="00000000" w:rsidRPr="00000000" w14:paraId="00000019">
      <w:pPr>
        <w:spacing w:line="360" w:lineRule="auto"/>
        <w:rPr/>
      </w:pPr>
      <w:r w:rsidDel="00000000" w:rsidR="00000000" w:rsidRPr="00000000">
        <w:rPr>
          <w:rtl w:val="0"/>
        </w:rPr>
        <w:t xml:space="preserve">El presente estudio analiza la relación entre el valor bursátil atribuible a opciones reales y las variables BME, tamaño y endeudamiento en empresas de los sectores minero y energético chileno durante el período 2020-2025. El problema abordado radica en la incapacidad de los modelos tradicionales de valoración, basados en el descuento de flujos de caja, para capturar el valor de la flexibilidad y las oportunidades de crecimiento que poseen estas empresas, especialmente en un contexto de alta volatilidad de precios de </w:t>
      </w:r>
      <w:r w:rsidDel="00000000" w:rsidR="00000000" w:rsidRPr="00000000">
        <w:rPr>
          <w:i w:val="1"/>
          <w:iCs w:val="1"/>
          <w:color w:val="0f1115"/>
          <w:rtl w:val="0"/>
        </w:rPr>
        <w:t xml:space="preserve">"commodities"</w:t>
      </w:r>
      <w:r w:rsidDel="00000000" w:rsidR="00000000" w:rsidRPr="00000000">
        <w:rPr>
          <w:i w:val="1"/>
          <w:iCs w:val="1"/>
          <w:rtl w:val="0"/>
        </w:rPr>
        <w:t xml:space="preserve">  </w:t>
      </w:r>
      <w:r w:rsidDel="00000000" w:rsidR="00000000" w:rsidRPr="00000000">
        <w:rPr>
          <w:rtl w:val="0"/>
        </w:rPr>
        <w:t xml:space="preserve">como el cobre y el litio. El propósito central es determinar si la proxy de opciones reales (valor de mercado menos el valor generado por los activos en funcionamiento) se relaciona significativamente con dichas variables, en línea con la teoría de opciones reales. La metodología propuesta es de enfoque cuantitativo y alcance correlacional, con componentes exploratorios y descriptivos. Se utilizarán bases de datos secundarias públicas (CMF, </w:t>
      </w:r>
      <w:r w:rsidDel="00000000" w:rsidR="00000000" w:rsidRPr="00000000">
        <w:rPr>
          <w:rtl w:val="0"/>
        </w:rPr>
        <w:t xml:space="preserve">SantiagoX</w:t>
      </w:r>
      <w:r w:rsidDel="00000000" w:rsidR="00000000" w:rsidRPr="00000000">
        <w:rPr>
          <w:rtl w:val="0"/>
        </w:rPr>
        <w:t xml:space="preserve">) para construir un panel de datos anuales de empresas mineras y energéticas chilenas seleccionadas. Se estimará el valor implícito de las opciones reales siguiendo la metodología de Kester (1984) y se aplicará un modelo de regresión lineal múltiple por mínimos cuadrados ordinarios (MCO) en el software Gretl. El aporte esperado del estudio es llenar el vacío empírico existente en la literatura chilena sobre opciones reales, al aplicar metodologías consolidadas de opciones reales a un contexto poco explorado como el mercado bursátil chileno y a sectores estratégicos fundamentales para la economía de nuestro país.</w:t>
      </w:r>
    </w:p>
    <w:p w:rsidR="00000000" w:rsidDel="00000000" w:rsidP="00000000" w:rsidRDefault="00000000" w:rsidRPr="00000000" w14:paraId="0000001A">
      <w:pPr>
        <w:spacing w:line="360" w:lineRule="auto"/>
        <w:rPr/>
      </w:pPr>
      <w:r w:rsidDel="00000000" w:rsidR="00000000" w:rsidRPr="00000000">
        <w:rPr>
          <w:rtl w:val="0"/>
        </w:rPr>
        <w:t xml:space="preserve">Palabras clave: opciones reales, valor bursátil, sectores minero y energético, Chile, bme, tamaño, endeudamiento, aip.</w:t>
      </w:r>
    </w:p>
    <w:p w:rsidR="00000000" w:rsidDel="00000000" w:rsidP="00000000" w:rsidRDefault="00000000" w:rsidRPr="00000000" w14:paraId="0000001B">
      <w:pPr>
        <w:rPr>
          <w:b w:val="1"/>
          <w:bCs w:val="1"/>
        </w:rPr>
      </w:pPr>
      <w:r w:rsidDel="00000000" w:rsidR="00000000" w:rsidRPr="00000000">
        <w:rPr>
          <w:b w:val="1"/>
          <w:bCs w:val="1"/>
          <w:rtl w:val="0"/>
        </w:rPr>
        <w:t xml:space="preserve">Índice</w:t>
      </w:r>
    </w:p>
    <w:p w:rsidR="00000000" w:rsidDel="00000000" w:rsidP="00000000" w:rsidRDefault="00000000" w:rsidRPr="00000000" w14:paraId="0000001C">
      <w:pPr>
        <w:rPr/>
      </w:pPr>
      <w:r w:rsidDel="00000000" w:rsidR="00000000" w:rsidRPr="00000000">
        <w:rPr>
          <w:rtl w:val="0"/>
        </w:rPr>
      </w:r>
    </w:p>
    <w:sdt>
      <w:sdtPr>
        <w:id w:val="745780857"/>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fldChar w:fldCharType="begin"/>
            <w:instrText xml:space="preserve"> TOC \h \u \z \t "Heading 1,1,Heading 2,2,Heading 3,3,"</w:instrText>
            <w:fldChar w:fldCharType="separate"/>
          </w:r>
          <w:r w:rsidDel="00000000" w:rsidR="00000000" w:rsidRPr="00000000">
            <w:rPr>
              <w:rtl w:val="0"/>
            </w:rPr>
            <w:t xml:space="preserve">1. Introducción .................................................................................................................. 1</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t xml:space="preserve">2. Marco Teórico ............................................................................................................... 3</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t xml:space="preserve">2.1 Definición de conceptos clave ......................................................................................3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t xml:space="preserve">2.2 Revisión de estudios previos ........................................................................................ 4</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t xml:space="preserve">2.3 Relaciones teóricas del estudio .....................................................................................6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t xml:space="preserve">2.4 Vacío de investigación …............................................................................................. 7</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t xml:space="preserve">3. Metodología ....................................................................................................................8</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t xml:space="preserve">3.1 Tipo y enfoque de investigación .................................................................................. 8</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t xml:space="preserve">3.2 Elementos preliminares de análisis .............................................................................. 9</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t xml:space="preserve">3.3 Población y unidad de análisis ..................................................................................... 9</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t xml:space="preserve">3.4 Técnica de recolección de datos ................................................................................. 10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t xml:space="preserve">3.5 Técnica preliminar de análisis de datos ...................................................................... 11</w:t>
          </w:r>
        </w:p>
        <w:p w:rsidR="00000000" w:rsidDel="00000000" w:rsidP="00000000" w:rsidRDefault="00000000" w:rsidRPr="00000000" w14:paraId="00000029">
          <w:pPr>
            <w:tabs>
              <w:tab w:val="left" w:leader="none" w:pos="480"/>
              <w:tab w:val="right" w:leader="none" w:pos="8828"/>
            </w:tabs>
            <w:spacing w:after="100" w:lineRule="auto"/>
            <w:rPr/>
          </w:pPr>
          <w:r w:rsidDel="00000000" w:rsidR="00000000" w:rsidRPr="00000000">
            <w:rPr>
              <w:rtl w:val="0"/>
            </w:rPr>
            <w:t xml:space="preserve">3.6 Viabilidad de la investigación ..................................................................................... 11</w:t>
          </w:r>
        </w:p>
        <w:p w:rsidR="00000000" w:rsidDel="00000000" w:rsidP="00000000" w:rsidRDefault="00000000" w:rsidRPr="00000000" w14:paraId="0000002A">
          <w:pPr>
            <w:tabs>
              <w:tab w:val="left" w:leader="none" w:pos="480"/>
              <w:tab w:val="right" w:leader="none" w:pos="8828"/>
            </w:tabs>
            <w:spacing w:after="100" w:lineRule="auto"/>
            <w:rPr/>
          </w:pPr>
          <w:r w:rsidDel="00000000" w:rsidR="00000000" w:rsidRPr="00000000">
            <w:rPr>
              <w:rtl w:val="0"/>
            </w:rPr>
            <w:t xml:space="preserve">3.7 Plan de trabajo y cronograma ..................................................................................... 13</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t xml:space="preserve">4. Referencias ................................................................................................................... 14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360" w:lineRule="auto"/>
            <w:ind w:left="0" w:right="0" w:firstLine="0"/>
            <w:jc w:val="both"/>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b w:val="1"/>
          <w:bCs w:val="1"/>
          <w:sz w:val="28"/>
          <w:szCs w:val="28"/>
        </w:rPr>
        <w:sectPr>
          <w:type w:val="nextPage"/>
          <w:pgSz w:h="15840" w:w="12240"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31">
      <w:pPr>
        <w:pStyle w:val="Heading1"/>
        <w:numPr>
          <w:ilvl w:val="0"/>
          <w:numId w:val="1"/>
        </w:numPr>
        <w:ind w:left="720" w:hanging="360"/>
        <w:rPr/>
      </w:pPr>
      <w:bookmarkStart w:colFirst="0" w:colLast="0" w:name="_50dppcnf68n8" w:id="0"/>
      <w:bookmarkEnd w:id="0"/>
      <w:r w:rsidDel="00000000" w:rsidR="00000000" w:rsidRPr="00000000">
        <w:rPr>
          <w:rtl w:val="0"/>
        </w:rPr>
        <w:t xml:space="preserve">Introducción</w:t>
      </w:r>
    </w:p>
    <w:p w:rsidR="00000000" w:rsidDel="00000000" w:rsidP="00000000" w:rsidRDefault="00000000" w:rsidRPr="00000000" w14:paraId="00000032">
      <w:pPr>
        <w:rPr/>
      </w:pPr>
      <w:r w:rsidDel="00000000" w:rsidR="00000000" w:rsidRPr="00000000">
        <w:rPr>
          <w:rtl w:val="0"/>
        </w:rPr>
        <w:t xml:space="preserve">Los sectores minero y energético constituyen dos pilares de la economía chilena, explicando gran parte de la expansión del PIB. Desde el año 2019 el sector minero ha experimentado un crecimiento exponencial en comparación con los niveles productivos de la última década en Chile. Según Ramírez (2022) en el año 2021 la minería tuvo una participación del 14,6% en el PIB nacional, y si se considera su efecto multiplicador por encadenamiento productivo (vinculación entre empresas que integran la cadena de valor de las compañías mineras), su participación aumentó a un 26%. Siguiendo esta línea de crecimiento, en el año 2024, el sector minero tuvo un crecimiento anual del 5,2%, esto en un contexto de mayor producción de cobre y extracción de minerales no metálicos (Banco Central de Chile, 2024).</w:t>
      </w:r>
    </w:p>
    <w:p w:rsidR="00000000" w:rsidDel="00000000" w:rsidP="00000000" w:rsidRDefault="00000000" w:rsidRPr="00000000" w14:paraId="00000033">
      <w:pPr>
        <w:rPr/>
      </w:pPr>
      <w:r w:rsidDel="00000000" w:rsidR="00000000" w:rsidRPr="00000000">
        <w:rPr>
          <w:rtl w:val="0"/>
        </w:rPr>
        <w:t xml:space="preserve">El sector energético tuvo un incremento de un 7,2% ese mismo año, varios puntos por encima del promedio nacional, que ronda aproximadamente el 2,6% anual. El sector energético muestra una clara transición hacia el uso de fuentes renovables, con una caída en el uso de fósiles, y un crecimiento robusto en electricidad y gestión de residuos. (Banco Central de Chile, 2024).</w:t>
      </w:r>
    </w:p>
    <w:p w:rsidR="00000000" w:rsidDel="00000000" w:rsidP="00000000" w:rsidRDefault="00000000" w:rsidRPr="00000000" w14:paraId="00000034">
      <w:pPr>
        <w:rPr/>
      </w:pPr>
      <w:r w:rsidDel="00000000" w:rsidR="00000000" w:rsidRPr="00000000">
        <w:rPr>
          <w:rtl w:val="0"/>
        </w:rPr>
        <w:t xml:space="preserve">La relevancia del enfoque de opciones reales en el sector energético chileno encuentra respaldo en estudios de caso aplicados a proyectos concretos. Por ejemplo, Ruiz-Tagle (2020) utilizó esta metodología para valorar una central termoeléctrica con turbinas a carbón de 250 MW ubicada en el norte de Chile. Este trabajo demuestra que es posible incorporar la flexibilidad operativa (opciones de "marcha y parada") en la valoración de activos energéticos locales.</w:t>
      </w:r>
      <w:r w:rsidDel="00000000" w:rsidR="00000000" w:rsidRPr="00000000">
        <w:rPr>
          <w:rtl w:val="0"/>
        </w:rPr>
      </w:r>
    </w:p>
    <w:p w:rsidR="00000000" w:rsidDel="00000000" w:rsidP="00000000" w:rsidRDefault="00000000" w:rsidRPr="00000000" w14:paraId="00000035">
      <w:pPr>
        <w:rPr>
          <w:color w:val="ff0000"/>
        </w:rPr>
      </w:pPr>
      <w:r w:rsidDel="00000000" w:rsidR="00000000" w:rsidRPr="00000000">
        <w:rPr>
          <w:rtl w:val="0"/>
        </w:rPr>
        <w:t xml:space="preserve">Tanto el sector de la minería, como el sector energético, funcionan en un contexto de alta incertidumbre, explicado en una alta volatilidad de los precios de los “</w:t>
      </w:r>
      <w:r w:rsidDel="00000000" w:rsidR="00000000" w:rsidRPr="00000000">
        <w:rPr>
          <w:i w:val="1"/>
          <w:iCs w:val="1"/>
          <w:rtl w:val="0"/>
        </w:rPr>
        <w:t xml:space="preserve">commodities</w:t>
      </w:r>
      <w:r w:rsidDel="00000000" w:rsidR="00000000" w:rsidRPr="00000000">
        <w:rPr>
          <w:rtl w:val="0"/>
        </w:rPr>
        <w:t xml:space="preserve">" (cobre, litio), cambios regulatorios asociados a la transición energética, y las crecientes exigencias ambientales. En el caso del litio, esta volatilidad se manifiesta en fluctuaciones extremas: tras alcanzar máximos históricos en 2022 (superiores a US 40.000 por tonelada), el precio experimentó un desplome que llevó su valor a por debajo de US 11.000 por tonelada en 2024, una caída superior al 70% en solo dos años. Esta constante volatilidad afectó de manera fundamental al precio de acción según la Sociedad Química y Minera (SQM, 2025).</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En efecto, al ser dos sectores tan importantes para la economía nacional, esta incertidumbre, lejos de ser una amenaza, implica un enfrentamiento hacia una gran oportunidad de crecimiento, en la que la flexibilidad empresarial y las decisiones estratégicas que implican aplazar, expandir o abandonar proyectos, son clave para responder a los cambios (Andrés, Azofra y de la Fuente, 2002).</w:t>
      </w:r>
    </w:p>
    <w:p w:rsidR="00000000" w:rsidDel="00000000" w:rsidP="00000000" w:rsidRDefault="00000000" w:rsidRPr="00000000" w14:paraId="00000037">
      <w:pPr>
        <w:rPr/>
      </w:pPr>
      <w:r w:rsidDel="00000000" w:rsidR="00000000" w:rsidRPr="00000000">
        <w:rPr>
          <w:rtl w:val="0"/>
        </w:rPr>
        <w:t xml:space="preserve">Tomándolo en cuenta, el principal problema radica en que los modelos actuales de valoración, basados en la técnica de descuento de flujos de caja, no </w:t>
      </w:r>
      <w:r w:rsidDel="00000000" w:rsidR="00000000" w:rsidRPr="00000000">
        <w:rPr>
          <w:rtl w:val="0"/>
        </w:rPr>
        <w:t xml:space="preserve">capturan</w:t>
      </w:r>
      <w:r w:rsidDel="00000000" w:rsidR="00000000" w:rsidRPr="00000000">
        <w:rPr>
          <w:rtl w:val="0"/>
        </w:rPr>
        <w:t xml:space="preserve"> estas oportunidades de crecimiento y la flexibilidad que tienen las empresas respecto a las inversiones que componen su actual cartera de proyectos (Andrés, Azofra y de la Fuente, 2002). El valor de una empresa no depende solo del valor de sus inversiones actuales (AiP), sino que también de sus oportunidades de crecimiento futuro (Myers, 1977). Según Dixit y Pindyck (1994), los métodos tradicionales como el VAN o la TIR asumen reversibilidad en la inversión o que, en los casos en que la inversión es irreversible, esta debe tomarse inmediatamente (ahora o nunca), dejando de lado el factor de la flexibilidad, como el valor de esperar y obtener nueva información antes de invertir. Como señala </w:t>
      </w:r>
      <w:r w:rsidDel="00000000" w:rsidR="00000000" w:rsidRPr="00000000">
        <w:rPr>
          <w:rtl w:val="0"/>
        </w:rPr>
        <w:t xml:space="preserve">Mascareñas</w:t>
      </w:r>
      <w:r w:rsidDel="00000000" w:rsidR="00000000" w:rsidRPr="00000000">
        <w:rPr>
          <w:rtl w:val="0"/>
        </w:rPr>
        <w:t xml:space="preserve"> (1999, como se cita en Calle y Tamayo, 2009), los métodos tradicionales de valoración entorpecen la innovación, productividad y competitividad de algunas empresas. En palabras de Espitia y Pastor (2003, p.3), estos métodos "realizan supuestos implícitos sobre el escenario esperado de los flujos de caja y presuponen que los directivos se mantendrán pasivos una vez decidida la estrategia o la puesta en marcha del proyecto."</w:t>
      </w:r>
    </w:p>
    <w:p w:rsidR="00000000" w:rsidDel="00000000" w:rsidP="00000000" w:rsidRDefault="00000000" w:rsidRPr="00000000" w14:paraId="00000038">
      <w:pPr>
        <w:rPr/>
      </w:pPr>
      <w:r w:rsidDel="00000000" w:rsidR="00000000" w:rsidRPr="00000000">
        <w:rPr>
          <w:rtl w:val="0"/>
        </w:rPr>
        <w:t xml:space="preserve">En este contexto, Lamothe y Méndez (2013) establecen un paralelismo clave: "Una mina de cobre representada por una acción, entendiendo acción como el valor presente de los flujos de caja del proyecto. Podemos observar el paralelismo entre una opción financiera sobre una acción y una opción real representada por el valor actual de los flujos de caja de un proyecto". Esta analogía permite tratar las oportunidades de inversión en los sectores minero y energético como opciones reales, cuya valoración debe considerar la flexibilidad de aplazar, expandir o abandonar proyectos en respuesta a la evolución de variables inciertas como los precios del cobre o del litio.</w:t>
      </w:r>
    </w:p>
    <w:p w:rsidR="00000000" w:rsidDel="00000000" w:rsidP="00000000" w:rsidRDefault="00000000" w:rsidRPr="00000000" w14:paraId="00000039">
      <w:pPr>
        <w:rPr/>
      </w:pPr>
      <w:r w:rsidDel="00000000" w:rsidR="00000000" w:rsidRPr="00000000">
        <w:rPr>
          <w:rtl w:val="0"/>
        </w:rPr>
        <w:t xml:space="preserve">Esta limitación es de alta relevancia en los sectores minero y energético en Chile, pues existe una fuente de valor que no puede ser explicada por los modelos tradicionales. </w:t>
      </w:r>
    </w:p>
    <w:p w:rsidR="00000000" w:rsidDel="00000000" w:rsidP="00000000" w:rsidRDefault="00000000" w:rsidRPr="00000000" w14:paraId="0000003A">
      <w:pPr>
        <w:rPr/>
      </w:pPr>
      <w:r w:rsidDel="00000000" w:rsidR="00000000" w:rsidRPr="00000000">
        <w:rPr>
          <w:rtl w:val="0"/>
        </w:rPr>
        <w:t xml:space="preserve">Tras haber expuesto el contexto que delimita el estudio y planteado el problema que motiva la investigación, se formula la siguiente pregunta de investigación: ¿La fracción del valor de mercado no explicada por el valor proveniente de los activos en funcionamiento de la empresa (AiP) se relaciona con las variables BME, tamaño y endeudamiento en empresas de los sectores minero y energético chilenos durante el período 2020-2025?</w:t>
      </w:r>
    </w:p>
    <w:p w:rsidR="00000000" w:rsidDel="00000000" w:rsidP="00000000" w:rsidRDefault="00000000" w:rsidRPr="00000000" w14:paraId="0000003B">
      <w:pPr>
        <w:rPr/>
      </w:pPr>
      <w:r w:rsidDel="00000000" w:rsidR="00000000" w:rsidRPr="00000000">
        <w:rPr>
          <w:rtl w:val="0"/>
        </w:rPr>
        <w:t xml:space="preserve">El objetivo general es analizar la relación entre la proxy de opciones reales (valor de mercado menos el valor proveniente de los activos en funcionamiento de la empresa) y las variables BME, tamaño y endeudamiento en empresas mineras y energéticas chilenas entre 2020 y 2025. Para cumplir con ello, los objetivos específicos son: primero, estimar el valor implícito de las opciones reales para una muestra de empresas chilenas utilizando la metodología de Kester (1984) para cada año del período conformado entre el año 2020 al 2025; segundo, evaluar si la variable tamaño se asocia positivamente con esta proxy, y si el endeudamiento y BME (</w:t>
      </w:r>
      <w:r w:rsidDel="00000000" w:rsidR="00000000" w:rsidRPr="00000000">
        <w:rPr>
          <w:i w:val="1"/>
          <w:iCs w:val="1"/>
          <w:rtl w:val="0"/>
        </w:rPr>
        <w:t xml:space="preserve">Book to Market)</w:t>
      </w:r>
      <w:r w:rsidDel="00000000" w:rsidR="00000000" w:rsidRPr="00000000">
        <w:rPr>
          <w:rtl w:val="0"/>
        </w:rPr>
        <w:t xml:space="preserve"> se asocian negativamente, en línea con la teoría; y tercero, comparar la relevancia de las opciones reales, según estas variables, entre los sectores minero y energético.</w:t>
      </w:r>
    </w:p>
    <w:p w:rsidR="00000000" w:rsidDel="00000000" w:rsidP="00000000" w:rsidRDefault="00000000" w:rsidRPr="00000000" w14:paraId="0000003C">
      <w:pPr>
        <w:pStyle w:val="Heading1"/>
        <w:numPr>
          <w:ilvl w:val="0"/>
          <w:numId w:val="1"/>
        </w:numPr>
        <w:ind w:left="720" w:hanging="360"/>
        <w:rPr/>
      </w:pPr>
      <w:bookmarkStart w:colFirst="0" w:colLast="0" w:name="_vmbmbng6dtvm" w:id="1"/>
      <w:bookmarkEnd w:id="1"/>
      <w:r w:rsidDel="00000000" w:rsidR="00000000" w:rsidRPr="00000000">
        <w:rPr>
          <w:rtl w:val="0"/>
        </w:rPr>
        <w:t xml:space="preserve">Marco Teórico</w:t>
      </w:r>
    </w:p>
    <w:p w:rsidR="00000000" w:rsidDel="00000000" w:rsidP="00000000" w:rsidRDefault="00000000" w:rsidRPr="00000000" w14:paraId="0000003D">
      <w:pPr>
        <w:ind w:left="0" w:firstLine="0"/>
        <w:rPr>
          <w:b w:val="1"/>
          <w:bCs w:val="1"/>
        </w:rPr>
      </w:pPr>
      <w:r w:rsidDel="00000000" w:rsidR="00000000" w:rsidRPr="00000000">
        <w:rPr>
          <w:b w:val="1"/>
          <w:bCs w:val="1"/>
          <w:rtl w:val="0"/>
        </w:rPr>
        <w:t xml:space="preserve">2.1 Definición de conceptos claves</w:t>
      </w:r>
    </w:p>
    <w:p w:rsidR="00000000" w:rsidDel="00000000" w:rsidP="00000000" w:rsidRDefault="00000000" w:rsidRPr="00000000" w14:paraId="0000003E">
      <w:pPr>
        <w:ind w:left="0" w:firstLine="0"/>
        <w:rPr/>
      </w:pPr>
      <w:r w:rsidDel="00000000" w:rsidR="00000000" w:rsidRPr="00000000">
        <w:rPr>
          <w:rtl w:val="0"/>
        </w:rPr>
        <w:t xml:space="preserve">Opciones Reales:</w:t>
      </w:r>
    </w:p>
    <w:p w:rsidR="00000000" w:rsidDel="00000000" w:rsidP="00000000" w:rsidRDefault="00000000" w:rsidRPr="00000000" w14:paraId="0000003F">
      <w:pPr>
        <w:ind w:left="0" w:firstLine="0"/>
        <w:rPr/>
      </w:pPr>
      <w:r w:rsidDel="00000000" w:rsidR="00000000" w:rsidRPr="00000000">
        <w:rPr>
          <w:rtl w:val="0"/>
        </w:rPr>
        <w:t xml:space="preserve">El concepto fue originado por Myers (1977), donde se definieron como las oportunidades para adquirir activos reales en condiciones posiblemente favorables, o también más específicamente </w:t>
      </w:r>
      <w:r w:rsidDel="00000000" w:rsidR="00000000" w:rsidRPr="00000000">
        <w:rPr>
          <w:rtl w:val="0"/>
        </w:rPr>
        <w:t xml:space="preserve">como</w:t>
      </w:r>
      <w:r w:rsidDel="00000000" w:rsidR="00000000" w:rsidRPr="00000000">
        <w:rPr>
          <w:rtl w:val="0"/>
        </w:rPr>
        <w:t xml:space="preserve"> las opciones de crecimiento y flexibilidad vinculadas a las inversiones que componen la actual cartera de proyectos de la empresa (Andrés, Azofra y de la Fuente, 2002) . Por su parte, Kester (1984) propuso que el valor de las opciones reales se desprende de la diferencia entre el valor de mercado total de una empresa y el valor capitalizado de su flujo de ganancias actual (AiP).</w:t>
      </w:r>
    </w:p>
    <w:p w:rsidR="00000000" w:rsidDel="00000000" w:rsidP="00000000" w:rsidRDefault="00000000" w:rsidRPr="00000000" w14:paraId="00000040">
      <w:pPr>
        <w:ind w:left="0" w:firstLine="0"/>
        <w:rPr/>
      </w:pPr>
      <w:r w:rsidDel="00000000" w:rsidR="00000000" w:rsidRPr="00000000">
        <w:rPr>
          <w:i w:val="1"/>
          <w:iCs w:val="1"/>
          <w:rtl w:val="0"/>
        </w:rPr>
        <w:t xml:space="preserve">Ratio Book-to-Market </w:t>
      </w:r>
      <w:r w:rsidDel="00000000" w:rsidR="00000000" w:rsidRPr="00000000">
        <w:rPr>
          <w:rtl w:val="0"/>
        </w:rPr>
        <w:t xml:space="preserve">(BME):</w:t>
      </w:r>
    </w:p>
    <w:p w:rsidR="00000000" w:rsidDel="00000000" w:rsidP="00000000" w:rsidRDefault="00000000" w:rsidRPr="00000000" w14:paraId="00000041">
      <w:pPr>
        <w:ind w:left="0" w:firstLine="0"/>
        <w:rPr/>
      </w:pPr>
      <w:r w:rsidDel="00000000" w:rsidR="00000000" w:rsidRPr="00000000">
        <w:rPr>
          <w:rtl w:val="0"/>
        </w:rPr>
        <w:t xml:space="preserve">Una de las principales variables que la literatura ha vinculado con el valor de las opciones reales es la ratio BME. Fama y French (1992) la definen como la relación entre el valor contable y el valor de mercado del capital social de una empresa (BE/ME), donde un alto BME indica un precio en las acciones bajo en relación con el valor contable, y un bajo BME un precio elevado de las acciones en relación con el valor contable.</w:t>
      </w:r>
    </w:p>
    <w:p w:rsidR="00000000" w:rsidDel="00000000" w:rsidP="00000000" w:rsidRDefault="00000000" w:rsidRPr="00000000" w14:paraId="00000042">
      <w:pPr>
        <w:ind w:left="0" w:firstLine="0"/>
        <w:rPr/>
      </w:pPr>
      <w:r w:rsidDel="00000000" w:rsidR="00000000" w:rsidRPr="00000000">
        <w:rPr>
          <w:rtl w:val="0"/>
        </w:rPr>
        <w:t xml:space="preserve">Tamaño (SIZE):</w:t>
      </w:r>
    </w:p>
    <w:p w:rsidR="00000000" w:rsidDel="00000000" w:rsidP="00000000" w:rsidRDefault="00000000" w:rsidRPr="00000000" w14:paraId="00000043">
      <w:pPr>
        <w:ind w:left="0" w:firstLine="0"/>
        <w:rPr/>
      </w:pPr>
      <w:r w:rsidDel="00000000" w:rsidR="00000000" w:rsidRPr="00000000">
        <w:rPr>
          <w:rtl w:val="0"/>
        </w:rPr>
        <w:t xml:space="preserve">Otra variable relevante es el tamaño de la empresa, la cual según Fama y French (1992) es definida como el valor de mercado de las acciones de la empresa (capitalización bursátil), calculada como el precio de una acción multiplicada por las acciones en circulación. Pacheco (2015) señala que el tamaño de una empresa se mide a partir del logaritmo del valor de mercado de las acciones. </w:t>
      </w:r>
    </w:p>
    <w:p w:rsidR="00000000" w:rsidDel="00000000" w:rsidP="00000000" w:rsidRDefault="00000000" w:rsidRPr="00000000" w14:paraId="00000044">
      <w:pPr>
        <w:ind w:left="0" w:firstLine="0"/>
        <w:rPr/>
      </w:pPr>
      <w:r w:rsidDel="00000000" w:rsidR="00000000" w:rsidRPr="00000000">
        <w:rPr>
          <w:rtl w:val="0"/>
        </w:rPr>
        <w:t xml:space="preserve">Endeudamiento (LEV): </w:t>
      </w:r>
    </w:p>
    <w:p w:rsidR="00000000" w:rsidDel="00000000" w:rsidP="00000000" w:rsidRDefault="00000000" w:rsidRPr="00000000" w14:paraId="00000045">
      <w:pPr>
        <w:ind w:left="0" w:firstLine="0"/>
        <w:rPr/>
      </w:pPr>
      <w:r w:rsidDel="00000000" w:rsidR="00000000" w:rsidRPr="00000000">
        <w:rPr>
          <w:rtl w:val="0"/>
        </w:rPr>
        <w:t xml:space="preserve">La tercera variable considerada en este estudio es el endeudamiento, la cual según Myers (1977) debe fijarse en términos de valores contables en lugar de valores de mercado, haciendo énfasis en dos tipos de deuda, con riesgo y sin riesgo. Asimismo Myers identifica un alto endeudamiento corporativo como causa de problemas de subinversión. El apalancamiento (Lev) se calcula como el cociente entre el valor contable de la deuda y el activo total (Andrés, Azofra y de la Fuente, 2002).</w:t>
      </w:r>
    </w:p>
    <w:p w:rsidR="00000000" w:rsidDel="00000000" w:rsidP="00000000" w:rsidRDefault="00000000" w:rsidRPr="00000000" w14:paraId="00000046">
      <w:pPr>
        <w:ind w:left="0" w:firstLine="0"/>
        <w:rPr>
          <w:b w:val="1"/>
          <w:bCs w:val="1"/>
        </w:rPr>
      </w:pPr>
      <w:r w:rsidDel="00000000" w:rsidR="00000000" w:rsidRPr="00000000">
        <w:rPr>
          <w:b w:val="1"/>
          <w:bCs w:val="1"/>
          <w:rtl w:val="0"/>
        </w:rPr>
        <w:t xml:space="preserve">2.2 Revisión de estudios previos</w:t>
      </w:r>
    </w:p>
    <w:p w:rsidR="00000000" w:rsidDel="00000000" w:rsidP="00000000" w:rsidRDefault="00000000" w:rsidRPr="00000000" w14:paraId="00000047">
      <w:pPr>
        <w:ind w:left="0" w:firstLine="0"/>
        <w:rPr/>
      </w:pPr>
      <w:r w:rsidDel="00000000" w:rsidR="00000000" w:rsidRPr="00000000">
        <w:rPr>
          <w:rtl w:val="0"/>
        </w:rPr>
        <w:t xml:space="preserve">El estudio de las opciones reales como componente del valor bursátil tiene sus cimientos en el trabajo de Myers (1977), quien propuso que el valor de una empresa no solo depende de sus activos actuales en funcionamiento (AiP), sino también de sus oportunidades futuras de inversión, conceptualizadas como opciones de crecimiento. </w:t>
      </w:r>
    </w:p>
    <w:p w:rsidR="00000000" w:rsidDel="00000000" w:rsidP="00000000" w:rsidRDefault="00000000" w:rsidRPr="00000000" w14:paraId="00000048">
      <w:pPr>
        <w:ind w:left="0" w:firstLine="0"/>
        <w:rPr/>
      </w:pPr>
      <w:r w:rsidDel="00000000" w:rsidR="00000000" w:rsidRPr="00000000">
        <w:rPr>
          <w:rtl w:val="0"/>
        </w:rPr>
        <w:t xml:space="preserve">Kester (1984) desarrolló esta idea al proponer una metodología empírica para medir el valor de las opciones de crecimiento. Su contribución central fue demostrar que el valor de mercado de una empresa podía descomponerse en el valor capitalizado de sus ganancias actuales (proxy de los AiP) más el valor de sus opciones de crecimiento (OR). Formalmente la fórmula de OR se puede descomponer en:</w:t>
      </w:r>
    </w:p>
    <w:p w:rsidR="00000000" w:rsidDel="00000000" w:rsidP="00000000" w:rsidRDefault="00000000" w:rsidRPr="00000000" w14:paraId="00000049">
      <w:pPr>
        <w:ind w:left="0" w:firstLine="0"/>
        <w:rPr/>
      </w:pPr>
      <w:r w:rsidDel="00000000" w:rsidR="00000000" w:rsidRPr="00000000">
        <w:rPr>
          <w:rtl w:val="0"/>
        </w:rPr>
        <w:t xml:space="preserve">OR = V - AiP</w:t>
      </w:r>
    </w:p>
    <w:p w:rsidR="00000000" w:rsidDel="00000000" w:rsidP="00000000" w:rsidRDefault="00000000" w:rsidRPr="00000000" w14:paraId="0000004A">
      <w:pPr>
        <w:ind w:left="0" w:firstLine="0"/>
        <w:rPr/>
      </w:pPr>
      <w:r w:rsidDel="00000000" w:rsidR="00000000" w:rsidRPr="00000000">
        <w:rPr>
          <w:rtl w:val="0"/>
        </w:rPr>
        <w:t xml:space="preserve">Donde:</w:t>
      </w:r>
    </w:p>
    <w:p w:rsidR="00000000" w:rsidDel="00000000" w:rsidP="00000000" w:rsidRDefault="00000000" w:rsidRPr="00000000" w14:paraId="0000004B">
      <w:pPr>
        <w:ind w:left="0" w:firstLine="0"/>
        <w:rPr/>
      </w:pPr>
      <w:r w:rsidDel="00000000" w:rsidR="00000000" w:rsidRPr="00000000">
        <w:rPr>
          <w:rtl w:val="0"/>
        </w:rPr>
        <w:t xml:space="preserve">V= Valor de mercado total del capital social de la empresa.</w:t>
      </w:r>
    </w:p>
    <w:p w:rsidR="00000000" w:rsidDel="00000000" w:rsidP="00000000" w:rsidRDefault="00000000" w:rsidRPr="00000000" w14:paraId="0000004C">
      <w:pPr>
        <w:ind w:left="0" w:firstLine="0"/>
        <w:rPr/>
      </w:pPr>
      <w:r w:rsidDel="00000000" w:rsidR="00000000" w:rsidRPr="00000000">
        <w:rPr>
          <w:rtl w:val="0"/>
        </w:rPr>
        <w:t xml:space="preserve">Aip se aproxima como el cociente entre el flujo de caja operacional y una tasa de descuento (generalmente el costo de capital).</w:t>
      </w:r>
    </w:p>
    <w:p w:rsidR="00000000" w:rsidDel="00000000" w:rsidP="00000000" w:rsidRDefault="00000000" w:rsidRPr="00000000" w14:paraId="0000004D">
      <w:pPr>
        <w:ind w:left="0" w:firstLine="0"/>
        <w:rPr/>
      </w:pPr>
      <w:r w:rsidDel="00000000" w:rsidR="00000000" w:rsidRPr="00000000">
        <w:rPr>
          <w:rtl w:val="0"/>
        </w:rPr>
        <w:t xml:space="preserve">Aplicando este enfoque a grandes empresas estadounidenses, Kester (1984) encontró que una fracción significativa —a menudo superior al 50%— de su valor bursátil provenía de dichas opciones, sentando las bases para futuros estudios empíricos.</w:t>
      </w:r>
    </w:p>
    <w:p w:rsidR="00000000" w:rsidDel="00000000" w:rsidP="00000000" w:rsidRDefault="00000000" w:rsidRPr="00000000" w14:paraId="0000004E">
      <w:pPr>
        <w:ind w:left="0" w:firstLine="0"/>
        <w:rPr/>
      </w:pPr>
      <w:r w:rsidDel="00000000" w:rsidR="00000000" w:rsidRPr="00000000">
        <w:rPr>
          <w:rtl w:val="0"/>
        </w:rPr>
        <w:t xml:space="preserve">Posteriormente, Andrés, Azofra y de la Fuente (2002) aplicaron esta metodología al sector tecnológico de la Organización para la Cooperación y el Desarrollo Económico (OCDE), confirmando la relevancia de las opciones reales en el valor de mercado. Sus resultados mostraron que la fracción del valor de mercado no explicada por los AiP se comportaba de manera consistente con lo que sería el valor de mercado de las opciones reales, relacionándose positivamente con variables como el tamaño de la empresa.</w:t>
      </w:r>
    </w:p>
    <w:p w:rsidR="00000000" w:rsidDel="00000000" w:rsidP="00000000" w:rsidRDefault="00000000" w:rsidRPr="00000000" w14:paraId="0000004F">
      <w:pPr>
        <w:ind w:left="0" w:firstLine="0"/>
        <w:rPr/>
      </w:pPr>
      <w:r w:rsidDel="00000000" w:rsidR="00000000" w:rsidRPr="00000000">
        <w:rPr>
          <w:rtl w:val="0"/>
        </w:rPr>
        <w:t xml:space="preserve">Pacheco (2015) extendió este análisis al mercado británico, incorporando específicamente las variables BME (Book-to-Market), tamaño y endeudamiento como factores explicativos del valor de las opciones reales. Su trabajo distinguió además entre rentabilidades requeridas y realizadas, encontrando que el efecto de las opciones reales era más robusto sobre las rentabilidades efectivamente obtenidas por los inversores. Su trabajo brindó una distinción a los ensayos anteriores del tema, debido a la inclusión de variables que inciden de manera fundamental en el comportamiento de las opciones reales, variables que ocuparemos en este trabajo</w:t>
      </w:r>
    </w:p>
    <w:p w:rsidR="00000000" w:rsidDel="00000000" w:rsidP="00000000" w:rsidRDefault="00000000" w:rsidRPr="00000000" w14:paraId="00000050">
      <w:pPr>
        <w:ind w:left="0" w:firstLine="0"/>
        <w:rPr/>
      </w:pPr>
      <w:r w:rsidDel="00000000" w:rsidR="00000000" w:rsidRPr="00000000">
        <w:rPr>
          <w:rtl w:val="0"/>
        </w:rPr>
        <w:t xml:space="preserve">En el contexto local chileno, Ramírez (2022) analizó las barreras para la adopción de la Economía Circular en la industria minera de Chile, identificando la incertidumbre regulatoria y la falta de flexibilidad en los modelos de negocio como obstáculos relevantes. Si bien este estudio no aborda directamente la valoración bursátil de las opciones reales, evidencia que el sector minero chileno opera en un entorno de alta incertidumbre y requiere decisiones estratégicas flexibles, lo que lo convierte en un campo fértil para la aplicación del enfoque de opciones reales.</w:t>
      </w:r>
    </w:p>
    <w:p w:rsidR="00000000" w:rsidDel="00000000" w:rsidP="00000000" w:rsidRDefault="00000000" w:rsidRPr="00000000" w14:paraId="00000051">
      <w:pPr>
        <w:ind w:left="0" w:firstLine="0"/>
        <w:rPr/>
      </w:pPr>
      <w:r w:rsidDel="00000000" w:rsidR="00000000" w:rsidRPr="00000000">
        <w:rPr>
          <w:rtl w:val="0"/>
        </w:rPr>
        <w:t xml:space="preserve">En el ámbito internacional, Támara Ayús et al. (2019) valoraron un proyecto de construcción de una pequeña central hidroeléctrica en Colombia mediante opciones reales, encontrando que la opción de expansión agregaba un valor significativo no capturado por el VAN tradicional. Los autores concluyeron que al considerar la opción, se puede obtener un valor adicional que no había sido tenido en cuenta por los métodos tradicionales de valoración.</w:t>
      </w:r>
    </w:p>
    <w:p w:rsidR="00000000" w:rsidDel="00000000" w:rsidP="00000000" w:rsidRDefault="00000000" w:rsidRPr="00000000" w14:paraId="00000052">
      <w:pPr>
        <w:ind w:left="0" w:firstLine="0"/>
        <w:rPr>
          <w:b w:val="1"/>
          <w:bCs w:val="1"/>
        </w:rPr>
      </w:pPr>
      <w:r w:rsidDel="00000000" w:rsidR="00000000" w:rsidRPr="00000000">
        <w:rPr>
          <w:b w:val="1"/>
          <w:bCs w:val="1"/>
          <w:rtl w:val="0"/>
        </w:rPr>
        <w:t xml:space="preserve">2.3 Relaciones teóricas del estudio</w:t>
      </w:r>
    </w:p>
    <w:p w:rsidR="00000000" w:rsidDel="00000000" w:rsidP="00000000" w:rsidRDefault="00000000" w:rsidRPr="00000000" w14:paraId="00000053">
      <w:pPr>
        <w:ind w:left="0" w:firstLine="0"/>
        <w:rPr/>
      </w:pPr>
      <w:r w:rsidDel="00000000" w:rsidR="00000000" w:rsidRPr="00000000">
        <w:rPr>
          <w:rtl w:val="0"/>
        </w:rPr>
        <w:t xml:space="preserve">A partir de la literatura revisada, se establecen las siguientes relaciones esperadas para las empresas de los sectores minero y energético chileno durante el período 2020-2025.</w:t>
      </w:r>
    </w:p>
    <w:p w:rsidR="00000000" w:rsidDel="00000000" w:rsidP="00000000" w:rsidRDefault="00000000" w:rsidRPr="00000000" w14:paraId="00000054">
      <w:pPr>
        <w:ind w:left="0" w:firstLine="0"/>
        <w:rPr/>
      </w:pPr>
      <w:r w:rsidDel="00000000" w:rsidR="00000000" w:rsidRPr="00000000">
        <w:rPr>
          <w:rtl w:val="0"/>
        </w:rPr>
        <w:t xml:space="preserve">Relación entre BME y la proxy de opciones reales (negativa esperada).</w:t>
      </w:r>
    </w:p>
    <w:p w:rsidR="00000000" w:rsidDel="00000000" w:rsidP="00000000" w:rsidRDefault="00000000" w:rsidRPr="00000000" w14:paraId="00000055">
      <w:pPr>
        <w:ind w:left="0" w:firstLine="0"/>
        <w:rPr/>
      </w:pPr>
      <w:r w:rsidDel="00000000" w:rsidR="00000000" w:rsidRPr="00000000">
        <w:rPr>
          <w:rtl w:val="0"/>
        </w:rPr>
        <w:t xml:space="preserve">Fama y French (1992, 1993) documentaron que un BME bajo (valor de mercado alto relativo al valor contable) es característico de empresas con altas expectativas de crecimiento. Pacheco (2015) vinculó directamente esta variable con las opciones reales, señalando que un menor BME implica un mayor peso de dichas opciones en el conjunto de activos de la empresa. Por lo tanto, se espera una relación negativa: a menor BME, mayor será la fracción del valor de mercado atribuible a opciones reales.</w:t>
      </w:r>
    </w:p>
    <w:p w:rsidR="00000000" w:rsidDel="00000000" w:rsidP="00000000" w:rsidRDefault="00000000" w:rsidRPr="00000000" w14:paraId="00000056">
      <w:pPr>
        <w:ind w:left="0" w:firstLine="0"/>
        <w:rPr/>
      </w:pPr>
      <w:r w:rsidDel="00000000" w:rsidR="00000000" w:rsidRPr="00000000">
        <w:rPr>
          <w:rtl w:val="0"/>
        </w:rPr>
        <w:t xml:space="preserve">Relación entre tamaño (SIZE) y la proxy de opciones reales (positiva esperada).</w:t>
      </w:r>
    </w:p>
    <w:p w:rsidR="00000000" w:rsidDel="00000000" w:rsidP="00000000" w:rsidRDefault="00000000" w:rsidRPr="00000000" w14:paraId="00000057">
      <w:pPr>
        <w:ind w:left="0" w:firstLine="0"/>
        <w:rPr/>
      </w:pPr>
      <w:r w:rsidDel="00000000" w:rsidR="00000000" w:rsidRPr="00000000">
        <w:rPr>
          <w:rtl w:val="0"/>
        </w:rPr>
        <w:t xml:space="preserve">Andrés, Azofra y de la Fuente (2002) encontraron que el tamaño de la empresa se relacionaba positivamente con la fracción del valor de mercado no explicada por los AiP, sugiriendo que los inversores reconocen en el tamaño una señal de la capacidad de la empresa para gestionar eficientemente las opciones reales. Pacheco (2015) también consideró el tamaño como una variable relevante. En la misma línea, Carlson, Fisher y Giammarino (2003) sostienen que el tamaño de la empresa captura la importancia relativa de las opciones de crecimiento en relación con los activos existentes. Se espera, por tanto, una relación positiva: a mayor tamaño, mayor será el valor de las opciones reales.</w:t>
      </w:r>
    </w:p>
    <w:p w:rsidR="00000000" w:rsidDel="00000000" w:rsidP="00000000" w:rsidRDefault="00000000" w:rsidRPr="00000000" w14:paraId="00000058">
      <w:pPr>
        <w:ind w:left="0" w:firstLine="0"/>
        <w:rPr/>
      </w:pPr>
      <w:r w:rsidDel="00000000" w:rsidR="00000000" w:rsidRPr="00000000">
        <w:rPr>
          <w:rtl w:val="0"/>
        </w:rPr>
        <w:t xml:space="preserve">Relación entre endeudamiento (LEV) y la proxy de opciones reales (negativa esperada).</w:t>
      </w:r>
    </w:p>
    <w:p w:rsidR="00000000" w:rsidDel="00000000" w:rsidP="00000000" w:rsidRDefault="00000000" w:rsidRPr="00000000" w14:paraId="00000059">
      <w:pPr>
        <w:ind w:left="0" w:firstLine="0"/>
        <w:rPr/>
      </w:pPr>
      <w:r w:rsidDel="00000000" w:rsidR="00000000" w:rsidRPr="00000000">
        <w:rPr>
          <w:rtl w:val="0"/>
        </w:rPr>
        <w:t xml:space="preserve">Myers (1977) argumentó que un alto endeudamiento puede generar problemas de subinversión, restringiendo la capacidad de la empresa para ejercer sus opciones de crecimiento. En esta misma línea Mauer y Ott (2000) demuestran que el desigual reparto de los beneficios y los costes de las opciones reales entre accionistas y acreedores genera decisiones ineficientes en la gestión de la cartera de opciones reales. Andrés, Azofra y de la Fuente (2002) también incluyeron el apalancamiento como variable explicativa. Siguiendo este razonamiento, se espera una relación negativa: a mayor endeudamiento, menor será el valor de las opciones reales, ya que la deuda limita la flexibilidad financiera necesaria para aprovechar oportunidades futuras de inversión.</w:t>
      </w:r>
    </w:p>
    <w:p w:rsidR="00000000" w:rsidDel="00000000" w:rsidP="00000000" w:rsidRDefault="00000000" w:rsidRPr="00000000" w14:paraId="0000005A">
      <w:pPr>
        <w:ind w:left="0" w:firstLine="0"/>
        <w:rPr>
          <w:b w:val="1"/>
          <w:bCs w:val="1"/>
        </w:rPr>
      </w:pPr>
      <w:r w:rsidDel="00000000" w:rsidR="00000000" w:rsidRPr="00000000">
        <w:rPr>
          <w:b w:val="1"/>
          <w:bCs w:val="1"/>
          <w:rtl w:val="0"/>
        </w:rPr>
        <w:t xml:space="preserve">2.4 Vacío de investigación</w:t>
      </w:r>
    </w:p>
    <w:p w:rsidR="00000000" w:rsidDel="00000000" w:rsidP="00000000" w:rsidRDefault="00000000" w:rsidRPr="00000000" w14:paraId="0000005B">
      <w:pPr>
        <w:ind w:left="0" w:firstLine="0"/>
        <w:rPr/>
      </w:pPr>
      <w:r w:rsidDel="00000000" w:rsidR="00000000" w:rsidRPr="00000000">
        <w:rPr>
          <w:rtl w:val="0"/>
        </w:rPr>
        <w:t xml:space="preserve">A pesar de los importantes avances en la literatura sobre opciones reales, persisten vacíos significativos que justifican la presente investigación.</w:t>
      </w:r>
    </w:p>
    <w:p w:rsidR="00000000" w:rsidDel="00000000" w:rsidP="00000000" w:rsidRDefault="00000000" w:rsidRPr="00000000" w14:paraId="0000005C">
      <w:pPr>
        <w:ind w:left="0" w:firstLine="0"/>
        <w:rPr/>
      </w:pPr>
      <w:r w:rsidDel="00000000" w:rsidR="00000000" w:rsidRPr="00000000">
        <w:rPr>
          <w:rtl w:val="0"/>
        </w:rPr>
        <w:t xml:space="preserve">En primer lugar, la mayoría de los estudios empíricos se han concentrado en mercados desarrollados y con múltiples enfoques —como Estados Unidos (Kester, 1984), países de la OCDE (Andrés, Azofra y de la Fuente, 2002) y el Reino Unido (Pacheco, 2015)—, con pocos casos de evidencia para economías emergentes como Chile. En segundo lugar, los sectores minero y energético, a pesar de su relevancia estratégica para la economía chilena, no han sido estudiados desde la perspectiva de la valoración bursátil de las opciones reales.</w:t>
      </w:r>
    </w:p>
    <w:p w:rsidR="00000000" w:rsidDel="00000000" w:rsidP="00000000" w:rsidRDefault="00000000" w:rsidRPr="00000000" w14:paraId="0000005D">
      <w:pPr>
        <w:ind w:left="0" w:firstLine="0"/>
        <w:rPr/>
      </w:pPr>
      <w:r w:rsidDel="00000000" w:rsidR="00000000" w:rsidRPr="00000000">
        <w:rPr>
          <w:rtl w:val="0"/>
        </w:rPr>
        <w:t xml:space="preserve">Si bien Ramírez (2022) abordó la incertidumbre y las barreras en la minería chilena, su trabajo no vinculó estos hallazgos con la valoración que el mercado financiero asigna a la flexibilidad y las oportunidades de crecimiento de estas empresas.</w:t>
      </w:r>
    </w:p>
    <w:p w:rsidR="00000000" w:rsidDel="00000000" w:rsidP="00000000" w:rsidRDefault="00000000" w:rsidRPr="00000000" w14:paraId="0000005E">
      <w:pPr>
        <w:ind w:left="0" w:firstLine="0"/>
        <w:rPr/>
      </w:pPr>
      <w:r w:rsidDel="00000000" w:rsidR="00000000" w:rsidRPr="00000000">
        <w:rPr>
          <w:rtl w:val="0"/>
        </w:rPr>
        <w:t xml:space="preserve">En el ámbito nacional el enfoque de opciones reales ha sido aplicado en diferentes contextos. Castro Brahm (2019) propuso una metodología de evaluación económica por opciones reales como complemento al VAN tradicional para gestionar la incertidumbre del sector minero, utilizando simulaciones de </w:t>
      </w:r>
      <w:r w:rsidDel="00000000" w:rsidR="00000000" w:rsidRPr="00000000">
        <w:rPr>
          <w:rtl w:val="0"/>
        </w:rPr>
        <w:t xml:space="preserve">montecarlo</w:t>
      </w:r>
      <w:r w:rsidDel="00000000" w:rsidR="00000000" w:rsidRPr="00000000">
        <w:rPr>
          <w:rtl w:val="0"/>
        </w:rPr>
        <w:t xml:space="preserve"> y un árbol estratégico de decisión para determinar “precios gatillo”. Ahumada y Andalaft (2013) evaluaron económicamente la construcción de una nueva planta de cogeneración de biomasa  de una empresa papelera de la región del  Biobío mediante opciones reales y el método binomial con una transformación logarítmica. Por su parte Gutierrez y Sáez  (2019) valoraron una empresa del retail chileno mediante opciones reales, usando los modelos binomial, Black-Scholes y simulación de Montecarlo como complemento del flujo de caja descontado. </w:t>
      </w:r>
    </w:p>
    <w:p w:rsidR="00000000" w:rsidDel="00000000" w:rsidP="00000000" w:rsidRDefault="00000000" w:rsidRPr="00000000" w14:paraId="0000005F">
      <w:pPr>
        <w:ind w:left="0" w:firstLine="0"/>
        <w:rPr>
          <w:color w:val="ff0000"/>
        </w:rPr>
      </w:pPr>
      <w:r w:rsidDel="00000000" w:rsidR="00000000" w:rsidRPr="00000000">
        <w:rPr>
          <w:rtl w:val="0"/>
        </w:rPr>
        <w:t xml:space="preserve">Sin embargo, ninguna de estas aplicaciones aborda la valoración bursátil de empresas mineras y energéticas chilenas desde la perspectiva de las variables BME, tamaño y endeudamiento.</w:t>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Por lo tanto, la presente investigación es necesaria porque aplica la metodología consolidada de Kester (1984) y Andrés et al. (2002), complementada con las variables BME, tamaño y endeudamiento utilizadas por Pacheco (2015), a un contexto poco explorado y pertinente como lo es Chile y a sectores específicos tanto el minero y el energético para permitir llenar el vacío empírico identificado.</w:t>
      </w:r>
      <w:r w:rsidDel="00000000" w:rsidR="00000000" w:rsidRPr="00000000">
        <w:rPr>
          <w:rtl w:val="0"/>
        </w:rPr>
      </w:r>
    </w:p>
    <w:p w:rsidR="00000000" w:rsidDel="00000000" w:rsidP="00000000" w:rsidRDefault="00000000" w:rsidRPr="00000000" w14:paraId="00000061">
      <w:pPr>
        <w:pStyle w:val="Heading1"/>
        <w:numPr>
          <w:ilvl w:val="0"/>
          <w:numId w:val="1"/>
        </w:numPr>
        <w:ind w:left="720" w:hanging="360"/>
        <w:rPr/>
      </w:pPr>
      <w:bookmarkStart w:colFirst="0" w:colLast="0" w:name="_wa9on5cn49xn" w:id="2"/>
      <w:bookmarkEnd w:id="2"/>
      <w:r w:rsidDel="00000000" w:rsidR="00000000" w:rsidRPr="00000000">
        <w:rPr>
          <w:rtl w:val="0"/>
        </w:rPr>
        <w:t xml:space="preserve">Metodología</w:t>
      </w:r>
    </w:p>
    <w:p w:rsidR="00000000" w:rsidDel="00000000" w:rsidP="00000000" w:rsidRDefault="00000000" w:rsidRPr="00000000" w14:paraId="00000062">
      <w:pPr>
        <w:ind w:left="0" w:firstLine="0"/>
        <w:rPr>
          <w:b w:val="1"/>
          <w:bCs w:val="1"/>
        </w:rPr>
      </w:pPr>
      <w:r w:rsidDel="00000000" w:rsidR="00000000" w:rsidRPr="00000000">
        <w:rPr>
          <w:b w:val="1"/>
          <w:bCs w:val="1"/>
          <w:rtl w:val="0"/>
        </w:rPr>
        <w:t xml:space="preserve">3.1 Tipo y enfoque de investigación</w:t>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El estudio adopta un enfoque cuantitativo, ya que se trabajará exclusivamente con datos numéricos provenientes de estados financieros y precios de acciones, y se aplicarán técnicas estadísticas paramétricas para analizar las relaciones entre las variables. El tipo de investigación es correlacional, pues el objetivo principal es determinar si existe asociación estadística entre la proxy de opciones reales (valor de mercado menos valor de los activos en funcionamiento) y las variables independientes BME, tamaño y endeudamiento, sin que se pretenda establecer relaciones causales definitivas entre ellas. Este enfoque se fundamenta en la propuesta de Kester (1984), quien señala que "una oportunidad discrecional de invertir capital en activos productivos como instalaciones, equipos y marcas en algún momento futuro es como una opción de compra sobre activos reales, o una «opción de crecimiento»", lo que justifica tratar el valor de las oportunidades futuras como una variable cuantificable a partir de datos de mercado y contables. Adicionalmente, el estudio presenta componentes exploratorios, debido a que la literatura empírica sobre opciones reales en el contexto chileno —especialmente en los sectores minero y energético— es limitada. Hasta donde se ha podido revisar, no se han encontrado investigaciones previas que apliquen este enfoque a dichos sectores en Chile, lo que justifica el carácter exploratorio de esta investigación. Asimismo, incluye un componente descriptivo, porque se caracteriza y cuantifica el valor implícito de las opciones reales para cada empresa y cada año del período de análisis, permitiendo observar su evolución temporal. </w:t>
      </w:r>
    </w:p>
    <w:p w:rsidR="00000000" w:rsidDel="00000000" w:rsidP="00000000" w:rsidRDefault="00000000" w:rsidRPr="00000000" w14:paraId="00000064">
      <w:pPr>
        <w:ind w:left="0" w:firstLine="0"/>
        <w:rPr>
          <w:b w:val="1"/>
          <w:bCs w:val="1"/>
        </w:rPr>
      </w:pPr>
      <w:r w:rsidDel="00000000" w:rsidR="00000000" w:rsidRPr="00000000">
        <w:rPr>
          <w:b w:val="1"/>
          <w:bCs w:val="1"/>
          <w:rtl w:val="0"/>
        </w:rPr>
        <w:t xml:space="preserve">3.2 Elementos preliminares de análisis</w:t>
      </w:r>
    </w:p>
    <w:tbl>
      <w:tblPr>
        <w:tblStyle w:val="Table1"/>
        <w:tblW w:w="1170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755"/>
        <w:gridCol w:w="4740"/>
        <w:gridCol w:w="2355"/>
        <w:tblGridChange w:id="0">
          <w:tblGrid>
            <w:gridCol w:w="2850"/>
            <w:gridCol w:w="1755"/>
            <w:gridCol w:w="4740"/>
            <w:gridCol w:w="2355"/>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line="276" w:lineRule="auto"/>
              <w:jc w:val="left"/>
              <w:rPr/>
            </w:pPr>
            <w:r w:rsidDel="00000000" w:rsidR="00000000" w:rsidRPr="00000000">
              <w:rPr>
                <w:rtl w:val="0"/>
              </w:rPr>
              <w:t xml:space="preserve">Variable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line="276" w:lineRule="auto"/>
              <w:jc w:val="left"/>
              <w:rPr/>
            </w:pPr>
            <w:r w:rsidDel="00000000" w:rsidR="00000000" w:rsidRPr="00000000">
              <w:rPr>
                <w:rtl w:val="0"/>
              </w:rPr>
              <w:t xml:space="preserve">Tipo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jc w:val="left"/>
              <w:rPr/>
            </w:pPr>
            <w:r w:rsidDel="00000000" w:rsidR="00000000" w:rsidRPr="00000000">
              <w:rPr>
                <w:rtl w:val="0"/>
              </w:rPr>
              <w:t xml:space="preserve">Definición operativa (cálculo)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jc w:val="left"/>
              <w:rPr/>
            </w:pPr>
            <w:r w:rsidDel="00000000" w:rsidR="00000000" w:rsidRPr="00000000">
              <w:rPr>
                <w:rtl w:val="0"/>
              </w:rPr>
              <w:t xml:space="preserve">Fuente de datos</w:t>
            </w:r>
          </w:p>
        </w:tc>
      </w:tr>
      <w:tr>
        <w:trPr>
          <w:cantSplit w:val="0"/>
          <w:trHeight w:val="16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line="276" w:lineRule="auto"/>
              <w:jc w:val="left"/>
              <w:rPr/>
            </w:pPr>
            <w:r w:rsidDel="00000000" w:rsidR="00000000" w:rsidRPr="00000000">
              <w:rPr>
                <w:rtl w:val="0"/>
              </w:rPr>
              <w:t xml:space="preserve">Proxy de opciones reales (</w:t>
            </w:r>
            <w:r w:rsidDel="00000000" w:rsidR="00000000" w:rsidRPr="00000000">
              <w:rPr>
                <w:rtl w:val="0"/>
              </w:rPr>
              <w:t xml:space="preserve">ProxyOR</w:t>
            </w:r>
            <w:r w:rsidDel="00000000" w:rsidR="00000000" w:rsidRPr="00000000">
              <w:rPr>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line="276" w:lineRule="auto"/>
              <w:jc w:val="left"/>
              <w:rPr/>
            </w:pPr>
            <w:r w:rsidDel="00000000" w:rsidR="00000000" w:rsidRPr="00000000">
              <w:rPr>
                <w:rtl w:val="0"/>
              </w:rPr>
              <w:t xml:space="preserve">Dependiente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jc w:val="left"/>
              <w:rPr/>
            </w:pPr>
            <w:r w:rsidDel="00000000" w:rsidR="00000000" w:rsidRPr="00000000">
              <w:rPr>
                <w:rtl w:val="0"/>
              </w:rPr>
              <w:t xml:space="preserve">Diferencia entre el valor de mercado de la empresa (capitalización bursátil + valor contable de la deuda) y el valor generado de los activos totales (proxy de los AiP). Se calcula anualmente para cada empresa.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line="276" w:lineRule="auto"/>
              <w:jc w:val="left"/>
              <w:rPr/>
            </w:pPr>
            <w:r w:rsidDel="00000000" w:rsidR="00000000" w:rsidRPr="00000000">
              <w:rPr>
                <w:rtl w:val="0"/>
              </w:rPr>
              <w:t xml:space="preserve">CMF (balances), </w:t>
            </w:r>
            <w:r w:rsidDel="00000000" w:rsidR="00000000" w:rsidRPr="00000000">
              <w:rPr>
                <w:rtl w:val="0"/>
              </w:rPr>
              <w:t xml:space="preserve">SantiagoX</w:t>
            </w:r>
            <w:r w:rsidDel="00000000" w:rsidR="00000000" w:rsidRPr="00000000">
              <w:rPr>
                <w:rtl w:val="0"/>
              </w:rPr>
              <w:t xml:space="preserve"> (precios de acciones)</w:t>
            </w:r>
          </w:p>
        </w:tc>
      </w:tr>
      <w:tr>
        <w:trPr>
          <w:cantSplit w:val="0"/>
          <w:trHeight w:val="16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line="276" w:lineRule="auto"/>
              <w:jc w:val="left"/>
              <w:rPr/>
            </w:pPr>
            <w:r w:rsidDel="00000000" w:rsidR="00000000" w:rsidRPr="00000000">
              <w:rPr>
                <w:rtl w:val="0"/>
              </w:rPr>
              <w:t xml:space="preserve">Proxy de los Aip (Activos en funcionamiento)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after="0" w:line="276" w:lineRule="auto"/>
              <w:jc w:val="left"/>
              <w:rPr/>
            </w:pPr>
            <w:r w:rsidDel="00000000" w:rsidR="00000000" w:rsidRPr="00000000">
              <w:rPr>
                <w:rtl w:val="0"/>
              </w:rPr>
              <w:t xml:space="preserve">Complementaria para ProxyOR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after="0" w:line="276" w:lineRule="auto"/>
              <w:jc w:val="left"/>
              <w:rPr/>
            </w:pPr>
            <w:r w:rsidDel="00000000" w:rsidR="00000000" w:rsidRPr="00000000">
              <w:rPr>
                <w:rtl w:val="0"/>
              </w:rPr>
              <w:t xml:space="preserve">Valor proveniente de los activos en funcionamiento de la empresa. Se aproxima como el cociente entre el flujo de caja operacional y una tasa de descuento (costo de capital o tasa libre de riesgo), o, alternativamente, como el valor contable de los activos totales.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jc w:val="left"/>
              <w:rPr/>
            </w:pPr>
            <w:r w:rsidDel="00000000" w:rsidR="00000000" w:rsidRPr="00000000">
              <w:rPr>
                <w:rtl w:val="0"/>
              </w:rPr>
              <w:t xml:space="preserve">CMF (activo total, flujo de caja operacional)</w:t>
            </w:r>
          </w:p>
        </w:tc>
      </w:tr>
      <w:tr>
        <w:trPr>
          <w:cantSplit w:val="0"/>
          <w:trHeight w:val="1336.6113281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line="276" w:lineRule="auto"/>
              <w:jc w:val="left"/>
              <w:rPr/>
            </w:pPr>
            <w:r w:rsidDel="00000000" w:rsidR="00000000" w:rsidRPr="00000000">
              <w:rPr>
                <w:rtl w:val="0"/>
              </w:rPr>
              <w:t xml:space="preserve">BME (Book-to-Market Equity)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after="0" w:line="276" w:lineRule="auto"/>
              <w:jc w:val="left"/>
              <w:rPr/>
            </w:pPr>
            <w:r w:rsidDel="00000000" w:rsidR="00000000" w:rsidRPr="00000000">
              <w:rPr>
                <w:rtl w:val="0"/>
              </w:rPr>
              <w:t xml:space="preserve">Independiente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after="0" w:line="276" w:lineRule="auto"/>
              <w:jc w:val="left"/>
              <w:rPr/>
            </w:pPr>
            <w:r w:rsidDel="00000000" w:rsidR="00000000" w:rsidRPr="00000000">
              <w:rPr>
                <w:rtl w:val="0"/>
              </w:rPr>
              <w:t xml:space="preserve">Cociente entre el valor contable del patrimonio y el valor de mercado del patrimonio (capitalización bursátil). Un BME bajo indica altas expectativas de crecimiento.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after="0" w:line="276" w:lineRule="auto"/>
              <w:jc w:val="left"/>
              <w:rPr/>
            </w:pPr>
            <w:r w:rsidDel="00000000" w:rsidR="00000000" w:rsidRPr="00000000">
              <w:rPr>
                <w:rtl w:val="0"/>
              </w:rPr>
              <w:t xml:space="preserve">CMF (valor contable patrimonio), </w:t>
            </w:r>
            <w:r w:rsidDel="00000000" w:rsidR="00000000" w:rsidRPr="00000000">
              <w:rPr>
                <w:rtl w:val="0"/>
              </w:rPr>
              <w:t xml:space="preserve">SantiagoX</w:t>
            </w:r>
            <w:r w:rsidDel="00000000" w:rsidR="00000000" w:rsidRPr="00000000">
              <w:rPr>
                <w:rtl w:val="0"/>
              </w:rPr>
              <w:t xml:space="preserve"> (capitalización bursátil)</w:t>
            </w:r>
          </w:p>
        </w:tc>
      </w:tr>
      <w:tr>
        <w:trPr>
          <w:cantSplit w:val="0"/>
          <w:trHeight w:val="776.865234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after="0" w:line="276" w:lineRule="auto"/>
              <w:jc w:val="left"/>
              <w:rPr/>
            </w:pPr>
            <w:r w:rsidDel="00000000" w:rsidR="00000000" w:rsidRPr="00000000">
              <w:rPr>
                <w:rtl w:val="0"/>
              </w:rPr>
              <w:t xml:space="preserve">Tamaño (SIZE)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after="0" w:line="276" w:lineRule="auto"/>
              <w:jc w:val="left"/>
              <w:rPr/>
            </w:pPr>
            <w:r w:rsidDel="00000000" w:rsidR="00000000" w:rsidRPr="00000000">
              <w:rPr>
                <w:rtl w:val="0"/>
              </w:rPr>
              <w:t xml:space="preserve">Independiente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76" w:lineRule="auto"/>
              <w:jc w:val="left"/>
              <w:rPr/>
            </w:pPr>
            <w:r w:rsidDel="00000000" w:rsidR="00000000" w:rsidRPr="00000000">
              <w:rPr>
                <w:rtl w:val="0"/>
              </w:rPr>
              <w:t xml:space="preserve">Logaritmo natural del valor de mercado de las acciones. Se usa el logaritmo para normalizar la escala de las empresas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jc w:val="left"/>
              <w:rPr/>
            </w:pPr>
            <w:r w:rsidDel="00000000" w:rsidR="00000000" w:rsidRPr="00000000">
              <w:rPr>
                <w:rtl w:val="0"/>
              </w:rPr>
              <w:t xml:space="preserve">CMF (activo total)</w:t>
            </w:r>
          </w:p>
        </w:tc>
      </w:tr>
      <w:tr>
        <w:trPr>
          <w:cantSplit w:val="0"/>
          <w:trHeight w:val="8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jc w:val="left"/>
              <w:rPr/>
            </w:pPr>
            <w:r w:rsidDel="00000000" w:rsidR="00000000" w:rsidRPr="00000000">
              <w:rPr>
                <w:rtl w:val="0"/>
              </w:rPr>
              <w:t xml:space="preserve">Endeudamiento (LEV)</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76" w:lineRule="auto"/>
              <w:jc w:val="left"/>
              <w:rPr/>
            </w:pPr>
            <w:r w:rsidDel="00000000" w:rsidR="00000000" w:rsidRPr="00000000">
              <w:rPr>
                <w:rtl w:val="0"/>
              </w:rPr>
              <w:t xml:space="preserve">Independiente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76" w:lineRule="auto"/>
              <w:jc w:val="left"/>
              <w:rPr/>
            </w:pPr>
            <w:r w:rsidDel="00000000" w:rsidR="00000000" w:rsidRPr="00000000">
              <w:rPr>
                <w:rtl w:val="0"/>
              </w:rPr>
              <w:t xml:space="preserve">Cociente entre la deuda total (pasivo total o deuda financiera) y el activo total.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jc w:val="left"/>
              <w:rPr/>
            </w:pPr>
            <w:r w:rsidDel="00000000" w:rsidR="00000000" w:rsidRPr="00000000">
              <w:rPr>
                <w:rtl w:val="0"/>
              </w:rPr>
              <w:t xml:space="preserve">CMF (deuda total, activo total)</w:t>
            </w:r>
          </w:p>
        </w:tc>
      </w:tr>
    </w:tbl>
    <w:p w:rsidR="00000000" w:rsidDel="00000000" w:rsidP="00000000" w:rsidRDefault="00000000" w:rsidRPr="00000000" w14:paraId="0000007D">
      <w:pPr>
        <w:ind w:left="0" w:firstLine="0"/>
        <w:rPr>
          <w:b w:val="1"/>
          <w:bCs w:val="1"/>
        </w:rPr>
      </w:pPr>
      <w:r w:rsidDel="00000000" w:rsidR="00000000" w:rsidRPr="00000000">
        <w:rPr>
          <w:rtl w:val="0"/>
        </w:rPr>
      </w:r>
    </w:p>
    <w:p w:rsidR="00000000" w:rsidDel="00000000" w:rsidP="00000000" w:rsidRDefault="00000000" w:rsidRPr="00000000" w14:paraId="0000007E">
      <w:pPr>
        <w:ind w:left="0" w:firstLine="0"/>
        <w:rPr>
          <w:b w:val="1"/>
          <w:bCs w:val="1"/>
        </w:rPr>
      </w:pPr>
      <w:r w:rsidDel="00000000" w:rsidR="00000000" w:rsidRPr="00000000">
        <w:rPr>
          <w:b w:val="1"/>
          <w:bCs w:val="1"/>
          <w:rtl w:val="0"/>
        </w:rPr>
        <w:t xml:space="preserve">3.3 Población y unidad de análisis</w:t>
      </w:r>
    </w:p>
    <w:p w:rsidR="00000000" w:rsidDel="00000000" w:rsidP="00000000" w:rsidRDefault="00000000" w:rsidRPr="00000000" w14:paraId="0000007F">
      <w:pPr>
        <w:ind w:left="0" w:firstLine="0"/>
        <w:rPr/>
      </w:pPr>
      <w:r w:rsidDel="00000000" w:rsidR="00000000" w:rsidRPr="00000000">
        <w:rPr>
          <w:rtl w:val="0"/>
        </w:rPr>
        <w:t xml:space="preserve">La población objetivo de este estudio está compuesta por las empresas de los sectores minero y energético chileno que han mantenido presencia bursátil en la Bolsa de Santiago durante el período comprendido entre los años 2020 y 2025. Se entiende por presencia bursátil la cotización habitual de sus acciones en el mercado secundario o, alternativamente, la emisión de instrumentos de deuda pública que permitan aproximar su valor de mercado.</w:t>
      </w:r>
    </w:p>
    <w:p w:rsidR="00000000" w:rsidDel="00000000" w:rsidP="00000000" w:rsidRDefault="00000000" w:rsidRPr="00000000" w14:paraId="00000080">
      <w:pPr>
        <w:ind w:left="0" w:firstLine="0"/>
        <w:rPr/>
      </w:pPr>
      <w:r w:rsidDel="00000000" w:rsidR="00000000" w:rsidRPr="00000000">
        <w:rPr>
          <w:rtl w:val="0"/>
        </w:rPr>
        <w:t xml:space="preserve">La unidad de análisis corresponde a cada empresa individualmente considerada, para la cual se recolectarán datos anuales de sus estados financieros y de su desempeño bursátil. La muestra será de tipo intencional o por conveniencia, seleccionando aquellas empresas que dispongan de información completa y consistente para todas las variables requeridas (valor de mercado, valor contable de activos, valor contable y de mercado del patrimonio, deuda total, etc.) en cada uno de los seis años que conforman el período de estudio.</w:t>
      </w:r>
    </w:p>
    <w:p w:rsidR="00000000" w:rsidDel="00000000" w:rsidP="00000000" w:rsidRDefault="00000000" w:rsidRPr="00000000" w14:paraId="00000081">
      <w:pPr>
        <w:ind w:left="0" w:firstLine="0"/>
        <w:rPr/>
      </w:pPr>
      <w:r w:rsidDel="00000000" w:rsidR="00000000" w:rsidRPr="00000000">
        <w:rPr>
          <w:rtl w:val="0"/>
        </w:rPr>
        <w:t xml:space="preserve">En el sector minero, la muestra priorizará empresas de alta liquidez y relevancia estratégica, considerando su papel en la exportación de minerales clave para la economía chilena. Se considerarán empresas como SQM (Sociedad Química y Minera de Chile), líder global en la producción de litio y yodo; CAP S.A., principal productor de minerales de hierro en la costa americana del Pacífico; y opcionalmente Antofagasta Minerals, controlada por el grupo Luksic, que opera importantes minas de cobre como Los Pelambres. </w:t>
      </w:r>
    </w:p>
    <w:p w:rsidR="00000000" w:rsidDel="00000000" w:rsidP="00000000" w:rsidRDefault="00000000" w:rsidRPr="00000000" w14:paraId="00000082">
      <w:pPr>
        <w:ind w:left="0" w:firstLine="0"/>
        <w:rPr/>
      </w:pPr>
      <w:r w:rsidDel="00000000" w:rsidR="00000000" w:rsidRPr="00000000">
        <w:rPr>
          <w:rtl w:val="0"/>
        </w:rPr>
        <w:t xml:space="preserve">En el sector energético, la muestra incluirá actores relevantes en generación, transmisión y distribución eléctrica, con especial atención a aquellas empresas que están liderando la transición energética y la innovación en eficiencia. Se considerarán empresas como Enel Chile S.A. (nemotécnico: ENELCHILE), filial del grupo italiano Enel; Colbún S.A. (nemotécnico: </w:t>
      </w:r>
      <w:r w:rsidDel="00000000" w:rsidR="00000000" w:rsidRPr="00000000">
        <w:rPr>
          <w:rtl w:val="0"/>
        </w:rPr>
        <w:t xml:space="preserve">COLBUN</w:t>
      </w:r>
      <w:r w:rsidDel="00000000" w:rsidR="00000000" w:rsidRPr="00000000">
        <w:rPr>
          <w:rtl w:val="0"/>
        </w:rPr>
        <w:t xml:space="preserve">), con una importante cartera de proyectos de energías renovables (hidroeléctrica, eólica y solar); y </w:t>
      </w:r>
      <w:r w:rsidDel="00000000" w:rsidR="00000000" w:rsidRPr="00000000">
        <w:rPr>
          <w:rtl w:val="0"/>
        </w:rPr>
        <w:t xml:space="preserve">Engie</w:t>
      </w:r>
      <w:r w:rsidDel="00000000" w:rsidR="00000000" w:rsidRPr="00000000">
        <w:rPr>
          <w:rtl w:val="0"/>
        </w:rPr>
        <w:t xml:space="preserve"> Energía Chile S.A. (nemotécnico: ECL), anteriormente Endesa Chile, que se encuentra en un activo proceso de descarbonización.</w:t>
      </w:r>
    </w:p>
    <w:p w:rsidR="00000000" w:rsidDel="00000000" w:rsidP="00000000" w:rsidRDefault="00000000" w:rsidRPr="00000000" w14:paraId="00000083">
      <w:pPr>
        <w:ind w:left="0" w:firstLine="0"/>
        <w:rPr>
          <w:b w:val="1"/>
          <w:bCs w:val="1"/>
        </w:rPr>
      </w:pPr>
      <w:r w:rsidDel="00000000" w:rsidR="00000000" w:rsidRPr="00000000">
        <w:rPr>
          <w:b w:val="1"/>
          <w:bCs w:val="1"/>
          <w:rtl w:val="0"/>
        </w:rPr>
        <w:t xml:space="preserve">3.4 Técnica de recolección de datos</w:t>
      </w:r>
    </w:p>
    <w:p w:rsidR="00000000" w:rsidDel="00000000" w:rsidP="00000000" w:rsidRDefault="00000000" w:rsidRPr="00000000" w14:paraId="00000084">
      <w:pPr>
        <w:rPr/>
      </w:pPr>
      <w:r w:rsidDel="00000000" w:rsidR="00000000" w:rsidRPr="00000000">
        <w:rPr>
          <w:rtl w:val="0"/>
        </w:rPr>
        <w:t xml:space="preserve">La técnica de recolección de datos será el uso de bases de datos secundarias públicas, extrayendo información financiera anual (balances, resultados, notas) desde la Comisión para el Mercado Financiero (CMF), precios de acciones y capitalización bursátil desde </w:t>
      </w:r>
      <w:r w:rsidDel="00000000" w:rsidR="00000000" w:rsidRPr="00000000">
        <w:rPr>
          <w:rtl w:val="0"/>
        </w:rPr>
        <w:t xml:space="preserve">SantiagoX</w:t>
      </w:r>
      <w:r w:rsidDel="00000000" w:rsidR="00000000" w:rsidRPr="00000000">
        <w:rPr>
          <w:rtl w:val="0"/>
        </w:rPr>
        <w:t xml:space="preserve"> (Bolsa de Santiago) y, complementariamente, desde plataformas como Yahoo Finance e Investing.com. Toda esta información será organizada en una hoja de cálculo (Excel) para su posterior depuración y análisis.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3.5 Técnica preliminar de análisis de datos</w:t>
      </w:r>
    </w:p>
    <w:p w:rsidR="00000000" w:rsidDel="00000000" w:rsidP="00000000" w:rsidRDefault="00000000" w:rsidRPr="00000000" w14:paraId="00000087">
      <w:pPr>
        <w:rPr/>
      </w:pPr>
      <w:r w:rsidDel="00000000" w:rsidR="00000000" w:rsidRPr="00000000">
        <w:rPr>
          <w:rtl w:val="0"/>
        </w:rPr>
        <w:t xml:space="preserve">La recolección y el procesamiento de los datos se realizan en dos etapas secuenciales, utilizando Excel para la organización y cálculo de las variables, y Gretl para el análisis econométrico.</w:t>
      </w:r>
    </w:p>
    <w:p w:rsidR="00000000" w:rsidDel="00000000" w:rsidP="00000000" w:rsidRDefault="00000000" w:rsidRPr="00000000" w14:paraId="00000088">
      <w:pPr>
        <w:rPr/>
      </w:pPr>
      <w:r w:rsidDel="00000000" w:rsidR="00000000" w:rsidRPr="00000000">
        <w:rPr>
          <w:rtl w:val="0"/>
        </w:rPr>
        <w:t xml:space="preserve">Primera etapa: recolección y preparación de datos en Excel.</w:t>
      </w:r>
    </w:p>
    <w:p w:rsidR="00000000" w:rsidDel="00000000" w:rsidP="00000000" w:rsidRDefault="00000000" w:rsidRPr="00000000" w14:paraId="00000089">
      <w:pPr>
        <w:rPr/>
      </w:pPr>
      <w:r w:rsidDel="00000000" w:rsidR="00000000" w:rsidRPr="00000000">
        <w:rPr>
          <w:rtl w:val="0"/>
        </w:rPr>
        <w:t xml:space="preserve">Se extraerán los estados financieros anuales (balances, resultados) desde la Comisión para el Mercado Financiero (CMF) y los precios de acciones desde </w:t>
      </w:r>
      <w:r w:rsidDel="00000000" w:rsidR="00000000" w:rsidRPr="00000000">
        <w:rPr>
          <w:rtl w:val="0"/>
        </w:rPr>
        <w:t xml:space="preserve">SantiagoX</w:t>
      </w:r>
      <w:r w:rsidDel="00000000" w:rsidR="00000000" w:rsidRPr="00000000">
        <w:rPr>
          <w:rtl w:val="0"/>
        </w:rPr>
        <w:t xml:space="preserve"> y Yahoo Finance. Toda la información se volcará en una hoja de cálculo de Excel. Para cada empresa y cada año del período 2020-2025, se calcularán las siguientes variables ya explicadas anteriormente: </w:t>
      </w:r>
      <w:r w:rsidDel="00000000" w:rsidR="00000000" w:rsidRPr="00000000">
        <w:rPr>
          <w:rtl w:val="0"/>
        </w:rPr>
        <w:t xml:space="preserve">Proxy</w:t>
      </w:r>
      <w:r w:rsidDel="00000000" w:rsidR="00000000" w:rsidRPr="00000000">
        <w:rPr>
          <w:rtl w:val="0"/>
        </w:rPr>
        <w:t xml:space="preserve"> de opciones reales (</w:t>
      </w:r>
      <w:r w:rsidDel="00000000" w:rsidR="00000000" w:rsidRPr="00000000">
        <w:rPr>
          <w:rtl w:val="0"/>
        </w:rPr>
        <w:t xml:space="preserve">ProxyOR</w:t>
      </w:r>
      <w:r w:rsidDel="00000000" w:rsidR="00000000" w:rsidRPr="00000000">
        <w:rPr>
          <w:rtl w:val="0"/>
        </w:rPr>
        <w:t xml:space="preserve">), </w:t>
      </w:r>
      <w:r w:rsidDel="00000000" w:rsidR="00000000" w:rsidRPr="00000000">
        <w:rPr>
          <w:i w:val="1"/>
          <w:iCs w:val="1"/>
          <w:rtl w:val="0"/>
        </w:rPr>
        <w:t xml:space="preserve">Book to Market Equity</w:t>
      </w:r>
      <w:r w:rsidDel="00000000" w:rsidR="00000000" w:rsidRPr="00000000">
        <w:rPr>
          <w:rtl w:val="0"/>
        </w:rPr>
        <w:t xml:space="preserve"> (BME), Tamaño (SIZE) y Endeudamiento (LEV)</w:t>
      </w:r>
    </w:p>
    <w:p w:rsidR="00000000" w:rsidDel="00000000" w:rsidP="00000000" w:rsidRDefault="00000000" w:rsidRPr="00000000" w14:paraId="0000008A">
      <w:pPr>
        <w:rPr/>
      </w:pPr>
      <w:r w:rsidDel="00000000" w:rsidR="00000000" w:rsidRPr="00000000">
        <w:rPr>
          <w:rtl w:val="0"/>
        </w:rPr>
        <w:t xml:space="preserve">Se generará una base de datos estructurada en formato panel de series temporales (empresas por los años), que se exportará posteriormente a Gretl.</w:t>
      </w:r>
    </w:p>
    <w:p w:rsidR="00000000" w:rsidDel="00000000" w:rsidP="00000000" w:rsidRDefault="00000000" w:rsidRPr="00000000" w14:paraId="0000008B">
      <w:pPr>
        <w:rPr/>
      </w:pPr>
      <w:r w:rsidDel="00000000" w:rsidR="00000000" w:rsidRPr="00000000">
        <w:rPr>
          <w:rtl w:val="0"/>
        </w:rPr>
        <w:t xml:space="preserve">Segunda etapa: análisis econométrico en Gretl.</w:t>
      </w:r>
    </w:p>
    <w:p w:rsidR="00000000" w:rsidDel="00000000" w:rsidP="00000000" w:rsidRDefault="00000000" w:rsidRPr="00000000" w14:paraId="0000008C">
      <w:pPr>
        <w:rPr/>
      </w:pPr>
      <w:r w:rsidDel="00000000" w:rsidR="00000000" w:rsidRPr="00000000">
        <w:rPr>
          <w:rtl w:val="0"/>
        </w:rPr>
        <w:t xml:space="preserve">Se estimará un modelo de regresión lineal múltiple por mínimos cuadrados ordinarios (MCO) con la siguiente especificación:</w:t>
      </w:r>
    </w:p>
    <w:p w:rsidR="00000000" w:rsidDel="00000000" w:rsidP="00000000" w:rsidRDefault="00000000" w:rsidRPr="00000000" w14:paraId="0000008D">
      <w:pPr>
        <w:rPr/>
      </w:pPr>
      <m:oMath>
        <m:r>
          <w:rPr/>
          <m:t xml:space="preserve">ProxyOR =</m:t>
        </m:r>
        <m:sSub>
          <m:sSubPr>
            <m:ctrlPr>
              <w:rPr/>
            </m:ctrlPr>
          </m:sSubPr>
          <m:e>
            <m:r>
              <w:rPr/>
              <m:t>β</m:t>
            </m:r>
          </m:e>
          <m:sub>
            <m:r>
              <w:rPr/>
              <m:t xml:space="preserve">0</m:t>
            </m:r>
          </m:sub>
        </m:sSub>
        <m:r>
          <w:rPr/>
          <m:t xml:space="preserve"> + </m:t>
        </m:r>
        <m:sSub>
          <m:sSubPr>
            <m:ctrlPr>
              <w:rPr/>
            </m:ctrlPr>
          </m:sSubPr>
          <m:e>
            <m:r>
              <w:rPr/>
              <m:t>β</m:t>
            </m:r>
          </m:e>
          <m:sub>
            <m:r>
              <w:rPr/>
              <m:t xml:space="preserve">1</m:t>
            </m:r>
          </m:sub>
        </m:sSub>
        <m:r>
          <w:rPr/>
          <m:t xml:space="preserve">BME + </m:t>
        </m:r>
        <m:sSub>
          <m:sSubPr>
            <m:ctrlPr>
              <w:rPr/>
            </m:ctrlPr>
          </m:sSubPr>
          <m:e>
            <m:r>
              <w:rPr/>
              <m:t>β</m:t>
            </m:r>
          </m:e>
          <m:sub>
            <m:r>
              <w:rPr/>
              <m:t xml:space="preserve">2</m:t>
            </m:r>
          </m:sub>
        </m:sSub>
        <m:r>
          <w:rPr/>
          <m:t xml:space="preserve">LnTamaño</m:t>
        </m:r>
        <m:r>
          <w:rPr/>
          <m:t xml:space="preserve"> + </m:t>
        </m:r>
        <m:sSub>
          <m:sSubPr>
            <m:ctrlPr>
              <w:rPr/>
            </m:ctrlPr>
          </m:sSubPr>
          <m:e>
            <m:r>
              <w:rPr/>
              <m:t>β</m:t>
            </m:r>
          </m:e>
          <m:sub>
            <m:r>
              <w:rPr/>
              <m:t xml:space="preserve">3</m:t>
            </m:r>
          </m:sub>
        </m:sSub>
        <m:r>
          <w:rPr/>
          <m:t xml:space="preserve">Endeudamiento + </m:t>
        </m:r>
      </m:oMath>
      <m:oMath>
        <m:r>
          <m:t>ε</m:t>
        </m:r>
      </m:oMath>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Se analizarán en detalle los resultados arrojados por el software econométrico (Gretl) una vez estimado el modelo de regresión lineal múltiple. Dicho análisis permitirá evaluar las propiedades estadísticas del modelo e interpretar cómo se ajusta a la teoría.</w:t>
      </w:r>
    </w:p>
    <w:p w:rsidR="00000000" w:rsidDel="00000000" w:rsidP="00000000" w:rsidRDefault="00000000" w:rsidRPr="00000000" w14:paraId="0000008F">
      <w:pPr>
        <w:rPr>
          <w:b w:val="1"/>
          <w:bCs w:val="1"/>
        </w:rPr>
      </w:pPr>
      <w:r w:rsidDel="00000000" w:rsidR="00000000" w:rsidRPr="00000000">
        <w:rPr>
          <w:b w:val="1"/>
          <w:bCs w:val="1"/>
          <w:rtl w:val="0"/>
        </w:rPr>
        <w:t xml:space="preserve">3.6 Viabilidad de la investigación</w:t>
      </w:r>
    </w:p>
    <w:p w:rsidR="00000000" w:rsidDel="00000000" w:rsidP="00000000" w:rsidRDefault="00000000" w:rsidRPr="00000000" w14:paraId="00000090">
      <w:pPr>
        <w:rPr/>
      </w:pPr>
      <w:r w:rsidDel="00000000" w:rsidR="00000000" w:rsidRPr="00000000">
        <w:rPr>
          <w:rtl w:val="0"/>
        </w:rPr>
        <w:t xml:space="preserve">El estudio presenta un alto grado de viabilidad, considerando los plazos establecidos, la disponibilidad de fuentes de información y los recursos requeridos para su ejecución.</w:t>
      </w:r>
    </w:p>
    <w:p w:rsidR="00000000" w:rsidDel="00000000" w:rsidP="00000000" w:rsidRDefault="00000000" w:rsidRPr="00000000" w14:paraId="00000091">
      <w:pPr>
        <w:rPr/>
      </w:pPr>
      <w:r w:rsidDel="00000000" w:rsidR="00000000" w:rsidRPr="00000000">
        <w:rPr>
          <w:rtl w:val="0"/>
        </w:rPr>
        <w:t xml:space="preserve">En primer lugar, el tiempo disponible es suficiente para completar las actividades planificadas. El cronograma contempla un período de seis meses (julio a diciembre de 2026) para el desarrollo completo de la investigación, lo que permite una distribución adecuada de las etapas: revisión bibliográfica complementaria, ajuste de objetivos, recolección y depuración de datos, análisis econométrico, redacción de resultados y conclusiones, y revisión final. Cada una de estas fases cuenta con márgenes temporales que absorben posibles retrasos menores.</w:t>
      </w:r>
    </w:p>
    <w:p w:rsidR="00000000" w:rsidDel="00000000" w:rsidP="00000000" w:rsidRDefault="00000000" w:rsidRPr="00000000" w14:paraId="00000092">
      <w:pPr>
        <w:rPr/>
      </w:pPr>
      <w:r w:rsidDel="00000000" w:rsidR="00000000" w:rsidRPr="00000000">
        <w:rPr>
          <w:rtl w:val="0"/>
        </w:rPr>
        <w:t xml:space="preserve">En segundo lugar, el acceso a los datos es directo y sin restricciones. Toda la información financiera y bursátil requerida proviene de fuentes públicas y de libre acceso: los estados financieros anuales de las empresas seleccionadas están disponibles en la Comisión para el Mercado Financiero (CMF); los precios de acciones y la capitalización bursátil se obtienen desde </w:t>
      </w:r>
      <w:r w:rsidDel="00000000" w:rsidR="00000000" w:rsidRPr="00000000">
        <w:rPr>
          <w:rtl w:val="0"/>
        </w:rPr>
        <w:t xml:space="preserve">SantiagoX</w:t>
      </w:r>
      <w:r w:rsidDel="00000000" w:rsidR="00000000" w:rsidRPr="00000000">
        <w:rPr>
          <w:rtl w:val="0"/>
        </w:rPr>
        <w:t xml:space="preserve"> (Bolsa de Santiago) y plataformas complementarias como Yahoo Finance e Investing.com. No se requiere la aplicación de encuestas, entrevistas ni ningún otro instrumento que demande autorización especial o que implique costos significativos.</w:t>
      </w:r>
    </w:p>
    <w:p w:rsidR="00000000" w:rsidDel="00000000" w:rsidP="00000000" w:rsidRDefault="00000000" w:rsidRPr="00000000" w14:paraId="00000093">
      <w:pPr>
        <w:rPr/>
      </w:pPr>
      <w:r w:rsidDel="00000000" w:rsidR="00000000" w:rsidRPr="00000000">
        <w:rPr>
          <w:rtl w:val="0"/>
        </w:rPr>
        <w:t xml:space="preserve">En tercer lugar, los recursos necesarios son básicos y están al alcance de los investigadores. Se cuenta con computadores personales, acceso a Internet, software Excel para la organización de datos y Gretl (gratuito y de código abierto) para el análisis econométrico. El profesor patrocinante posee experiencia en la temática de opciones reales y puede orientar en la aplicación metodológica, lo que constituye un respaldo adicional.</w:t>
      </w:r>
    </w:p>
    <w:p w:rsidR="00000000" w:rsidDel="00000000" w:rsidP="00000000" w:rsidRDefault="00000000" w:rsidRPr="00000000" w14:paraId="00000094">
      <w:pPr>
        <w:rPr/>
      </w:pPr>
      <w:r w:rsidDel="00000000" w:rsidR="00000000" w:rsidRPr="00000000">
        <w:rPr>
          <w:rtl w:val="0"/>
        </w:rPr>
        <w:t xml:space="preserve">No obstante lo anterior, se reconocen ciertas limitaciones que podrían afectar el desarrollo del estudio. Primero, la muestra podría reducirse si alguna de las empresas seleccionadas no presenta información completa para todos los años del período 2020-2025, lo que disminuiría el número de observaciones y, potencialmente, la potencia estadística de las regresiones. Segundo, al tratarse de un estudio correlacional con datos observacionales, no es posible establecer relaciones causales de manera profunda entre las variables, sino únicamente asociaciones estadísticas. Finalmente, el análisis se limita a los sectores minero y energético chileno, por lo que los resultados no son directamente generalizables a otros sectores o países.</w:t>
      </w:r>
    </w:p>
    <w:p w:rsidR="00000000" w:rsidDel="00000000" w:rsidP="00000000" w:rsidRDefault="00000000" w:rsidRPr="00000000" w14:paraId="00000095">
      <w:pPr>
        <w:rPr/>
      </w:pPr>
      <w:r w:rsidDel="00000000" w:rsidR="00000000" w:rsidRPr="00000000">
        <w:rPr>
          <w:rtl w:val="0"/>
        </w:rPr>
        <w:t xml:space="preserve">A pesar de estas limitaciones, el estudio es viable y permite cumplir con los objetivos planteados, contribuyendo a llenar el vacío empírico identificado en la literatura chilena sobre opciones reales en el mercado bursátil en los sectores vitales de la economía chilena  (minería y energía).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sz w:val="26"/>
          <w:szCs w:val="26"/>
        </w:rPr>
      </w:pPr>
      <w:r w:rsidDel="00000000" w:rsidR="00000000" w:rsidRPr="00000000">
        <w:rPr>
          <w:b w:val="1"/>
          <w:bCs w:val="1"/>
          <w:rtl w:val="0"/>
        </w:rPr>
        <w:t xml:space="preserve">3.7 Plan de trabajo y cronograma </w:t>
      </w:r>
      <w:r w:rsidDel="00000000" w:rsidR="00000000" w:rsidRPr="00000000">
        <w:rPr>
          <w:rtl w:val="0"/>
        </w:rPr>
      </w:r>
    </w:p>
    <w:tbl>
      <w:tblPr>
        <w:tblStyle w:val="Table2"/>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1020"/>
        <w:gridCol w:w="1125"/>
        <w:gridCol w:w="1020"/>
        <w:gridCol w:w="1065"/>
        <w:gridCol w:w="960"/>
        <w:gridCol w:w="1065"/>
        <w:tblGridChange w:id="0">
          <w:tblGrid>
            <w:gridCol w:w="4020"/>
            <w:gridCol w:w="1020"/>
            <w:gridCol w:w="1125"/>
            <w:gridCol w:w="1020"/>
            <w:gridCol w:w="1065"/>
            <w:gridCol w:w="960"/>
            <w:gridCol w:w="106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Actividad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Jul</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Ago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Sep</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Oct</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Nov</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Dic</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Revisión bibliográfica complementaria Ampliar la búsqueda de fuentes para reforzar el marco teórico.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 Ajuste final de pregunta y objetivos de la tesina en función de la literatura revisada y la disponibilidad de datos.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Diseño de estrategia de recolección de datos Definir con precisión las fuentes, las variables a extraer, el período y el formato de la base de datos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4. Recolección de datos Descargar y organizar en Excel los estados financieros anuales y los precios de acciones de las empresas seleccionadas Calcular las variables: </w:t>
            </w:r>
            <w:r w:rsidDel="00000000" w:rsidR="00000000" w:rsidRPr="00000000">
              <w:rPr>
                <w:rFonts w:ascii="Arial" w:cs="Arial" w:eastAsia="Arial" w:hAnsi="Arial"/>
                <w:sz w:val="20"/>
                <w:szCs w:val="20"/>
                <w:rtl w:val="0"/>
              </w:rPr>
              <w:t xml:space="preserve">ProxyOR</w:t>
            </w:r>
            <w:r w:rsidDel="00000000" w:rsidR="00000000" w:rsidRPr="00000000">
              <w:rPr>
                <w:rFonts w:ascii="Arial" w:cs="Arial" w:eastAsia="Arial" w:hAnsi="Arial"/>
                <w:sz w:val="20"/>
                <w:szCs w:val="20"/>
                <w:rtl w:val="0"/>
              </w:rPr>
              <w:t xml:space="preserve">, AiP, BME, Tamaño (logaritmo) y Endeudamiento.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Análisis de datos (Gretl) Estimar el modelo de regresión lineal múltiple en Gretl. Realizar pruebas de diagnóstico.Interpretar coeficientes y significación estadística.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 Redacción de resultados Elaborar el capítulo de resultados: presentar estadísticas descriptivas, tabla de regresión, análisis de los coeficientes, pruebas de diagnóstico y discusión de hallazgos.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7. Elaboración de conclusiones finales Redactar las conclusiones respondiendo la pregunta de investigación, contrastando las hipótesis, destacando el aporte del estudio y señalando limitaciones y futuras líneas de investigación.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8. Revisión final de tesina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9. Entrega de tesina final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bl>
    <w:p w:rsidR="00000000" w:rsidDel="00000000" w:rsidP="00000000" w:rsidRDefault="00000000" w:rsidRPr="00000000" w14:paraId="000000DE">
      <w:pPr>
        <w:widowControl w:val="0"/>
        <w:spacing w:after="120" w:before="120" w:lineRule="auto"/>
        <w:rPr>
          <w:b w:val="1"/>
          <w:bCs w:val="1"/>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1"/>
        </w:numPr>
        <w:ind w:left="720" w:hanging="360"/>
        <w:rPr>
          <w:b w:val="1"/>
          <w:bCs w:val="1"/>
        </w:rPr>
      </w:pPr>
      <w:r w:rsidDel="00000000" w:rsidR="00000000" w:rsidRPr="00000000">
        <w:rPr>
          <w:b w:val="1"/>
          <w:bCs w:val="1"/>
          <w:rtl w:val="0"/>
        </w:rPr>
        <w:t xml:space="preserve">Referencias</w:t>
      </w:r>
    </w:p>
    <w:p w:rsidR="00000000" w:rsidDel="00000000" w:rsidP="00000000" w:rsidRDefault="00000000" w:rsidRPr="00000000" w14:paraId="000000E3">
      <w:pPr>
        <w:ind w:left="0" w:firstLine="0"/>
        <w:rPr/>
      </w:pPr>
      <w:r w:rsidDel="00000000" w:rsidR="00000000" w:rsidRPr="00000000">
        <w:rPr>
          <w:rtl w:val="0"/>
        </w:rPr>
        <w:t xml:space="preserve">-Ahumada V., R., &amp; Andalaft Ch., A. (2013). La metodología de opciones reales: una aplicación al caso de una empresa papelera de la región del Biobío, Chile. Ingeniare. Revista Chilena de Ingeniería, *21*(3), 337-346. </w:t>
      </w:r>
    </w:p>
    <w:p w:rsidR="00000000" w:rsidDel="00000000" w:rsidP="00000000" w:rsidRDefault="00000000" w:rsidRPr="00000000" w14:paraId="000000E4">
      <w:pPr>
        <w:ind w:left="0" w:firstLine="0"/>
        <w:rPr/>
      </w:pPr>
      <w:r w:rsidDel="00000000" w:rsidR="00000000" w:rsidRPr="00000000">
        <w:rPr>
          <w:rtl w:val="0"/>
        </w:rPr>
        <w:t xml:space="preserve">-Andrés, P., Azofra, V., &amp; de la Fuente, G. (2002). Opciones reales en el valor de mercado de la empresa: empresas tecnológicas. Estudios Financieros, (235), 167-197.</w:t>
      </w:r>
    </w:p>
    <w:p w:rsidR="00000000" w:rsidDel="00000000" w:rsidP="00000000" w:rsidRDefault="00000000" w:rsidRPr="00000000" w14:paraId="000000E5">
      <w:pPr>
        <w:ind w:left="0" w:firstLine="0"/>
        <w:rPr/>
      </w:pPr>
      <w:r w:rsidDel="00000000" w:rsidR="00000000" w:rsidRPr="00000000">
        <w:rPr>
          <w:rtl w:val="0"/>
        </w:rPr>
        <w:t xml:space="preserve">-Banco Central de Chile. (2024). Cuentas Nacionales de Chile 2018-2024 (p. 183). Banco Central de Chile.</w:t>
      </w:r>
    </w:p>
    <w:p w:rsidR="00000000" w:rsidDel="00000000" w:rsidP="00000000" w:rsidRDefault="00000000" w:rsidRPr="00000000" w14:paraId="000000E6">
      <w:pPr>
        <w:ind w:left="0" w:firstLine="0"/>
        <w:rPr/>
      </w:pPr>
      <w:r w:rsidDel="00000000" w:rsidR="00000000" w:rsidRPr="00000000">
        <w:rPr>
          <w:rtl w:val="0"/>
        </w:rPr>
        <w:t xml:space="preserve">-Calle Fernández, A. M., </w:t>
      </w:r>
      <w:r w:rsidDel="00000000" w:rsidR="00000000" w:rsidRPr="00000000">
        <w:rPr>
          <w:rtl w:val="0"/>
        </w:rPr>
        <w:t xml:space="preserve">&amp; Tamayo</w:t>
      </w:r>
      <w:r w:rsidDel="00000000" w:rsidR="00000000" w:rsidRPr="00000000">
        <w:rPr>
          <w:rtl w:val="0"/>
        </w:rPr>
        <w:t xml:space="preserve"> Bustamante, V. M. (2009). Decisiones de inversión a través de opciones reales. Estudios Gerenciales, *25*(111), 107-126.</w:t>
      </w:r>
    </w:p>
    <w:p w:rsidR="00000000" w:rsidDel="00000000" w:rsidP="00000000" w:rsidRDefault="00000000" w:rsidRPr="00000000" w14:paraId="000000E7">
      <w:pPr>
        <w:ind w:left="0" w:firstLine="0"/>
        <w:rPr/>
      </w:pPr>
      <w:r w:rsidDel="00000000" w:rsidR="00000000" w:rsidRPr="00000000">
        <w:rPr>
          <w:rtl w:val="0"/>
        </w:rPr>
        <w:t xml:space="preserve">-Carlson, M., Fisher, A., &amp; Giammarino, R. (2003). Corporate investment and asset price dynamics: Implications for the cross section of returns (Working Paper). University of British Columbia.</w:t>
      </w:r>
    </w:p>
    <w:p w:rsidR="00000000" w:rsidDel="00000000" w:rsidP="00000000" w:rsidRDefault="00000000" w:rsidRPr="00000000" w14:paraId="000000E8">
      <w:pPr>
        <w:ind w:left="0" w:firstLine="0"/>
        <w:rPr/>
      </w:pPr>
      <w:r w:rsidDel="00000000" w:rsidR="00000000" w:rsidRPr="00000000">
        <w:rPr>
          <w:rtl w:val="0"/>
        </w:rPr>
        <w:t xml:space="preserve">-Castro Brahm, J. L. (2019). Análisis y aplicación del método de evaluación económica de proyectos por opciones reales [Tesis de pregrado, Universidad de Chile]. Repositorio académico de la Universidad de Chile.</w:t>
      </w:r>
    </w:p>
    <w:p w:rsidR="00000000" w:rsidDel="00000000" w:rsidP="00000000" w:rsidRDefault="00000000" w:rsidRPr="00000000" w14:paraId="000000E9">
      <w:pPr>
        <w:ind w:left="0" w:firstLine="0"/>
        <w:rPr/>
      </w:pPr>
      <w:r w:rsidDel="00000000" w:rsidR="00000000" w:rsidRPr="00000000">
        <w:rPr>
          <w:rtl w:val="0"/>
        </w:rPr>
        <w:t xml:space="preserve">-Dixit, A. K., &amp; Pindyck, R. S. (1994). A new view of investment. En Investment under uncertainty (pp. 3-25). Princeton University Press.</w:t>
      </w:r>
    </w:p>
    <w:p w:rsidR="00000000" w:rsidDel="00000000" w:rsidP="00000000" w:rsidRDefault="00000000" w:rsidRPr="00000000" w14:paraId="000000EA">
      <w:pPr>
        <w:ind w:left="0" w:firstLine="0"/>
        <w:rPr/>
      </w:pPr>
      <w:r w:rsidDel="00000000" w:rsidR="00000000" w:rsidRPr="00000000">
        <w:rPr>
          <w:rtl w:val="0"/>
        </w:rPr>
        <w:t xml:space="preserve">-Espitia Escuer, M., </w:t>
      </w:r>
      <w:r w:rsidDel="00000000" w:rsidR="00000000" w:rsidRPr="00000000">
        <w:rPr>
          <w:rtl w:val="0"/>
        </w:rPr>
        <w:t xml:space="preserve">&amp; Pastor</w:t>
      </w:r>
      <w:r w:rsidDel="00000000" w:rsidR="00000000" w:rsidRPr="00000000">
        <w:rPr>
          <w:rtl w:val="0"/>
        </w:rPr>
        <w:t xml:space="preserve"> Agustín, G. (2003). Las opciones reales y su influencia en la valoración de empresas (Documento de Trabajo </w:t>
      </w:r>
      <w:r w:rsidDel="00000000" w:rsidR="00000000" w:rsidRPr="00000000">
        <w:rPr>
          <w:rtl w:val="0"/>
        </w:rPr>
        <w:t xml:space="preserve">DTECONZ</w:t>
      </w:r>
      <w:r w:rsidDel="00000000" w:rsidR="00000000" w:rsidRPr="00000000">
        <w:rPr>
          <w:rtl w:val="0"/>
        </w:rPr>
        <w:t xml:space="preserve"> 2003-01). Universidad de Zaragoza, Facultad de Ciencias Económicas y Empresariales.</w:t>
      </w:r>
    </w:p>
    <w:p w:rsidR="00000000" w:rsidDel="00000000" w:rsidP="00000000" w:rsidRDefault="00000000" w:rsidRPr="00000000" w14:paraId="000000EB">
      <w:pPr>
        <w:ind w:left="0" w:firstLine="0"/>
        <w:rPr/>
      </w:pPr>
      <w:r w:rsidDel="00000000" w:rsidR="00000000" w:rsidRPr="00000000">
        <w:rPr>
          <w:rtl w:val="0"/>
        </w:rPr>
        <w:t xml:space="preserve">-Fama, E. F., &amp; French, K. R. (1992). The cross-section of expected stock returns. Journal of Finance, *47*(2), 427-465.</w:t>
      </w:r>
    </w:p>
    <w:p w:rsidR="00000000" w:rsidDel="00000000" w:rsidP="00000000" w:rsidRDefault="00000000" w:rsidRPr="00000000" w14:paraId="000000EC">
      <w:pPr>
        <w:ind w:left="0" w:firstLine="0"/>
        <w:rPr/>
      </w:pPr>
      <w:r w:rsidDel="00000000" w:rsidR="00000000" w:rsidRPr="00000000">
        <w:rPr>
          <w:rtl w:val="0"/>
        </w:rPr>
        <w:t xml:space="preserve">-Fama, E. F., &amp; French, K. R. (1993). Common risk factors in the returns on stocks and bonds. Journal of Financial Economics, *33*, 3-56.</w:t>
      </w:r>
    </w:p>
    <w:p w:rsidR="00000000" w:rsidDel="00000000" w:rsidP="00000000" w:rsidRDefault="00000000" w:rsidRPr="00000000" w14:paraId="000000ED">
      <w:pPr>
        <w:ind w:left="0" w:firstLine="0"/>
        <w:rPr/>
      </w:pPr>
      <w:r w:rsidDel="00000000" w:rsidR="00000000" w:rsidRPr="00000000">
        <w:rPr>
          <w:rtl w:val="0"/>
        </w:rPr>
        <w:t xml:space="preserve">-Gutiérrez Urzúa, M., &amp; Sáez Venegas, N. (2019). Valoración de empresa mediante opciones reales: el caso de una empresa retail </w:t>
      </w:r>
      <w:r w:rsidDel="00000000" w:rsidR="00000000" w:rsidRPr="00000000">
        <w:rPr>
          <w:rtl w:val="0"/>
        </w:rPr>
        <w:t xml:space="preserve">chileno</w:t>
      </w:r>
      <w:r w:rsidDel="00000000" w:rsidR="00000000" w:rsidRPr="00000000">
        <w:rPr>
          <w:rtl w:val="0"/>
        </w:rPr>
        <w:t xml:space="preserve">. Horizontes Empresariales, *18*(2), 55-79.</w:t>
      </w:r>
    </w:p>
    <w:p w:rsidR="00000000" w:rsidDel="00000000" w:rsidP="00000000" w:rsidRDefault="00000000" w:rsidRPr="00000000" w14:paraId="000000EE">
      <w:pPr>
        <w:ind w:left="0" w:firstLine="0"/>
        <w:rPr/>
      </w:pPr>
      <w:r w:rsidDel="00000000" w:rsidR="00000000" w:rsidRPr="00000000">
        <w:rPr>
          <w:rtl w:val="0"/>
        </w:rPr>
        <w:t xml:space="preserve">-Kester, W. C. (1984). Today's options for tomorrow's growth. Harvard Business Review, *62*(2), 153-160.</w:t>
      </w:r>
    </w:p>
    <w:p w:rsidR="00000000" w:rsidDel="00000000" w:rsidP="00000000" w:rsidRDefault="00000000" w:rsidRPr="00000000" w14:paraId="000000EF">
      <w:pPr>
        <w:ind w:left="0" w:firstLine="0"/>
        <w:rPr/>
      </w:pPr>
      <w:r w:rsidDel="00000000" w:rsidR="00000000" w:rsidRPr="00000000">
        <w:rPr>
          <w:rtl w:val="0"/>
        </w:rPr>
        <w:t xml:space="preserve">-Lamothe Fernández, P., &amp; Méndez Suárez, M. (2013). Opciones reales: métodos de simulación y valoración. Ecobook - Editorial del Economista.</w:t>
      </w:r>
    </w:p>
    <w:p w:rsidR="00000000" w:rsidDel="00000000" w:rsidP="00000000" w:rsidRDefault="00000000" w:rsidRPr="00000000" w14:paraId="000000F0">
      <w:pPr>
        <w:ind w:left="0" w:firstLine="0"/>
        <w:rPr/>
      </w:pPr>
      <w:r w:rsidDel="00000000" w:rsidR="00000000" w:rsidRPr="00000000">
        <w:rPr>
          <w:rtl w:val="0"/>
        </w:rPr>
        <w:t xml:space="preserve">-Mauer, D. C., &amp; Ott, S. H. (2000). Agency costs, underinvestment, and optimal capital structure: The effect of growth options to expand. En Advances in Futures and Options Research (Vol. 11, pp. 151-180). Elsevier.</w:t>
      </w:r>
    </w:p>
    <w:p w:rsidR="00000000" w:rsidDel="00000000" w:rsidP="00000000" w:rsidRDefault="00000000" w:rsidRPr="00000000" w14:paraId="000000F1">
      <w:pPr>
        <w:ind w:left="0" w:firstLine="0"/>
        <w:rPr/>
      </w:pPr>
      <w:r w:rsidDel="00000000" w:rsidR="00000000" w:rsidRPr="00000000">
        <w:rPr>
          <w:rtl w:val="0"/>
        </w:rPr>
        <w:t xml:space="preserve">-Myers, S. C. (1977). Determinants of corporate borrowing. Journal of Financial Economics, *5*(2), 147-175.</w:t>
      </w:r>
    </w:p>
    <w:p w:rsidR="00000000" w:rsidDel="00000000" w:rsidP="00000000" w:rsidRDefault="00000000" w:rsidRPr="00000000" w14:paraId="000000F2">
      <w:pPr>
        <w:ind w:left="0" w:firstLine="0"/>
        <w:rPr/>
      </w:pPr>
      <w:r w:rsidDel="00000000" w:rsidR="00000000" w:rsidRPr="00000000">
        <w:rPr>
          <w:rtl w:val="0"/>
        </w:rPr>
        <w:t xml:space="preserve">-Pacheco Caro, L. (2015). La influencia de las opciones reales en la rentabilidad y el riesgo de la empresa [Tesis doctoral, Universidad de Valladolid]. </w:t>
      </w:r>
    </w:p>
    <w:p w:rsidR="00000000" w:rsidDel="00000000" w:rsidP="00000000" w:rsidRDefault="00000000" w:rsidRPr="00000000" w14:paraId="000000F3">
      <w:pPr>
        <w:ind w:left="0" w:firstLine="0"/>
        <w:rPr/>
      </w:pPr>
      <w:r w:rsidDel="00000000" w:rsidR="00000000" w:rsidRPr="00000000">
        <w:rPr>
          <w:rtl w:val="0"/>
        </w:rPr>
        <w:t xml:space="preserve">-Ramírez, O. (2022). Barreras para la adopción de la Economía Circular en la Industria Minera de Chile.</w:t>
      </w:r>
    </w:p>
    <w:p w:rsidR="00000000" w:rsidDel="00000000" w:rsidP="00000000" w:rsidRDefault="00000000" w:rsidRPr="00000000" w14:paraId="000000F4">
      <w:pPr>
        <w:ind w:left="0" w:firstLine="0"/>
        <w:rPr/>
      </w:pPr>
      <w:r w:rsidDel="00000000" w:rsidR="00000000" w:rsidRPr="00000000">
        <w:rPr>
          <w:rtl w:val="0"/>
        </w:rPr>
        <w:t xml:space="preserve">-Ruiz-Tagle, S. (2020). Otra forma de valorar las centrales termoeléctricas. Análisis de Opciones Reales, *13*(3), 23-35.</w:t>
      </w:r>
    </w:p>
    <w:p w:rsidR="00000000" w:rsidDel="00000000" w:rsidP="00000000" w:rsidRDefault="00000000" w:rsidRPr="00000000" w14:paraId="000000F5">
      <w:pPr>
        <w:ind w:left="0" w:firstLine="0"/>
        <w:rPr/>
      </w:pPr>
      <w:r w:rsidDel="00000000" w:rsidR="00000000" w:rsidRPr="00000000">
        <w:rPr>
          <w:rtl w:val="0"/>
        </w:rPr>
        <w:t xml:space="preserve">-SQM S.A. (2025). Memoria Anual 2025. Sociedad Química y Minera de Chile.</w:t>
      </w:r>
    </w:p>
    <w:p w:rsidR="00000000" w:rsidDel="00000000" w:rsidP="00000000" w:rsidRDefault="00000000" w:rsidRPr="00000000" w14:paraId="000000F6">
      <w:pPr>
        <w:ind w:left="0" w:firstLine="0"/>
        <w:rPr/>
      </w:pPr>
      <w:r w:rsidDel="00000000" w:rsidR="00000000" w:rsidRPr="00000000">
        <w:rPr>
          <w:rtl w:val="0"/>
        </w:rPr>
        <w:t xml:space="preserve">-Támara Ayús, A. L., Forero Corrales, J., Gil Osorio, I., </w:t>
      </w:r>
      <w:r w:rsidDel="00000000" w:rsidR="00000000" w:rsidRPr="00000000">
        <w:rPr>
          <w:rtl w:val="0"/>
        </w:rPr>
        <w:t xml:space="preserve">&amp; Almonacid</w:t>
      </w:r>
      <w:r w:rsidDel="00000000" w:rsidR="00000000" w:rsidRPr="00000000">
        <w:rPr>
          <w:rtl w:val="0"/>
        </w:rPr>
        <w:t xml:space="preserve"> Hurtado, P. M. (2019). Las opciones reales como metodología de valoración de un proyecto en el sector de energía. Ecos de Economía, *23*(48), 64-83.</w:t>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sectPr>
      <w:headerReference r:id="rId8" w:type="default"/>
      <w:type w:val="nextPage"/>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hanging="360"/>
    </w:pPr>
    <w:rPr>
      <w:b w:val="1"/>
      <w:bCs w:val="1"/>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