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spacing w:before="0" w:after="1400" w:line="276" w:lineRule="auto"/>
      </w:pPr>
      <w:r>
        <w:t xml:space="preserve"/>
      </w:r>
    </w:p>
    <w:p>
      <w:pPr>
        <w:pStyle w:val="Subtitle"/>
        <w:spacing w:before="0" w:after="60" w:line="276" w:lineRule="auto"/>
      </w:pPr>
      <w:r>
        <w:t xml:space="preserve">UNIVERSIDAD AUSTRAL DE CHILE</w:t>
      </w:r>
    </w:p>
    <w:p>
      <w:pPr>
        <w:pStyle w:val="Subtitle"/>
        <w:spacing w:before="0" w:after="40" w:line="276" w:lineRule="auto"/>
      </w:pPr>
      <w:r>
        <w:t xml:space="preserve">Facultad de Ciencias Económicas y Administrativas</w:t>
      </w:r>
    </w:p>
    <w:p>
      <w:pPr>
        <w:pStyle w:val="Subtitle"/>
        <w:spacing w:before="0" w:after="700" w:line="276" w:lineRule="auto"/>
      </w:pPr>
      <w:r>
        <w:t xml:space="preserve">Marketing Internacional — ADMI203-14 / INGI223-20</w:t>
      </w:r>
    </w:p>
    <w:p>
      <w:pPr>
        <w:pStyle w:val="Title"/>
        <w:spacing w:before="0" w:after="100" w:line="276" w:lineRule="auto"/>
      </w:pPr>
      <w:r>
        <w:t xml:space="preserve">Selección y evaluación de mercado</w:t>
      </w:r>
    </w:p>
    <w:p>
      <w:pPr>
        <w:pStyle w:val="Subtitle"/>
        <w:spacing w:before="0" w:after="900" w:line="276" w:lineRule="auto"/>
      </w:pPr>
      <w:r>
        <w:t xml:space="preserve">Plan de internacionalización de Pinda Kombucha</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2500"/>
        <w:gridCol w:w="6570"/>
      </w:tblGrid>
      <w:tr>
        <w:trPr>
          <w:tblHeader/>
          <w:cantSplit/>
        </w:trPr>
        <w:tc>
          <w:tcPr>
            <w:tcW w:w="25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Campo</w:t>
            </w:r>
          </w:p>
        </w:tc>
        <w:tc>
          <w:tcPr>
            <w:tcW w:w="65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Detalle</w:t>
            </w:r>
          </w:p>
        </w:tc>
      </w:tr>
      <w:tr>
        <w:trPr>
          <w:cantSplit/>
        </w:trPr>
        <w:tc>
          <w:tcPr>
            <w:tcW w:w="2500" w:type="dxa"/>
            <w:vAlign w:val="center"/>
            <w:tcMar>
              <w:top w:w="80" w:type="dxa"/>
              <w:bottom w:w="80" w:type="dxa"/>
              <w:left w:w="110" w:type="dxa"/>
              <w:right w:w="110" w:type="dxa"/>
            </w:tcMar>
          </w:tcPr>
          <w:p>
            <w:pPr>
              <w:spacing w:before="0" w:after="0" w:line="276" w:lineRule="auto"/>
            </w:pPr>
            <w:r>
              <w:t xml:space="preserve">Producto</w:t>
            </w:r>
          </w:p>
        </w:tc>
        <w:tc>
          <w:tcPr>
            <w:tcW w:w="6570" w:type="dxa"/>
            <w:vAlign w:val="center"/>
            <w:tcMar>
              <w:top w:w="80" w:type="dxa"/>
              <w:bottom w:w="80" w:type="dxa"/>
              <w:left w:w="110" w:type="dxa"/>
              <w:right w:w="110" w:type="dxa"/>
            </w:tcMar>
          </w:tcPr>
          <w:p>
            <w:pPr>
              <w:spacing w:before="0" w:after="0" w:line="276" w:lineRule="auto"/>
            </w:pPr>
            <w:r>
              <w:rPr>
                <w:b/>
              </w:rPr>
              <w:t xml:space="preserve">Kombucha artesanal — línea frutal y línea funcional</w:t>
            </w:r>
          </w:p>
        </w:tc>
      </w:tr>
      <w:tr>
        <w:trPr>
          <w:cantSplit/>
        </w:trPr>
        <w:tc>
          <w:tcPr>
            <w:tcW w:w="2500" w:type="dxa"/>
            <w:shd w:val="clear" w:color="auto" w:fill="F3F6F3"/>
            <w:vAlign w:val="center"/>
            <w:tcMar>
              <w:top w:w="80" w:type="dxa"/>
              <w:bottom w:w="80" w:type="dxa"/>
              <w:left w:w="110" w:type="dxa"/>
              <w:right w:w="110" w:type="dxa"/>
            </w:tcMar>
          </w:tcPr>
          <w:p>
            <w:pPr>
              <w:spacing w:before="0" w:after="0" w:line="276" w:lineRule="auto"/>
            </w:pPr>
            <w:r>
              <w:t xml:space="preserve">Empresa</w:t>
            </w:r>
          </w:p>
        </w:tc>
        <w:tc>
          <w:tcPr>
            <w:tcW w:w="6570" w:type="dxa"/>
            <w:shd w:val="clear" w:color="auto" w:fill="F3F6F3"/>
            <w:vAlign w:val="center"/>
            <w:tcMar>
              <w:top w:w="80" w:type="dxa"/>
              <w:bottom w:w="80" w:type="dxa"/>
              <w:left w:w="110" w:type="dxa"/>
              <w:right w:w="110" w:type="dxa"/>
            </w:tcMar>
          </w:tcPr>
          <w:p>
            <w:pPr>
              <w:spacing w:before="0" w:after="0" w:line="276" w:lineRule="auto"/>
            </w:pPr>
            <w:r>
              <w:t xml:space="preserve">Pinda Kombucha</w:t>
            </w:r>
          </w:p>
        </w:tc>
      </w:tr>
      <w:tr>
        <w:trPr>
          <w:cantSplit/>
        </w:trPr>
        <w:tc>
          <w:tcPr>
            <w:tcW w:w="2500" w:type="dxa"/>
            <w:vAlign w:val="center"/>
            <w:tcMar>
              <w:top w:w="80" w:type="dxa"/>
              <w:bottom w:w="80" w:type="dxa"/>
              <w:left w:w="110" w:type="dxa"/>
              <w:right w:w="110" w:type="dxa"/>
            </w:tcMar>
          </w:tcPr>
          <w:p>
            <w:pPr>
              <w:spacing w:before="0" w:after="0" w:line="276" w:lineRule="auto"/>
            </w:pPr>
            <w:r>
              <w:t xml:space="preserve">Origen</w:t>
            </w:r>
          </w:p>
        </w:tc>
        <w:tc>
          <w:tcPr>
            <w:tcW w:w="6570" w:type="dxa"/>
            <w:vAlign w:val="center"/>
            <w:tcMar>
              <w:top w:w="80" w:type="dxa"/>
              <w:bottom w:w="80" w:type="dxa"/>
              <w:left w:w="110" w:type="dxa"/>
              <w:right w:w="110" w:type="dxa"/>
            </w:tcMar>
          </w:tcPr>
          <w:p>
            <w:pPr>
              <w:spacing w:before="0" w:after="0" w:line="276" w:lineRule="auto"/>
            </w:pPr>
            <w:r>
              <w:t xml:space="preserve">Valdivia, Región de Los Ríos, Chile</w:t>
            </w:r>
          </w:p>
        </w:tc>
      </w:tr>
      <w:tr>
        <w:trPr>
          <w:cantSplit/>
        </w:trPr>
        <w:tc>
          <w:tcPr>
            <w:tcW w:w="2500" w:type="dxa"/>
            <w:shd w:val="clear" w:color="auto" w:fill="F3F6F3"/>
            <w:vAlign w:val="center"/>
            <w:tcMar>
              <w:top w:w="80" w:type="dxa"/>
              <w:bottom w:w="80" w:type="dxa"/>
              <w:left w:w="110" w:type="dxa"/>
              <w:right w:w="110" w:type="dxa"/>
            </w:tcMar>
          </w:tcPr>
          <w:p>
            <w:pPr>
              <w:spacing w:before="0" w:after="0" w:line="276" w:lineRule="auto"/>
            </w:pPr>
            <w:r>
              <w:t xml:space="preserve">Partida arancelaria</w:t>
            </w:r>
          </w:p>
        </w:tc>
        <w:tc>
          <w:tcPr>
            <w:tcW w:w="6570" w:type="dxa"/>
            <w:shd w:val="clear" w:color="auto" w:fill="F3F6F3"/>
            <w:vAlign w:val="center"/>
            <w:tcMar>
              <w:top w:w="80" w:type="dxa"/>
              <w:bottom w:w="80" w:type="dxa"/>
              <w:left w:w="110" w:type="dxa"/>
              <w:right w:w="110" w:type="dxa"/>
            </w:tcMar>
          </w:tcPr>
          <w:p>
            <w:pPr>
              <w:spacing w:before="0" w:after="0" w:line="276" w:lineRule="auto"/>
            </w:pPr>
            <w:r>
              <w:rPr>
                <w:b/>
                <w:rFonts w:ascii="Consolas" w:hAnsi="Consolas"/>
              </w:rPr>
              <w:t xml:space="preserve">2202.99</w:t>
            </w:r>
          </w:p>
        </w:tc>
      </w:tr>
      <w:tr>
        <w:trPr>
          <w:cantSplit/>
        </w:trPr>
        <w:tc>
          <w:tcPr>
            <w:tcW w:w="2500" w:type="dxa"/>
            <w:vAlign w:val="center"/>
            <w:tcMar>
              <w:top w:w="80" w:type="dxa"/>
              <w:bottom w:w="80" w:type="dxa"/>
              <w:left w:w="110" w:type="dxa"/>
              <w:right w:w="110" w:type="dxa"/>
            </w:tcMar>
          </w:tcPr>
          <w:p>
            <w:pPr>
              <w:spacing w:before="0" w:after="0" w:line="276" w:lineRule="auto"/>
            </w:pPr>
            <w:r>
              <w:t xml:space="preserve">Mercados evaluados</w:t>
            </w:r>
          </w:p>
        </w:tc>
        <w:tc>
          <w:tcPr>
            <w:tcW w:w="6570" w:type="dxa"/>
            <w:vAlign w:val="center"/>
            <w:tcMar>
              <w:top w:w="80" w:type="dxa"/>
              <w:bottom w:w="80" w:type="dxa"/>
              <w:left w:w="110" w:type="dxa"/>
              <w:right w:w="110" w:type="dxa"/>
            </w:tcMar>
          </w:tcPr>
          <w:p>
            <w:pPr>
              <w:spacing w:before="0" w:after="0" w:line="276" w:lineRule="auto"/>
            </w:pPr>
            <w:r>
              <w:t xml:space="preserve">Uruguay · Paraguay · Colombia · Estados Unidos</w:t>
            </w:r>
          </w:p>
        </w:tc>
      </w:tr>
      <w:tr>
        <w:trPr>
          <w:cantSplit/>
        </w:trPr>
        <w:tc>
          <w:tcPr>
            <w:tcW w:w="2500" w:type="dxa"/>
            <w:shd w:val="clear" w:color="auto" w:fill="F3F6F3"/>
            <w:vAlign w:val="center"/>
            <w:tcMar>
              <w:top w:w="80" w:type="dxa"/>
              <w:bottom w:w="80" w:type="dxa"/>
              <w:left w:w="110" w:type="dxa"/>
              <w:right w:w="110" w:type="dxa"/>
            </w:tcMar>
          </w:tcPr>
          <w:p>
            <w:pPr>
              <w:spacing w:before="0" w:after="0" w:line="276" w:lineRule="auto"/>
            </w:pPr>
            <w:r>
              <w:t xml:space="preserve">Punto de la pauta</w:t>
            </w:r>
          </w:p>
        </w:tc>
        <w:tc>
          <w:tcPr>
            <w:tcW w:w="6570" w:type="dxa"/>
            <w:shd w:val="clear" w:color="auto" w:fill="F3F6F3"/>
            <w:vAlign w:val="center"/>
            <w:tcMar>
              <w:top w:w="80" w:type="dxa"/>
              <w:bottom w:w="80" w:type="dxa"/>
              <w:left w:w="110" w:type="dxa"/>
              <w:right w:w="110" w:type="dxa"/>
            </w:tcMar>
          </w:tcPr>
          <w:p>
            <w:pPr>
              <w:spacing w:before="0" w:after="0" w:line="276" w:lineRule="auto"/>
            </w:pPr>
            <w:r>
              <w:t xml:space="preserve">1 — Selección y evaluación de mercado</w:t>
            </w:r>
          </w:p>
        </w:tc>
      </w:tr>
      <w:tr>
        <w:trPr>
          <w:cantSplit/>
        </w:trPr>
        <w:tc>
          <w:tcPr>
            <w:tcW w:w="2500" w:type="dxa"/>
            <w:vAlign w:val="center"/>
            <w:tcMar>
              <w:top w:w="80" w:type="dxa"/>
              <w:bottom w:w="80" w:type="dxa"/>
              <w:left w:w="110" w:type="dxa"/>
              <w:right w:w="110" w:type="dxa"/>
            </w:tcMar>
          </w:tcPr>
          <w:p>
            <w:pPr>
              <w:spacing w:before="0" w:after="0" w:line="276" w:lineRule="auto"/>
            </w:pPr>
            <w:r>
              <w:t xml:space="preserve">Integrantes</w:t>
            </w:r>
          </w:p>
        </w:tc>
        <w:tc>
          <w:tcPr>
            <w:tcW w:w="6570" w:type="dxa"/>
            <w:vAlign w:val="center"/>
            <w:tcMar>
              <w:top w:w="80" w:type="dxa"/>
              <w:bottom w:w="80" w:type="dxa"/>
              <w:left w:w="110" w:type="dxa"/>
              <w:right w:w="110" w:type="dxa"/>
            </w:tcMar>
          </w:tcPr>
          <w:p>
            <w:pPr>
              <w:spacing w:before="0" w:after="0" w:line="276" w:lineRule="auto"/>
            </w:pPr>
            <w:r>
              <w:rPr>
                <w:i/>
                <w:color w:val="5F6368"/>
              </w:rPr>
              <w:t xml:space="preserve">[completar: Apellido1InicialApellido2Nombre, por orden alfabético]</w:t>
            </w:r>
          </w:p>
        </w:tc>
      </w:tr>
      <w:tr>
        <w:trPr>
          <w:cantSplit/>
        </w:trPr>
        <w:tc>
          <w:tcPr>
            <w:tcW w:w="2500" w:type="dxa"/>
            <w:shd w:val="clear" w:color="auto" w:fill="F3F6F3"/>
            <w:vAlign w:val="center"/>
            <w:tcMar>
              <w:top w:w="80" w:type="dxa"/>
              <w:bottom w:w="80" w:type="dxa"/>
              <w:left w:w="110" w:type="dxa"/>
              <w:right w:w="110" w:type="dxa"/>
            </w:tcMar>
          </w:tcPr>
          <w:p>
            <w:pPr>
              <w:spacing w:before="0" w:after="0" w:line="276" w:lineRule="auto"/>
            </w:pPr>
            <w:r>
              <w:t xml:space="preserve">Fecha</w:t>
            </w:r>
          </w:p>
        </w:tc>
        <w:tc>
          <w:tcPr>
            <w:tcW w:w="6570" w:type="dxa"/>
            <w:shd w:val="clear" w:color="auto" w:fill="F3F6F3"/>
            <w:vAlign w:val="center"/>
            <w:tcMar>
              <w:top w:w="80" w:type="dxa"/>
              <w:bottom w:w="80" w:type="dxa"/>
              <w:left w:w="110" w:type="dxa"/>
              <w:right w:w="110" w:type="dxa"/>
            </w:tcMar>
          </w:tcPr>
          <w:p>
            <w:pPr>
              <w:spacing w:before="0" w:after="0" w:line="276" w:lineRule="auto"/>
            </w:pPr>
            <w:r>
              <w:rPr>
                <w:i/>
                <w:color w:val="5F6368"/>
              </w:rPr>
              <w:t xml:space="preserve">[completar]</w:t>
            </w:r>
          </w:p>
        </w:tc>
      </w:tr>
    </w:tbl>
    <w:p>
      <w:pPr>
        <w:spacing w:before="0" w:after="120" w:line="276" w:lineRule="auto"/>
      </w:pPr>
      <w:r>
        <w:t xml:space="preserve"/>
      </w:r>
    </w:p>
    <w:p>
      <w:r>
        <w:br w:type="page"/>
      </w:r>
    </w:p>
    <w:p>
      <w:pPr>
        <w:pStyle w:val="Heading1"/>
        <w:keepNext/>
        <w:spacing w:before="0" w:after="120" w:line="276" w:lineRule="auto"/>
      </w:pPr>
      <w:r>
        <w:t xml:space="preserve">Índice</w:t>
      </w:r>
    </w:p>
    <w:p>
      <w:pPr>
        <w:spacing w:after="120"/>
      </w:pPr>
      <w:r>
        <w:fldChar w:fldCharType="begin" w:dirty="true"/>
      </w:r>
      <w:r>
        <w:instrText xml:space="preserve"> TOC \o "1-3" \h \z \u </w:instrText>
      </w:r>
      <w:r>
        <w:fldChar w:fldCharType="separate"/>
      </w:r>
      <w:r>
        <w:rPr>
          <w:i/>
          <w:color w:val="5F6368"/>
        </w:rPr>
        <w:t xml:space="preserve">Clic derecho sobre el índice y «Actualizar campo» para generarlo.</w:t>
      </w:r>
      <w:r>
        <w:fldChar w:fldCharType="end"/>
      </w:r>
    </w:p>
    <w:p>
      <w:r>
        <w:br w:type="page"/>
      </w:r>
    </w:p>
    <w:p>
      <w:pPr>
        <w:pStyle w:val="Heading1"/>
        <w:keepNext/>
        <w:spacing w:before="0" w:after="120" w:line="276" w:lineRule="auto"/>
      </w:pPr>
      <w:r>
        <w:t xml:space="preserve">Nota metodológica</w:t>
      </w:r>
    </w:p>
    <w:p>
      <w:pPr>
        <w:spacing w:before="0" w:after="120" w:line="276" w:lineRule="auto"/>
        <w:jc w:val="both"/>
      </w:pPr>
      <w:r>
        <w:t xml:space="preserve">Este documento desarrolla el punto 1 de la pauta. Para que cada afirmación sea rastreable, los datos llevan una marca de origen que distingue lo verificado de lo que aún debe confirmarse.</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900"/>
        <w:gridCol w:w="1700"/>
        <w:gridCol w:w="6470"/>
      </w:tblGrid>
      <w:tr>
        <w:trPr>
          <w:tblHeader/>
          <w:cantSplit/>
        </w:trPr>
        <w:tc>
          <w:tcPr>
            <w:tcW w:w="9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Marca</w:t>
            </w:r>
          </w:p>
        </w:tc>
        <w:tc>
          <w:tcPr>
            <w:tcW w:w="17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Significado</w:t>
            </w:r>
          </w:p>
        </w:tc>
        <w:tc>
          <w:tcPr>
            <w:tcW w:w="64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Uso en el informe</w:t>
            </w:r>
          </w:p>
        </w:tc>
      </w:tr>
      <w:tr>
        <w:trPr>
          <w:cantSplit/>
        </w:trPr>
        <w:tc>
          <w:tcPr>
            <w:tcW w:w="900" w:type="dxa"/>
            <w:vAlign w:val="center"/>
            <w:tcMar>
              <w:top w:w="80" w:type="dxa"/>
              <w:bottom w:w="80" w:type="dxa"/>
              <w:left w:w="110" w:type="dxa"/>
              <w:right w:w="110" w:type="dxa"/>
            </w:tcMar>
          </w:tcPr>
          <w:p>
            <w:pPr>
              <w:spacing w:before="0" w:after="0" w:line="276" w:lineRule="auto"/>
              <w:jc w:val="center"/>
            </w:pPr>
            <w:r>
              <w:rPr>
                <w:b/>
                <w:color w:val="1B5E20"/>
              </w:rPr>
              <w:t xml:space="preserve">[V]</w:t>
            </w:r>
          </w:p>
        </w:tc>
        <w:tc>
          <w:tcPr>
            <w:tcW w:w="1700" w:type="dxa"/>
            <w:vAlign w:val="center"/>
            <w:tcMar>
              <w:top w:w="80" w:type="dxa"/>
              <w:bottom w:w="80" w:type="dxa"/>
              <w:left w:w="110" w:type="dxa"/>
              <w:right w:w="110" w:type="dxa"/>
            </w:tcMar>
          </w:tcPr>
          <w:p>
            <w:pPr>
              <w:spacing w:before="0" w:after="0" w:line="276" w:lineRule="auto"/>
            </w:pPr>
            <w:r>
              <w:rPr>
                <w:b/>
              </w:rPr>
              <w:t xml:space="preserve">Verificado</w:t>
            </w:r>
          </w:p>
        </w:tc>
        <w:tc>
          <w:tcPr>
            <w:tcW w:w="6470" w:type="dxa"/>
            <w:vAlign w:val="center"/>
            <w:tcMar>
              <w:top w:w="80" w:type="dxa"/>
              <w:bottom w:w="80" w:type="dxa"/>
              <w:left w:w="110" w:type="dxa"/>
              <w:right w:w="110" w:type="dxa"/>
            </w:tcMar>
          </w:tcPr>
          <w:p>
            <w:pPr>
              <w:spacing w:before="0" w:after="0" w:line="276" w:lineRule="auto"/>
            </w:pPr>
            <w:r>
              <w:t xml:space="preserve">Fuente institucional o normativa citada. Citable sin reservas.</w:t>
            </w:r>
          </w:p>
        </w:tc>
      </w:tr>
      <w:tr>
        <w:trPr>
          <w:cantSplit/>
        </w:trPr>
        <w:tc>
          <w:tcPr>
            <w:tcW w:w="90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[P]</w:t>
            </w:r>
          </w:p>
        </w:tc>
        <w:tc>
          <w:tcPr>
            <w:tcW w:w="1700" w:type="dxa"/>
            <w:shd w:val="clear" w:color="auto" w:fill="F3F6F3"/>
            <w:vAlign w:val="center"/>
            <w:tcMar>
              <w:top w:w="80" w:type="dxa"/>
              <w:bottom w:w="80" w:type="dxa"/>
              <w:left w:w="110" w:type="dxa"/>
              <w:right w:w="110" w:type="dxa"/>
            </w:tcMar>
          </w:tcPr>
          <w:p>
            <w:pPr>
              <w:spacing w:before="0" w:after="0" w:line="276" w:lineRule="auto"/>
            </w:pPr>
            <w:r>
              <w:rPr>
                <w:b/>
              </w:rPr>
              <w:t xml:space="preserve">Prensa</w:t>
            </w:r>
          </w:p>
        </w:tc>
        <w:tc>
          <w:tcPr>
            <w:tcW w:w="6470" w:type="dxa"/>
            <w:shd w:val="clear" w:color="auto" w:fill="F3F6F3"/>
            <w:vAlign w:val="center"/>
            <w:tcMar>
              <w:top w:w="80" w:type="dxa"/>
              <w:bottom w:w="80" w:type="dxa"/>
              <w:left w:w="110" w:type="dxa"/>
              <w:right w:w="110" w:type="dxa"/>
            </w:tcMar>
          </w:tcPr>
          <w:p>
            <w:pPr>
              <w:spacing w:before="0" w:after="0" w:line="276" w:lineRule="auto"/>
            </w:pPr>
            <w:r>
              <w:t xml:space="preserve">Medio o prensa sectorial. Citable, conviene contrastar.</w:t>
            </w:r>
          </w:p>
        </w:tc>
      </w:tr>
      <w:tr>
        <w:trPr>
          <w:cantSplit/>
        </w:trPr>
        <w:tc>
          <w:tcPr>
            <w:tcW w:w="9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700" w:type="dxa"/>
            <w:vAlign w:val="center"/>
            <w:tcMar>
              <w:top w:w="80" w:type="dxa"/>
              <w:bottom w:w="80" w:type="dxa"/>
              <w:left w:w="110" w:type="dxa"/>
              <w:right w:w="110" w:type="dxa"/>
            </w:tcMar>
          </w:tcPr>
          <w:p>
            <w:pPr>
              <w:spacing w:before="0" w:after="0" w:line="276" w:lineRule="auto"/>
            </w:pPr>
            <w:r>
              <w:rPr>
                <w:b/>
                <w:color w:val="B3261E"/>
              </w:rPr>
              <w:t xml:space="preserve">Pendiente</w:t>
            </w:r>
          </w:p>
        </w:tc>
        <w:tc>
          <w:tcPr>
            <w:tcW w:w="6470" w:type="dxa"/>
            <w:vAlign w:val="center"/>
            <w:tcMar>
              <w:top w:w="80" w:type="dxa"/>
              <w:bottom w:w="80" w:type="dxa"/>
              <w:left w:w="110" w:type="dxa"/>
              <w:right w:w="110" w:type="dxa"/>
            </w:tcMar>
          </w:tcPr>
          <w:p>
            <w:pPr>
              <w:spacing w:before="0" w:after="0" w:line="276" w:lineRule="auto"/>
            </w:pPr>
            <w:r>
              <w:t xml:space="preserve">Dato no obtenido de fuente oficial. No usar sin verificar.</w:t>
            </w:r>
          </w:p>
        </w:tc>
      </w:tr>
    </w:tbl>
    <w:p>
      <w:pPr>
        <w:spacing w:before="0" w:after="120" w:line="276" w:lineRule="auto"/>
      </w:pPr>
      <w:r>
        <w:t xml:space="preserve"/>
      </w:r>
    </w:p>
    <w:p>
      <w:pPr>
        <w:spacing w:before="0" w:after="200" w:line="276" w:lineRule="auto"/>
        <w:jc w:val="left"/>
      </w:pPr>
      <w:r>
        <w:rPr>
          <w:b/>
          <w:sz w:val="18"/>
        </w:rPr>
        <w:t xml:space="preserve">Tabla 1. </w:t>
      </w:r>
      <w:r>
        <w:rPr>
          <w:sz w:val="18"/>
        </w:rPr>
        <w:t xml:space="preserve">Convención de trazabilidad de datos utilizada en todo el documento.</w:t>
      </w:r>
    </w:p>
    <w:p>
      <w:pPr>
        <w:spacing w:before="0" w:after="120" w:line="276" w:lineRule="auto"/>
        <w:jc w:val="both"/>
      </w:pPr>
      <w:r>
        <w:t xml:space="preserve">Los puntajes de las matrices son </w:t>
      </w:r>
      <w:r>
        <w:rPr>
          <w:b/>
        </w:rPr>
        <w:t xml:space="preserve">valoraciones argumentadas, no mediciones</w:t>
      </w:r>
      <w:r>
        <w:t xml:space="preserve">. Cada uno expone su razonamiento para que pueda discutirse o modificarse. Presentar una matriz de selección como si fuera un dato medido sería el error metodológico más fácil de cometer en este punto.</w:t>
      </w:r>
    </w:p>
    <w:p>
      <w:pPr>
        <w:pStyle w:val="Quote"/>
        <w:spacing w:before="0" w:after="120" w:line="276" w:lineRule="auto"/>
        <w:jc w:val="both"/>
      </w:pPr>
      <w:r>
        <w:rPr>
          <w:b/>
        </w:rPr>
        <w:t xml:space="preserve">Fuente descartada. </w:t>
      </w:r>
      <w:r>
        <w:t xml:space="preserve">Se consultaron cinco agregadores de informes de mercado para el tamaño global de la kombucha en 2025 y devuelven USD 2,90 / 3,25 / 4,74 / 5,19 / 9,60 mil millones. Divergen hasta tres veces para el mismo año y ninguno publica su metodología, por lo que </w:t>
      </w:r>
      <w:r>
        <w:rPr>
          <w:b/>
        </w:rPr>
        <w:t xml:space="preserve">no se utiliza ninguna de esas cifras</w:t>
      </w:r>
      <w:r>
        <w:t xml:space="preserve">. El criterio de tamaño se trabaja con datos de importación de la partida y con población.</w:t>
      </w:r>
    </w:p>
    <w:p>
      <w:r>
        <w:br w:type="page"/>
      </w:r>
    </w:p>
    <w:p>
      <w:pPr>
        <w:pStyle w:val="Heading1"/>
        <w:keepNext/>
        <w:spacing w:before="0" w:after="120" w:line="276" w:lineRule="auto"/>
      </w:pPr>
      <w:r>
        <w:t xml:space="preserve">1. Selección y evaluación de mercado</w:t>
      </w:r>
    </w:p>
    <w:p>
      <w:pPr>
        <w:pStyle w:val="Heading2"/>
        <w:keepNext/>
        <w:spacing w:before="240" w:after="120" w:line="276" w:lineRule="auto"/>
      </w:pPr>
      <w:r>
        <w:t xml:space="preserve">1.a  Selección de mercado</w:t>
      </w:r>
    </w:p>
    <w:p>
      <w:pPr>
        <w:pStyle w:val="Heading3"/>
        <w:keepNext/>
        <w:spacing w:before="240" w:after="120" w:line="276" w:lineRule="auto"/>
      </w:pPr>
      <w:r>
        <w:t xml:space="preserve">Clasificación arancelaria del producto</w:t>
      </w:r>
    </w:p>
    <w:p>
      <w:pPr>
        <w:spacing w:before="0" w:after="120" w:line="276" w:lineRule="auto"/>
        <w:jc w:val="both"/>
      </w:pPr>
      <w:r>
        <w:t xml:space="preserve">Toda la selección depende de clasificar correctamente el producto: de la partida cuelgan los datos de importación, los aranceles aplicables y las barreras no arancelarias. Es el primer dato que hay que fijar.</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3300"/>
        <w:gridCol w:w="5770"/>
      </w:tblGrid>
      <w:tr>
        <w:trPr>
          <w:tblHeader/>
          <w:cantSplit/>
        </w:trPr>
        <w:tc>
          <w:tcPr>
            <w:tcW w:w="33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Concepto</w:t>
            </w:r>
          </w:p>
        </w:tc>
        <w:tc>
          <w:tcPr>
            <w:tcW w:w="57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Valor</w:t>
            </w:r>
          </w:p>
        </w:tc>
      </w:tr>
      <w:tr>
        <w:trPr>
          <w:cantSplit/>
        </w:trPr>
        <w:tc>
          <w:tcPr>
            <w:tcW w:w="3300" w:type="dxa"/>
            <w:vAlign w:val="center"/>
            <w:tcMar>
              <w:top w:w="80" w:type="dxa"/>
              <w:bottom w:w="80" w:type="dxa"/>
              <w:left w:w="110" w:type="dxa"/>
              <w:right w:w="110" w:type="dxa"/>
            </w:tcMar>
          </w:tcPr>
          <w:p>
            <w:pPr>
              <w:spacing w:before="0" w:after="0" w:line="276" w:lineRule="auto"/>
            </w:pPr>
            <w:r>
              <w:t xml:space="preserve">Partida sugerida (6 dígitos, Sistema Armonizado)</w:t>
            </w:r>
          </w:p>
        </w:tc>
        <w:tc>
          <w:tcPr>
            <w:tcW w:w="5770" w:type="dxa"/>
            <w:vAlign w:val="center"/>
            <w:tcMar>
              <w:top w:w="80" w:type="dxa"/>
              <w:bottom w:w="80" w:type="dxa"/>
              <w:left w:w="110" w:type="dxa"/>
              <w:right w:w="110" w:type="dxa"/>
            </w:tcMar>
          </w:tcPr>
          <w:p>
            <w:pPr>
              <w:spacing w:before="0" w:after="0" w:line="276" w:lineRule="auto"/>
            </w:pPr>
            <w:r>
              <w:rPr>
                <w:b/>
                <w:rFonts w:ascii="Consolas" w:hAnsi="Consolas"/>
              </w:rPr>
              <w:t xml:space="preserve">2202.99</w:t>
            </w:r>
          </w:p>
        </w:tc>
      </w:tr>
      <w:tr>
        <w:trPr>
          <w:cantSplit/>
        </w:trPr>
        <w:tc>
          <w:tcPr>
            <w:tcW w:w="3300" w:type="dxa"/>
            <w:shd w:val="clear" w:color="auto" w:fill="F3F6F3"/>
            <w:vAlign w:val="center"/>
            <w:tcMar>
              <w:top w:w="80" w:type="dxa"/>
              <w:bottom w:w="80" w:type="dxa"/>
              <w:left w:w="110" w:type="dxa"/>
              <w:right w:w="110" w:type="dxa"/>
            </w:tcMar>
          </w:tcPr>
          <w:p>
            <w:pPr>
              <w:spacing w:before="0" w:after="0" w:line="276" w:lineRule="auto"/>
            </w:pPr>
            <w:r>
              <w:t xml:space="preserve">NCM Mercosur (8 dígitos)</w:t>
            </w:r>
          </w:p>
        </w:tc>
        <w:tc>
          <w:tcPr>
            <w:tcW w:w="5770" w:type="dxa"/>
            <w:shd w:val="clear" w:color="auto" w:fill="F3F6F3"/>
            <w:vAlign w:val="center"/>
            <w:tcMar>
              <w:top w:w="80" w:type="dxa"/>
              <w:bottom w:w="80" w:type="dxa"/>
              <w:left w:w="110" w:type="dxa"/>
              <w:right w:w="110" w:type="dxa"/>
            </w:tcMar>
          </w:tcPr>
          <w:p>
            <w:pPr>
              <w:spacing w:before="0" w:after="0" w:line="276" w:lineRule="auto"/>
            </w:pPr>
            <w:r>
              <w:rPr>
                <w:b/>
                <w:rFonts w:ascii="Consolas" w:hAnsi="Consolas"/>
              </w:rPr>
              <w:t xml:space="preserve">2202.99.00</w:t>
            </w:r>
          </w:p>
        </w:tc>
      </w:tr>
      <w:tr>
        <w:trPr>
          <w:cantSplit/>
        </w:trPr>
        <w:tc>
          <w:tcPr>
            <w:tcW w:w="3300" w:type="dxa"/>
            <w:vAlign w:val="center"/>
            <w:tcMar>
              <w:top w:w="80" w:type="dxa"/>
              <w:bottom w:w="80" w:type="dxa"/>
              <w:left w:w="110" w:type="dxa"/>
              <w:right w:w="110" w:type="dxa"/>
            </w:tcMar>
          </w:tcPr>
          <w:p>
            <w:pPr>
              <w:spacing w:before="0" w:after="0" w:line="276" w:lineRule="auto"/>
            </w:pPr>
            <w:r>
              <w:t xml:space="preserve">Capítulo</w:t>
            </w:r>
          </w:p>
        </w:tc>
        <w:tc>
          <w:tcPr>
            <w:tcW w:w="5770" w:type="dxa"/>
            <w:vAlign w:val="center"/>
            <w:tcMar>
              <w:top w:w="80" w:type="dxa"/>
              <w:bottom w:w="80" w:type="dxa"/>
              <w:left w:w="110" w:type="dxa"/>
              <w:right w:w="110" w:type="dxa"/>
            </w:tcMar>
          </w:tcPr>
          <w:p>
            <w:pPr>
              <w:spacing w:before="0" w:after="0" w:line="276" w:lineRule="auto"/>
            </w:pPr>
            <w:r>
              <w:t xml:space="preserve">22 — Bebidas, líquidos alcohólicos y vinagre</w:t>
            </w:r>
          </w:p>
        </w:tc>
      </w:tr>
      <w:tr>
        <w:trPr>
          <w:cantSplit/>
        </w:trPr>
        <w:tc>
          <w:tcPr>
            <w:tcW w:w="3300" w:type="dxa"/>
            <w:shd w:val="clear" w:color="auto" w:fill="F3F6F3"/>
            <w:vAlign w:val="center"/>
            <w:tcMar>
              <w:top w:w="80" w:type="dxa"/>
              <w:bottom w:w="80" w:type="dxa"/>
              <w:left w:w="110" w:type="dxa"/>
              <w:right w:w="110" w:type="dxa"/>
            </w:tcMar>
          </w:tcPr>
          <w:p>
            <w:pPr>
              <w:spacing w:before="0" w:after="0" w:line="276" w:lineRule="auto"/>
            </w:pPr>
            <w:r>
              <w:t xml:space="preserve">Glosa de la partida 2202</w:t>
            </w:r>
          </w:p>
        </w:tc>
        <w:tc>
          <w:tcPr>
            <w:tcW w:w="5770" w:type="dxa"/>
            <w:shd w:val="clear" w:color="auto" w:fill="F3F6F3"/>
            <w:vAlign w:val="center"/>
            <w:tcMar>
              <w:top w:w="80" w:type="dxa"/>
              <w:bottom w:w="80" w:type="dxa"/>
              <w:left w:w="110" w:type="dxa"/>
              <w:right w:w="110" w:type="dxa"/>
            </w:tcMar>
          </w:tcPr>
          <w:p>
            <w:pPr>
              <w:spacing w:before="0" w:after="0" w:line="276" w:lineRule="auto"/>
            </w:pPr>
            <w:r>
              <w:t xml:space="preserve">Aguas, incluidas las minerales y gaseadas, con azúcar u otros edulcorantes o aromatizadas, y otras bebidas no alcohólicas, excepto jugos de frutas u hortalizas de la partida 20.09</w:t>
            </w:r>
          </w:p>
        </w:tc>
      </w:tr>
      <w:tr>
        <w:trPr>
          <w:cantSplit/>
        </w:trPr>
        <w:tc>
          <w:tcPr>
            <w:tcW w:w="3300" w:type="dxa"/>
            <w:vAlign w:val="center"/>
            <w:tcMar>
              <w:top w:w="80" w:type="dxa"/>
              <w:bottom w:w="80" w:type="dxa"/>
              <w:left w:w="110" w:type="dxa"/>
              <w:right w:w="110" w:type="dxa"/>
            </w:tcMar>
          </w:tcPr>
          <w:p>
            <w:pPr>
              <w:spacing w:before="0" w:after="0" w:line="276" w:lineRule="auto"/>
            </w:pPr>
            <w:r>
              <w:t xml:space="preserve">Código SACh de Chile (8 dígitos)</w:t>
            </w:r>
          </w:p>
        </w:tc>
        <w:tc>
          <w:tcPr>
            <w:tcW w:w="5770" w:type="dxa"/>
            <w:vAlign w:val="center"/>
            <w:tcMar>
              <w:top w:w="80" w:type="dxa"/>
              <w:bottom w:w="80" w:type="dxa"/>
              <w:left w:w="110" w:type="dxa"/>
              <w:right w:w="110" w:type="dxa"/>
            </w:tcMar>
          </w:tcPr>
          <w:p>
            <w:pPr>
              <w:spacing w:before="0" w:after="0" w:line="276" w:lineRule="auto"/>
            </w:pPr>
            <w:r>
              <w:rPr>
                <w:b/>
                <w:color w:val="B3261E"/>
              </w:rPr>
              <w:t xml:space="preserve">[!] Pendiente de obtener</w:t>
            </w:r>
          </w:p>
        </w:tc>
      </w:tr>
    </w:tbl>
    <w:p>
      <w:pPr>
        <w:spacing w:before="0" w:after="120" w:line="276" w:lineRule="auto"/>
      </w:pPr>
      <w:r>
        <w:t xml:space="preserve"/>
      </w:r>
    </w:p>
    <w:p>
      <w:pPr>
        <w:spacing w:before="0" w:after="200" w:line="276" w:lineRule="auto"/>
        <w:jc w:val="left"/>
      </w:pPr>
      <w:r>
        <w:rPr>
          <w:b/>
          <w:sz w:val="18"/>
        </w:rPr>
        <w:t xml:space="preserve">Tabla 2. </w:t>
      </w:r>
      <w:r>
        <w:rPr>
          <w:sz w:val="18"/>
        </w:rPr>
        <w:t xml:space="preserve">Clasificación arancelaria de la kombucha.</w:t>
      </w:r>
    </w:p>
    <w:p>
      <w:pPr>
        <w:spacing w:before="0" w:after="120" w:line="276" w:lineRule="auto"/>
        <w:jc w:val="both"/>
      </w:pPr>
      <w:r>
        <w:rPr>
          <w:b/>
        </w:rPr>
        <w:t xml:space="preserve">Fundamento </w:t>
      </w:r>
      <w:r>
        <w:rPr>
          <w:b/>
          <w:color w:val="1B5E20"/>
        </w:rPr>
        <w:t xml:space="preserve">[V]</w:t>
      </w:r>
      <w:r>
        <w:rPr>
          <w:b/>
        </w:rPr>
        <w:t xml:space="preserve">. </w:t>
      </w:r>
      <w:r>
        <w:t xml:space="preserve">La Receita Federal de Brasil resolvió por consulta vinculante la clasificación de la kombucha mediante las Soluções de Consulta COSIT n.º 98316/2019 y n.º 98130/2020. Ambas describen el producto como bebida no alcohólica lista para el consumo, fermentada con cultivo simbiótico de bacterias y levaduras (SCOBY) a base de té, con contenido alcohólico entre 0,1 % y 0,3 %. Ese contenido la excluye del capítulo de bebidas fermentadas alcohólicas (2206) y la sitúa en la partida 2202.</w:t>
      </w:r>
    </w:p>
    <w:p>
      <w:pPr>
        <w:spacing w:before="0" w:after="120" w:line="276" w:lineRule="auto"/>
        <w:jc w:val="both"/>
      </w:pPr>
      <w:r>
        <w:rPr>
          <w:b/>
        </w:rPr>
        <w:t xml:space="preserve">Advertencia sobre el código chileno </w:t>
      </w:r>
      <w:r>
        <w:rPr>
          <w:b/>
          <w:color w:val="B3261E"/>
        </w:rPr>
        <w:t xml:space="preserve">[!]</w:t>
      </w:r>
      <w:r>
        <w:rPr>
          <w:b/>
        </w:rPr>
        <w:t xml:space="preserve">. </w:t>
      </w:r>
      <w:r>
        <w:t xml:space="preserve">Falta el código SACh completo de ocho dígitos, que debe obtenerse del Arancel Aduanero vigente del Servicio Nacional de Aduanas. Existe precedente de que Chile subdivide esta posición —una resolución de Aduanas de 2013 menciona la posición 2202.9040— pero la nomenclatura se reordenó con las enmiendas del Sistema Armonizado, de modo que el código vigente </w:t>
      </w:r>
      <w:r>
        <w:rPr>
          <w:b/>
        </w:rPr>
        <w:t xml:space="preserve">debe confirmarse, no deducirse</w:t>
      </w:r>
      <w:r>
        <w:t xml:space="preserve">.</w:t>
      </w:r>
    </w:p>
    <w:p>
      <w:pPr>
        <w:spacing w:before="0" w:after="120" w:line="276" w:lineRule="auto"/>
        <w:jc w:val="both"/>
      </w:pPr>
      <w:r>
        <w:t xml:space="preserve">Los </w:t>
      </w:r>
      <w:r>
        <w:rPr>
          <w:b/>
        </w:rPr>
        <w:t xml:space="preserve">primeros seis dígitos son idénticos en cualquier país</w:t>
      </w:r>
      <w:r>
        <w:t xml:space="preserve">. Los dígitos adicionales varían, por lo que el código local de Uruguay, Colombia y Estados Unidos debe buscarse en el arancel de aduanas de cada destino.</w:t>
      </w:r>
    </w:p>
    <w:p>
      <w:pPr>
        <w:pStyle w:val="Heading3"/>
        <w:keepNext/>
        <w:spacing w:before="240" w:after="120" w:line="276" w:lineRule="auto"/>
      </w:pPr>
      <w:r>
        <w:t xml:space="preserve">Modelo CAGE (Ghemawat): distancia en cuatro dimensiones</w:t>
      </w:r>
    </w:p>
    <w:p>
      <w:pPr>
        <w:spacing w:before="0" w:after="120" w:line="276" w:lineRule="auto"/>
        <w:jc w:val="both"/>
      </w:pPr>
      <w:r>
        <w:t xml:space="preserve">El modelo CAGE mide distancia entre el país de origen y el de destino, no atractivo de mercado. Aporta las dimensiones cultural y administrativa que un modelo puramente cuantitativo no captura.</w:t>
      </w:r>
    </w:p>
    <w:p>
      <w:pPr>
        <w:pStyle w:val="Quote"/>
        <w:spacing w:before="0" w:after="120" w:line="276" w:lineRule="auto"/>
        <w:jc w:val="both"/>
      </w:pPr>
      <w:r>
        <w:rPr>
          <w:b/>
        </w:rPr>
        <w:t xml:space="preserve">Matiz que conviene explicitar. </w:t>
      </w:r>
      <w:r>
        <w:t xml:space="preserve">En CAGE la distancia no siempre es un costo. En una estrategia de </w:t>
      </w:r>
      <w:r>
        <w:rPr>
          <w:b/>
          <w:i/>
        </w:rPr>
        <w:t xml:space="preserve">arbitraje</w:t>
      </w:r>
      <w:r>
        <w:t xml:space="preserve"> —vender un origen distintivo a un mercado de mayor ingreso— la distancia económica juega a favor. Para Pinda, cuyo argumento central es el origen valdiviano, la lejanía cultural puede ser un activo y no una barrera. Es el punto donde el análisis deja de ser mecánico.</w:t>
      </w:r>
    </w:p>
    <w:p>
      <w:pPr>
        <w:spacing w:before="0" w:after="120" w:line="276" w:lineRule="auto"/>
      </w:pPr>
      <w:r>
        <w:rPr>
          <w:b/>
        </w:rPr>
        <w:t xml:space="preserve">Escala: </w:t>
      </w:r>
      <w:r>
        <w:rPr>
          <w:color w:val="1B5E20"/>
        </w:rPr>
        <w:t xml:space="preserve">1 = distancia muy baja (favorable)</w:t>
      </w:r>
      <w:r>
        <w:t xml:space="preserve"> hasta </w:t>
      </w:r>
      <w:r>
        <w:rPr>
          <w:color w:val="B3261E"/>
        </w:rPr>
        <w:t xml:space="preserve">5 = distancia muy alta (desfavorable)</w:t>
      </w:r>
      <w:r>
        <w:t xml:space="preserve">.</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2470"/>
        <w:gridCol w:w="1650"/>
        <w:gridCol w:w="1650"/>
        <w:gridCol w:w="1650"/>
        <w:gridCol w:w="1650"/>
      </w:tblGrid>
      <w:tr>
        <w:trPr>
          <w:tblHeader/>
          <w:cantSplit/>
        </w:trPr>
        <w:tc>
          <w:tcPr>
            <w:tcW w:w="24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Dimensión</w:t>
            </w:r>
          </w:p>
        </w:tc>
        <w:tc>
          <w:tcPr>
            <w:tcW w:w="16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Uruguay</w:t>
            </w:r>
          </w:p>
        </w:tc>
        <w:tc>
          <w:tcPr>
            <w:tcW w:w="16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Paraguay</w:t>
            </w:r>
          </w:p>
        </w:tc>
        <w:tc>
          <w:tcPr>
            <w:tcW w:w="16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Colombia</w:t>
            </w:r>
          </w:p>
        </w:tc>
        <w:tc>
          <w:tcPr>
            <w:tcW w:w="16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EE.UU.</w:t>
            </w:r>
          </w:p>
        </w:tc>
      </w:tr>
      <w:tr>
        <w:trPr>
          <w:cantSplit/>
        </w:trPr>
        <w:tc>
          <w:tcPr>
            <w:tcW w:w="2470" w:type="dxa"/>
            <w:vAlign w:val="center"/>
            <w:tcMar>
              <w:top w:w="80" w:type="dxa"/>
              <w:bottom w:w="80" w:type="dxa"/>
              <w:left w:w="110" w:type="dxa"/>
              <w:right w:w="110" w:type="dxa"/>
            </w:tcMar>
          </w:tcPr>
          <w:p>
            <w:pPr>
              <w:spacing w:before="0" w:after="0" w:line="276" w:lineRule="auto"/>
            </w:pPr>
            <w:r>
              <w:rPr>
                <w:b/>
              </w:rPr>
              <w:t xml:space="preserve">Cultural</w:t>
            </w:r>
          </w:p>
        </w:tc>
        <w:tc>
          <w:tcPr>
            <w:tcW w:w="1650" w:type="dxa"/>
            <w:vAlign w:val="center"/>
            <w:tcMar>
              <w:top w:w="80" w:type="dxa"/>
              <w:bottom w:w="80" w:type="dxa"/>
              <w:left w:w="110" w:type="dxa"/>
              <w:right w:w="110" w:type="dxa"/>
            </w:tcMar>
          </w:tcPr>
          <w:p>
            <w:pPr>
              <w:spacing w:before="0" w:after="0" w:line="276" w:lineRule="auto"/>
              <w:jc w:val="center"/>
            </w:pPr>
            <w:r>
              <w:t xml:space="preserve">1</w:t>
            </w:r>
          </w:p>
        </w:tc>
        <w:tc>
          <w:tcPr>
            <w:tcW w:w="1650" w:type="dxa"/>
            <w:vAlign w:val="center"/>
            <w:tcMar>
              <w:top w:w="80" w:type="dxa"/>
              <w:bottom w:w="80" w:type="dxa"/>
              <w:left w:w="110" w:type="dxa"/>
              <w:right w:w="110" w:type="dxa"/>
            </w:tcMar>
          </w:tcPr>
          <w:p>
            <w:pPr>
              <w:spacing w:before="0" w:after="0" w:line="276" w:lineRule="auto"/>
              <w:jc w:val="center"/>
            </w:pPr>
            <w:r>
              <w:t xml:space="preserve">3</w:t>
            </w:r>
          </w:p>
        </w:tc>
        <w:tc>
          <w:tcPr>
            <w:tcW w:w="1650" w:type="dxa"/>
            <w:vAlign w:val="center"/>
            <w:tcMar>
              <w:top w:w="80" w:type="dxa"/>
              <w:bottom w:w="80" w:type="dxa"/>
              <w:left w:w="110" w:type="dxa"/>
              <w:right w:w="110" w:type="dxa"/>
            </w:tcMar>
          </w:tcPr>
          <w:p>
            <w:pPr>
              <w:spacing w:before="0" w:after="0" w:line="276" w:lineRule="auto"/>
              <w:jc w:val="center"/>
            </w:pPr>
            <w:r>
              <w:t xml:space="preserve">2</w:t>
            </w:r>
          </w:p>
        </w:tc>
        <w:tc>
          <w:tcPr>
            <w:tcW w:w="1650" w:type="dxa"/>
            <w:vAlign w:val="center"/>
            <w:tcMar>
              <w:top w:w="80" w:type="dxa"/>
              <w:bottom w:w="80" w:type="dxa"/>
              <w:left w:w="110" w:type="dxa"/>
              <w:right w:w="110" w:type="dxa"/>
            </w:tcMar>
          </w:tcPr>
          <w:p>
            <w:pPr>
              <w:spacing w:before="0" w:after="0" w:line="276" w:lineRule="auto"/>
              <w:jc w:val="center"/>
            </w:pPr>
            <w:r>
              <w:t xml:space="preserve">4</w:t>
            </w:r>
          </w:p>
        </w:tc>
      </w:tr>
      <w:tr>
        <w:trPr>
          <w:cantSplit/>
        </w:trPr>
        <w:tc>
          <w:tcPr>
            <w:tcW w:w="2470" w:type="dxa"/>
            <w:shd w:val="clear" w:color="auto" w:fill="F3F6F3"/>
            <w:vAlign w:val="center"/>
            <w:tcMar>
              <w:top w:w="80" w:type="dxa"/>
              <w:bottom w:w="80" w:type="dxa"/>
              <w:left w:w="110" w:type="dxa"/>
              <w:right w:w="110" w:type="dxa"/>
            </w:tcMar>
          </w:tcPr>
          <w:p>
            <w:pPr>
              <w:spacing w:before="0" w:after="0" w:line="276" w:lineRule="auto"/>
            </w:pPr>
            <w:r>
              <w:rPr>
                <w:b/>
              </w:rPr>
              <w:t xml:space="preserve">Administrativa</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1</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r>
      <w:tr>
        <w:trPr>
          <w:cantSplit/>
        </w:trPr>
        <w:tc>
          <w:tcPr>
            <w:tcW w:w="2470" w:type="dxa"/>
            <w:vAlign w:val="center"/>
            <w:tcMar>
              <w:top w:w="80" w:type="dxa"/>
              <w:bottom w:w="80" w:type="dxa"/>
              <w:left w:w="110" w:type="dxa"/>
              <w:right w:w="110" w:type="dxa"/>
            </w:tcMar>
          </w:tcPr>
          <w:p>
            <w:pPr>
              <w:spacing w:before="0" w:after="0" w:line="276" w:lineRule="auto"/>
            </w:pPr>
            <w:r>
              <w:rPr>
                <w:b/>
              </w:rPr>
              <w:t xml:space="preserve">Geográfica</w:t>
            </w:r>
          </w:p>
        </w:tc>
        <w:tc>
          <w:tcPr>
            <w:tcW w:w="1650" w:type="dxa"/>
            <w:vAlign w:val="center"/>
            <w:tcMar>
              <w:top w:w="80" w:type="dxa"/>
              <w:bottom w:w="80" w:type="dxa"/>
              <w:left w:w="110" w:type="dxa"/>
              <w:right w:w="110" w:type="dxa"/>
            </w:tcMar>
          </w:tcPr>
          <w:p>
            <w:pPr>
              <w:spacing w:before="0" w:after="0" w:line="276" w:lineRule="auto"/>
              <w:jc w:val="center"/>
            </w:pPr>
            <w:r>
              <w:t xml:space="preserve">2</w:t>
            </w:r>
          </w:p>
        </w:tc>
        <w:tc>
          <w:tcPr>
            <w:tcW w:w="1650" w:type="dxa"/>
            <w:vAlign w:val="center"/>
            <w:tcMar>
              <w:top w:w="80" w:type="dxa"/>
              <w:bottom w:w="80" w:type="dxa"/>
              <w:left w:w="110" w:type="dxa"/>
              <w:right w:w="110" w:type="dxa"/>
            </w:tcMar>
          </w:tcPr>
          <w:p>
            <w:pPr>
              <w:spacing w:before="0" w:after="0" w:line="276" w:lineRule="auto"/>
              <w:jc w:val="center"/>
            </w:pPr>
            <w:r>
              <w:t xml:space="preserve">4</w:t>
            </w:r>
          </w:p>
        </w:tc>
        <w:tc>
          <w:tcPr>
            <w:tcW w:w="1650" w:type="dxa"/>
            <w:vAlign w:val="center"/>
            <w:tcMar>
              <w:top w:w="80" w:type="dxa"/>
              <w:bottom w:w="80" w:type="dxa"/>
              <w:left w:w="110" w:type="dxa"/>
              <w:right w:w="110" w:type="dxa"/>
            </w:tcMar>
          </w:tcPr>
          <w:p>
            <w:pPr>
              <w:spacing w:before="0" w:after="0" w:line="276" w:lineRule="auto"/>
              <w:jc w:val="center"/>
            </w:pPr>
            <w:r>
              <w:t xml:space="preserve">3</w:t>
            </w:r>
          </w:p>
        </w:tc>
        <w:tc>
          <w:tcPr>
            <w:tcW w:w="1650" w:type="dxa"/>
            <w:vAlign w:val="center"/>
            <w:tcMar>
              <w:top w:w="80" w:type="dxa"/>
              <w:bottom w:w="80" w:type="dxa"/>
              <w:left w:w="110" w:type="dxa"/>
              <w:right w:w="110" w:type="dxa"/>
            </w:tcMar>
          </w:tcPr>
          <w:p>
            <w:pPr>
              <w:spacing w:before="0" w:after="0" w:line="276" w:lineRule="auto"/>
              <w:jc w:val="center"/>
            </w:pPr>
            <w:r>
              <w:t xml:space="preserve">5</w:t>
            </w:r>
          </w:p>
        </w:tc>
      </w:tr>
      <w:tr>
        <w:trPr>
          <w:cantSplit/>
        </w:trPr>
        <w:tc>
          <w:tcPr>
            <w:tcW w:w="2470" w:type="dxa"/>
            <w:shd w:val="clear" w:color="auto" w:fill="F3F6F3"/>
            <w:vAlign w:val="center"/>
            <w:tcMar>
              <w:top w:w="80" w:type="dxa"/>
              <w:bottom w:w="80" w:type="dxa"/>
              <w:left w:w="110" w:type="dxa"/>
              <w:right w:w="110" w:type="dxa"/>
            </w:tcMar>
          </w:tcPr>
          <w:p>
            <w:pPr>
              <w:spacing w:before="0" w:after="0" w:line="276" w:lineRule="auto"/>
            </w:pPr>
            <w:r>
              <w:rPr>
                <w:b/>
              </w:rPr>
              <w:t xml:space="preserve">Económica</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3</w:t>
            </w:r>
          </w:p>
        </w:tc>
        <w:tc>
          <w:tcPr>
            <w:tcW w:w="165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r>
      <w:tr>
        <w:trPr>
          <w:cantSplit/>
        </w:trPr>
        <w:tc>
          <w:tcPr>
            <w:tcW w:w="2470" w:type="dxa"/>
            <w:vAlign w:val="center"/>
            <w:tcMar>
              <w:top w:w="80" w:type="dxa"/>
              <w:bottom w:w="80" w:type="dxa"/>
              <w:left w:w="110" w:type="dxa"/>
              <w:right w:w="110" w:type="dxa"/>
            </w:tcMar>
          </w:tcPr>
          <w:p>
            <w:pPr>
              <w:spacing w:before="0" w:after="0" w:line="276" w:lineRule="auto"/>
            </w:pPr>
            <w:r>
              <w:rPr>
                <w:b/>
              </w:rPr>
              <w:t xml:space="preserve">Distancia total</w:t>
            </w:r>
          </w:p>
        </w:tc>
        <w:tc>
          <w:tcPr>
            <w:tcW w:w="1650" w:type="dxa"/>
            <w:vAlign w:val="center"/>
            <w:tcMar>
              <w:top w:w="80" w:type="dxa"/>
              <w:bottom w:w="80" w:type="dxa"/>
              <w:left w:w="110" w:type="dxa"/>
              <w:right w:w="110" w:type="dxa"/>
            </w:tcMar>
          </w:tcPr>
          <w:p>
            <w:pPr>
              <w:spacing w:before="0" w:after="0" w:line="276" w:lineRule="auto"/>
              <w:jc w:val="center"/>
            </w:pPr>
            <w:r>
              <w:rPr>
                <w:b/>
                <w:color w:val="1B5E20"/>
              </w:rPr>
              <w:t xml:space="preserve">6</w:t>
            </w:r>
          </w:p>
        </w:tc>
        <w:tc>
          <w:tcPr>
            <w:tcW w:w="1650" w:type="dxa"/>
            <w:vAlign w:val="center"/>
            <w:tcMar>
              <w:top w:w="80" w:type="dxa"/>
              <w:bottom w:w="80" w:type="dxa"/>
              <w:left w:w="110" w:type="dxa"/>
              <w:right w:w="110" w:type="dxa"/>
            </w:tcMar>
          </w:tcPr>
          <w:p>
            <w:pPr>
              <w:spacing w:before="0" w:after="0" w:line="276" w:lineRule="auto"/>
              <w:jc w:val="center"/>
            </w:pPr>
            <w:r>
              <w:rPr>
                <w:b/>
              </w:rPr>
              <w:t xml:space="preserve">13</w:t>
            </w:r>
          </w:p>
        </w:tc>
        <w:tc>
          <w:tcPr>
            <w:tcW w:w="1650" w:type="dxa"/>
            <w:vAlign w:val="center"/>
            <w:tcMar>
              <w:top w:w="80" w:type="dxa"/>
              <w:bottom w:w="80" w:type="dxa"/>
              <w:left w:w="110" w:type="dxa"/>
              <w:right w:w="110" w:type="dxa"/>
            </w:tcMar>
          </w:tcPr>
          <w:p>
            <w:pPr>
              <w:spacing w:before="0" w:after="0" w:line="276" w:lineRule="auto"/>
              <w:jc w:val="center"/>
            </w:pPr>
            <w:r>
              <w:rPr>
                <w:b/>
              </w:rPr>
              <w:t xml:space="preserve">10</w:t>
            </w:r>
          </w:p>
        </w:tc>
        <w:tc>
          <w:tcPr>
            <w:tcW w:w="1650" w:type="dxa"/>
            <w:vAlign w:val="center"/>
            <w:tcMar>
              <w:top w:w="80" w:type="dxa"/>
              <w:bottom w:w="80" w:type="dxa"/>
              <w:left w:w="110" w:type="dxa"/>
              <w:right w:w="110" w:type="dxa"/>
            </w:tcMar>
          </w:tcPr>
          <w:p>
            <w:pPr>
              <w:spacing w:before="0" w:after="0" w:line="276" w:lineRule="auto"/>
              <w:jc w:val="center"/>
            </w:pPr>
            <w:r>
              <w:rPr>
                <w:b/>
                <w:color w:val="B3261E"/>
              </w:rPr>
              <w:t xml:space="preserve">15</w:t>
            </w:r>
          </w:p>
        </w:tc>
      </w:tr>
    </w:tbl>
    <w:p>
      <w:pPr>
        <w:spacing w:before="0" w:after="120" w:line="276" w:lineRule="auto"/>
      </w:pPr>
      <w:r>
        <w:t xml:space="preserve"/>
      </w:r>
    </w:p>
    <w:p>
      <w:pPr>
        <w:spacing w:before="0" w:after="200" w:line="276" w:lineRule="auto"/>
        <w:jc w:val="left"/>
      </w:pPr>
      <w:r>
        <w:rPr>
          <w:b/>
          <w:sz w:val="18"/>
        </w:rPr>
        <w:t xml:space="preserve">Tabla 3. </w:t>
      </w:r>
      <w:r>
        <w:rPr>
          <w:sz w:val="18"/>
        </w:rPr>
        <w:t xml:space="preserve">Matriz CAGE. Menor puntaje indica menor distancia y por tanto mayor facilidad de entrada.</w:t>
      </w:r>
    </w:p>
    <w:p>
      <w:pPr>
        <w:pStyle w:val="Heading3"/>
        <w:keepNext/>
        <w:spacing w:before="240" w:after="120" w:line="276" w:lineRule="auto"/>
      </w:pPr>
      <w:r>
        <w:t xml:space="preserve">Razonamiento de la matriz CAGE</w:t>
      </w:r>
    </w:p>
    <w:p>
      <w:pPr>
        <w:spacing w:before="0" w:after="60" w:line="276" w:lineRule="auto"/>
      </w:pPr>
      <w:r>
        <w:rPr>
          <w:b/>
        </w:rPr>
        <w:t xml:space="preserve">Dimensión cultural</w:t>
      </w:r>
    </w:p>
    <w:p>
      <w:pPr>
        <w:pStyle w:val="ListBullet"/>
        <w:spacing w:before="0" w:after="60" w:line="276" w:lineRule="auto"/>
        <w:ind w:left="360"/>
      </w:pPr>
      <w:r>
        <w:rPr>
          <w:b/>
        </w:rPr>
        <w:t xml:space="preserve">Uruguay (1): </w:t>
      </w:r>
      <w:r>
        <w:t xml:space="preserve">Español rioplatense, Cono Sur, normas de consumo y hábitos alimentarios muy próximos a los chilenos. Permite el mismo registro publicitario que Argentina.</w:t>
      </w:r>
    </w:p>
    <w:p>
      <w:pPr>
        <w:pStyle w:val="ListBullet"/>
        <w:spacing w:before="0" w:after="60" w:line="276" w:lineRule="auto"/>
        <w:ind w:left="360"/>
      </w:pPr>
      <w:r>
        <w:rPr>
          <w:b/>
        </w:rPr>
        <w:t xml:space="preserve">Paraguay (3): </w:t>
      </w:r>
      <w:r>
        <w:t xml:space="preserve">País bilingüe español–guaraní, con patrones de consumo distintos y menor exposición a categorías premium importadas.</w:t>
      </w:r>
    </w:p>
    <w:p>
      <w:pPr>
        <w:pStyle w:val="ListBullet"/>
        <w:spacing w:before="0" w:after="60" w:line="276" w:lineRule="auto"/>
        <w:ind w:left="360"/>
      </w:pPr>
      <w:r>
        <w:rPr>
          <w:b/>
        </w:rPr>
        <w:t xml:space="preserve">Colombia (2): </w:t>
      </w:r>
      <w:r>
        <w:t xml:space="preserve">Comparte idioma, pero la cultura andino-caribeña difiere de la del Cono Sur: referencias, humor y códigos de marca no se trasladan directamente.</w:t>
      </w:r>
    </w:p>
    <w:p>
      <w:pPr>
        <w:pStyle w:val="ListBullet"/>
        <w:spacing w:before="0" w:after="60" w:line="276" w:lineRule="auto"/>
        <w:ind w:left="360"/>
      </w:pPr>
      <w:r>
        <w:rPr>
          <w:b/>
        </w:rPr>
        <w:t xml:space="preserve">Estados Unidos (4): </w:t>
      </w:r>
      <w:r>
        <w:t xml:space="preserve">Idioma distinto y cultura de consumo propia. Compensación relevante: es el mercado donde la kombucha está más instalada, de modo que no hay que educar la categoría, solo diferenciar la marca.</w:t>
      </w:r>
    </w:p>
    <w:p>
      <w:pPr>
        <w:spacing w:before="0" w:after="60" w:line="276" w:lineRule="auto"/>
      </w:pPr>
      <w:r>
        <w:rPr>
          <w:b/>
        </w:rPr>
        <w:t xml:space="preserve">Dimensión administrativa</w:t>
      </w:r>
    </w:p>
    <w:p>
      <w:pPr>
        <w:pStyle w:val="ListBullet"/>
        <w:spacing w:before="0" w:after="60" w:line="276" w:lineRule="auto"/>
        <w:ind w:left="360"/>
      </w:pPr>
      <w:r>
        <w:rPr>
          <w:b/>
        </w:rPr>
        <w:t xml:space="preserve">Uruguay (1) [V]: </w:t>
      </w:r>
      <w:r>
        <w:t xml:space="preserve">Doble cobertura: ACE N° 35 (Chile–Mercosur), con desgravación completa y Zona de Libre Comercio ya configurada según el Ministerio de Economía y Finanzas uruguayo, más el Tratado de Libre Comercio bilateral ACE N° 73, suscrito en Montevideo el 4 de octubre de 2016, vigente internacionalmente desde el 13 de diciembre de 2018 y en Chile desde el 3 de abril de 2019. Es la situación más sólida de los cuatro mercados.</w:t>
      </w:r>
    </w:p>
    <w:p>
      <w:pPr>
        <w:pStyle w:val="ListBullet"/>
        <w:spacing w:before="0" w:after="60" w:line="276" w:lineRule="auto"/>
        <w:ind w:left="360"/>
      </w:pPr>
      <w:r>
        <w:rPr>
          <w:b/>
        </w:rPr>
        <w:t xml:space="preserve">Paraguay (2) [V]: </w:t>
      </w:r>
      <w:r>
        <w:t xml:space="preserve">Cubierto por el ACE N° 35 como miembro del Mercosur. Menor volumen de precedentes de importación en la categoría.</w:t>
      </w:r>
    </w:p>
    <w:p>
      <w:pPr>
        <w:pStyle w:val="ListBullet"/>
        <w:spacing w:before="0" w:after="60" w:line="276" w:lineRule="auto"/>
        <w:ind w:left="360"/>
      </w:pPr>
      <w:r>
        <w:rPr>
          <w:b/>
        </w:rPr>
        <w:t xml:space="preserve">Colombia (2) [V]: </w:t>
      </w:r>
      <w:r>
        <w:t xml:space="preserve">Alianza del Pacífico, con protocolo comercial vigente desde el 1 de mayo de 2016 y reglas de origen comunes a los cuatro países miembros.</w:t>
      </w:r>
    </w:p>
    <w:p>
      <w:pPr>
        <w:spacing w:before="120" w:after="120" w:line="276" w:lineRule="auto"/>
        <w:jc w:val="both"/>
      </w:pPr>
      <w:r>
        <w:rPr>
          <w:b/>
        </w:rPr>
        <w:t xml:space="preserve">Estados Unidos (4) </w:t>
      </w:r>
      <w:r>
        <w:rPr>
          <w:b/>
          <w:color w:val="1B5E20"/>
        </w:rPr>
        <w:t xml:space="preserve">[V]</w:t>
      </w:r>
      <w:r>
        <w:rPr>
          <w:b/>
        </w:rPr>
        <w:t xml:space="preserve">. </w:t>
      </w:r>
      <w:r>
        <w:t xml:space="preserve">Aquí está el hallazgo que más condiciona la decisión. Existe un Tratado de Libre Comercio Chile–Estados Unidos, pero </w:t>
      </w:r>
      <w:r>
        <w:rPr>
          <w:b/>
        </w:rPr>
        <w:t xml:space="preserve">desde el 24 de julio de 2026 Estados Unidos aplica una sobretasa arancelaria del 12,5 % a parte de las importaciones chilenas</w:t>
      </w:r>
      <w:r>
        <w:t xml:space="preserve">, en virtud de un Memorándum Presidencial firmado el 23 de julio de 2026. El fundamento invocado por la Oficina del Representante Comercial (USTR) es que Chile no habría implementado mecanismos eficaces para impedir el ingreso de bienes producidos con trabajo forzoso.</w:t>
      </w:r>
    </w:p>
    <w:p>
      <w:pPr>
        <w:spacing w:before="0" w:after="120" w:line="276" w:lineRule="auto"/>
        <w:jc w:val="both"/>
      </w:pPr>
      <w:r>
        <w:t xml:space="preserve">Según cifras de SUBREI difundidas en prensa </w:t>
      </w:r>
      <w:r>
        <w:rPr>
          <w:b/>
        </w:rPr>
        <w:t xml:space="preserve">[P]</w:t>
      </w:r>
      <w:r>
        <w:t xml:space="preserve">, el 53 % del valor exportado chileno continúa ingresando sin arancel, mientras cerca del 40 % enfrenta la sobretasa. Entre los productos afectados se cuentan salmón, frutas, vinos, maderas y carnes. Las negociaciones siguen abiertas y SUBREI ha descartado un retorno total al arancel cero.</w:t>
      </w:r>
    </w:p>
    <w:p>
      <w:pPr>
        <w:pStyle w:val="Quote"/>
        <w:spacing w:before="0" w:after="120" w:line="276" w:lineRule="auto"/>
        <w:jc w:val="both"/>
      </w:pPr>
      <w:r>
        <w:rPr>
          <w:b/>
          <w:color w:val="B3261E"/>
        </w:rPr>
        <w:t xml:space="preserve">Verificación crítica </w:t>
      </w:r>
      <w:r>
        <w:rPr>
          <w:b/>
          <w:color w:val="B3261E"/>
        </w:rPr>
        <w:t xml:space="preserve">[!]</w:t>
      </w:r>
      <w:r>
        <w:rPr>
          <w:b/>
          <w:color w:val="B3261E"/>
        </w:rPr>
        <w:t xml:space="preserve">. </w:t>
      </w:r>
      <w:r>
        <w:rPr>
          <w:b/>
        </w:rPr>
        <w:t xml:space="preserve">Debe determinarse si la partida 2202.99 se encuentra en el 40 % afectado o en el 53 % exento. De ello depende por completo la viabilidad de Estados Unidos como mercado, y no es un supuesto que pueda asumirse.</w:t>
      </w:r>
    </w:p>
    <w:p>
      <w:pPr>
        <w:spacing w:before="160" w:after="60" w:line="276" w:lineRule="auto"/>
      </w:pPr>
      <w:r>
        <w:rPr>
          <w:b/>
        </w:rPr>
        <w:t xml:space="preserve">Dimensión geográfica</w:t>
      </w:r>
    </w:p>
    <w:p>
      <w:pPr>
        <w:pStyle w:val="ListBullet"/>
        <w:spacing w:before="0" w:after="60" w:line="276" w:lineRule="auto"/>
        <w:ind w:left="360"/>
      </w:pPr>
      <w:r>
        <w:rPr>
          <w:b/>
        </w:rPr>
        <w:t xml:space="preserve">Uruguay (2): </w:t>
      </w:r>
      <w:r>
        <w:t xml:space="preserve">Sin frontera con Chile, pero tránsito corto: vía terrestre cruzando Argentina o vía marítima. Mercado concentrado en Montevideo.</w:t>
      </w:r>
    </w:p>
    <w:p>
      <w:pPr>
        <w:pStyle w:val="ListBullet"/>
        <w:spacing w:before="0" w:after="60" w:line="276" w:lineRule="auto"/>
        <w:ind w:left="360"/>
      </w:pPr>
      <w:r>
        <w:rPr>
          <w:b/>
        </w:rPr>
        <w:t xml:space="preserve">Paraguay (4): </w:t>
      </w:r>
      <w:r>
        <w:t xml:space="preserve">País sin salida al mar. Obliga a tránsito terrestre por Argentina o Brasil con un cruce de frontera adicional, lo que suma costo, tiempo y exposición de la carga.</w:t>
      </w:r>
    </w:p>
    <w:p>
      <w:pPr>
        <w:pStyle w:val="ListBullet"/>
        <w:spacing w:before="0" w:after="60" w:line="276" w:lineRule="auto"/>
        <w:ind w:left="360"/>
      </w:pPr>
      <w:r>
        <w:rPr>
          <w:b/>
        </w:rPr>
        <w:t xml:space="preserve">Colombia (3): </w:t>
      </w:r>
      <w:r>
        <w:t xml:space="preserve">Ruta marítima por el Pacífico sin cruzar el continente, aunque con tránsito prolongado.</w:t>
      </w:r>
    </w:p>
    <w:p>
      <w:pPr>
        <w:pStyle w:val="ListBullet"/>
        <w:spacing w:before="0" w:after="60" w:line="276" w:lineRule="auto"/>
        <w:ind w:left="360"/>
      </w:pPr>
      <w:r>
        <w:rPr>
          <w:b/>
        </w:rPr>
        <w:t xml:space="preserve">Estados Unidos (5): </w:t>
      </w:r>
      <w:r>
        <w:t xml:space="preserve">Máxima distancia física. Resulta crítico para un producto líquido, pesado respecto de su valor y fermentado: el flete puede consumir el margen y la vida útil condiciona la ruta.</w:t>
      </w:r>
    </w:p>
    <w:p>
      <w:pPr>
        <w:spacing w:before="160" w:after="60" w:line="276" w:lineRule="auto"/>
      </w:pPr>
      <w:r>
        <w:rPr>
          <w:b/>
        </w:rPr>
        <w:t xml:space="preserve">Dimensión económica</w:t>
      </w:r>
    </w:p>
    <w:p>
      <w:pPr>
        <w:pStyle w:val="ListBullet"/>
        <w:spacing w:before="0" w:after="60" w:line="276" w:lineRule="auto"/>
        <w:ind w:left="360"/>
      </w:pPr>
      <w:r>
        <w:rPr>
          <w:b/>
        </w:rPr>
        <w:t xml:space="preserve">Uruguay (2): </w:t>
      </w:r>
      <w:r>
        <w:t xml:space="preserve">Ingreso por habitante alto en el contexto regional y consumidor receptivo a producto premium importado.</w:t>
      </w:r>
    </w:p>
    <w:p>
      <w:pPr>
        <w:pStyle w:val="ListBullet"/>
        <w:spacing w:before="0" w:after="60" w:line="276" w:lineRule="auto"/>
        <w:ind w:left="360"/>
      </w:pPr>
      <w:r>
        <w:rPr>
          <w:b/>
        </w:rPr>
        <w:t xml:space="preserve">Paraguay (4): </w:t>
      </w:r>
      <w:r>
        <w:t xml:space="preserve">Menor poder de compra relativo en el segmento premium, que es precisamente el de Pinda.</w:t>
      </w:r>
    </w:p>
    <w:p>
      <w:pPr>
        <w:pStyle w:val="ListBullet"/>
        <w:spacing w:before="0" w:after="60" w:line="276" w:lineRule="auto"/>
        <w:ind w:left="360"/>
      </w:pPr>
      <w:r>
        <w:rPr>
          <w:b/>
        </w:rPr>
        <w:t xml:space="preserve">Colombia (3): </w:t>
      </w:r>
      <w:r>
        <w:t xml:space="preserve">Clase media urbana en crecimiento, con mayor sensibilidad al precio.</w:t>
      </w:r>
    </w:p>
    <w:p>
      <w:pPr>
        <w:pStyle w:val="ListBullet"/>
        <w:spacing w:before="0" w:after="60" w:line="276" w:lineRule="auto"/>
        <w:ind w:left="360"/>
      </w:pPr>
      <w:r>
        <w:rPr>
          <w:b/>
        </w:rPr>
        <w:t xml:space="preserve">Estados Unidos (2): </w:t>
      </w:r>
      <w:r>
        <w:t xml:space="preserve">Alto poder de compra. La distancia económica opera a favor: es el argumento de arbitraje que plantea el modelo.</w:t>
      </w:r>
    </w:p>
    <w:p>
      <w:pPr>
        <w:pStyle w:val="Heading3"/>
        <w:keepNext/>
        <w:spacing w:before="240" w:after="120" w:line="276" w:lineRule="auto"/>
      </w:pPr>
      <w:r>
        <w:t xml:space="preserve">Modelo Papadopoulos: índice ponderado de atractivo</w:t>
      </w:r>
    </w:p>
    <w:p>
      <w:pPr>
        <w:spacing w:before="0" w:after="120" w:line="276" w:lineRule="auto"/>
        <w:jc w:val="both"/>
      </w:pPr>
      <w:r>
        <w:t xml:space="preserve">Donde CAGE mide distancia, el modelo de Papadopoulos estima atractivo comercial. Se aplica como índice ponderado sobre las variables indicadas en la asignatura. Escala de 1 (muy desfavorable) a 5 (muy favorable); las ponderaciones suman 100 % y se justifican en la última columna.</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2250"/>
        <w:gridCol w:w="620"/>
        <w:gridCol w:w="480"/>
        <w:gridCol w:w="480"/>
        <w:gridCol w:w="480"/>
        <w:gridCol w:w="480"/>
        <w:gridCol w:w="4280"/>
      </w:tblGrid>
      <w:tr>
        <w:trPr>
          <w:tblHeader/>
          <w:cantSplit/>
        </w:trPr>
        <w:tc>
          <w:tcPr>
            <w:tcW w:w="22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Variable</w:t>
            </w:r>
          </w:p>
        </w:tc>
        <w:tc>
          <w:tcPr>
            <w:tcW w:w="62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Peso</w:t>
            </w:r>
          </w:p>
        </w:tc>
        <w:tc>
          <w:tcPr>
            <w:tcW w:w="48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UY</w:t>
            </w:r>
          </w:p>
        </w:tc>
        <w:tc>
          <w:tcPr>
            <w:tcW w:w="48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PY</w:t>
            </w:r>
          </w:p>
        </w:tc>
        <w:tc>
          <w:tcPr>
            <w:tcW w:w="48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CO</w:t>
            </w:r>
          </w:p>
        </w:tc>
        <w:tc>
          <w:tcPr>
            <w:tcW w:w="48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US</w:t>
            </w:r>
          </w:p>
        </w:tc>
        <w:tc>
          <w:tcPr>
            <w:tcW w:w="428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Justificación del peso</w:t>
            </w:r>
          </w:p>
        </w:tc>
      </w:tr>
      <w:tr>
        <w:trPr>
          <w:cantSplit/>
        </w:trPr>
        <w:tc>
          <w:tcPr>
            <w:tcW w:w="2250" w:type="dxa"/>
            <w:vAlign w:val="center"/>
            <w:tcMar>
              <w:top w:w="80" w:type="dxa"/>
              <w:bottom w:w="80" w:type="dxa"/>
              <w:left w:w="110" w:type="dxa"/>
              <w:right w:w="110" w:type="dxa"/>
            </w:tcMar>
          </w:tcPr>
          <w:p>
            <w:pPr>
              <w:spacing w:before="0" w:after="0" w:line="276" w:lineRule="auto"/>
            </w:pPr>
            <w:r>
              <w:t xml:space="preserve">Demanda potencial (tamaño)</w:t>
            </w:r>
          </w:p>
        </w:tc>
        <w:tc>
          <w:tcPr>
            <w:tcW w:w="620" w:type="dxa"/>
            <w:vAlign w:val="center"/>
            <w:tcMar>
              <w:top w:w="80" w:type="dxa"/>
              <w:bottom w:w="80" w:type="dxa"/>
              <w:left w:w="110" w:type="dxa"/>
              <w:right w:w="110" w:type="dxa"/>
            </w:tcMar>
          </w:tcPr>
          <w:p>
            <w:pPr>
              <w:spacing w:before="0" w:after="0" w:line="276" w:lineRule="auto"/>
              <w:jc w:val="center"/>
            </w:pPr>
            <w:r>
              <w:t xml:space="preserve">20 %</w:t>
            </w:r>
          </w:p>
        </w:tc>
        <w:tc>
          <w:tcPr>
            <w:tcW w:w="480" w:type="dxa"/>
            <w:vAlign w:val="center"/>
            <w:tcMar>
              <w:top w:w="80" w:type="dxa"/>
              <w:bottom w:w="80" w:type="dxa"/>
              <w:left w:w="110" w:type="dxa"/>
              <w:right w:w="110" w:type="dxa"/>
            </w:tcMar>
          </w:tcPr>
          <w:p>
            <w:pPr>
              <w:spacing w:before="0" w:after="0" w:line="276" w:lineRule="auto"/>
              <w:jc w:val="center"/>
            </w:pPr>
            <w:r>
              <w:t xml:space="preserve">1</w:t>
            </w:r>
          </w:p>
        </w:tc>
        <w:tc>
          <w:tcPr>
            <w:tcW w:w="480" w:type="dxa"/>
            <w:vAlign w:val="center"/>
            <w:tcMar>
              <w:top w:w="80" w:type="dxa"/>
              <w:bottom w:w="80" w:type="dxa"/>
              <w:left w:w="110" w:type="dxa"/>
              <w:right w:w="110" w:type="dxa"/>
            </w:tcMar>
          </w:tcPr>
          <w:p>
            <w:pPr>
              <w:spacing w:before="0" w:after="0" w:line="276" w:lineRule="auto"/>
              <w:jc w:val="center"/>
            </w:pPr>
            <w:r>
              <w:t xml:space="preserve">2</w:t>
            </w:r>
          </w:p>
        </w:tc>
        <w:tc>
          <w:tcPr>
            <w:tcW w:w="480" w:type="dxa"/>
            <w:vAlign w:val="center"/>
            <w:tcMar>
              <w:top w:w="80" w:type="dxa"/>
              <w:bottom w:w="80" w:type="dxa"/>
              <w:left w:w="110" w:type="dxa"/>
              <w:right w:w="110" w:type="dxa"/>
            </w:tcMar>
          </w:tcPr>
          <w:p>
            <w:pPr>
              <w:spacing w:before="0" w:after="0" w:line="276" w:lineRule="auto"/>
              <w:jc w:val="center"/>
            </w:pPr>
            <w:r>
              <w:t xml:space="preserve">4</w:t>
            </w:r>
          </w:p>
        </w:tc>
        <w:tc>
          <w:tcPr>
            <w:tcW w:w="480" w:type="dxa"/>
            <w:vAlign w:val="center"/>
            <w:tcMar>
              <w:top w:w="80" w:type="dxa"/>
              <w:bottom w:w="80" w:type="dxa"/>
              <w:left w:w="110" w:type="dxa"/>
              <w:right w:w="110" w:type="dxa"/>
            </w:tcMar>
          </w:tcPr>
          <w:p>
            <w:pPr>
              <w:spacing w:before="0" w:after="0" w:line="276" w:lineRule="auto"/>
              <w:jc w:val="center"/>
            </w:pPr>
            <w:r>
              <w:t xml:space="preserve">5</w:t>
            </w:r>
          </w:p>
        </w:tc>
        <w:tc>
          <w:tcPr>
            <w:tcW w:w="4280" w:type="dxa"/>
            <w:vAlign w:val="center"/>
            <w:tcMar>
              <w:top w:w="80" w:type="dxa"/>
              <w:bottom w:w="80" w:type="dxa"/>
              <w:left w:w="110" w:type="dxa"/>
              <w:right w:w="110" w:type="dxa"/>
            </w:tcMar>
          </w:tcPr>
          <w:p>
            <w:pPr>
              <w:spacing w:before="0" w:after="0" w:line="276" w:lineRule="auto"/>
            </w:pPr>
            <w:r>
              <w:t xml:space="preserve">Determina el techo de volumen alcanzable</w:t>
            </w:r>
          </w:p>
        </w:tc>
      </w:tr>
      <w:tr>
        <w:trPr>
          <w:cantSplit/>
        </w:trPr>
        <w:tc>
          <w:tcPr>
            <w:tcW w:w="2250" w:type="dxa"/>
            <w:shd w:val="clear" w:color="auto" w:fill="F3F6F3"/>
            <w:vAlign w:val="center"/>
            <w:tcMar>
              <w:top w:w="80" w:type="dxa"/>
              <w:bottom w:w="80" w:type="dxa"/>
              <w:left w:w="110" w:type="dxa"/>
              <w:right w:w="110" w:type="dxa"/>
            </w:tcMar>
          </w:tcPr>
          <w:p>
            <w:pPr>
              <w:spacing w:before="0" w:after="0" w:line="276" w:lineRule="auto"/>
            </w:pPr>
            <w:r>
              <w:t xml:space="preserve">Consumo estimado de la categoría</w:t>
            </w:r>
          </w:p>
        </w:tc>
        <w:tc>
          <w:tcPr>
            <w:tcW w:w="620" w:type="dxa"/>
            <w:shd w:val="clear" w:color="auto" w:fill="F3F6F3"/>
            <w:vAlign w:val="center"/>
            <w:tcMar>
              <w:top w:w="80" w:type="dxa"/>
              <w:bottom w:w="80" w:type="dxa"/>
              <w:left w:w="110" w:type="dxa"/>
              <w:right w:w="110" w:type="dxa"/>
            </w:tcMar>
          </w:tcPr>
          <w:p>
            <w:pPr>
              <w:spacing w:before="0" w:after="0" w:line="276" w:lineRule="auto"/>
              <w:jc w:val="center"/>
            </w:pPr>
            <w:r>
              <w:t xml:space="preserve">15 %</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3</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3</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5</w:t>
            </w:r>
          </w:p>
        </w:tc>
        <w:tc>
          <w:tcPr>
            <w:tcW w:w="4280" w:type="dxa"/>
            <w:shd w:val="clear" w:color="auto" w:fill="F3F6F3"/>
            <w:vAlign w:val="center"/>
            <w:tcMar>
              <w:top w:w="80" w:type="dxa"/>
              <w:bottom w:w="80" w:type="dxa"/>
              <w:left w:w="110" w:type="dxa"/>
              <w:right w:w="110" w:type="dxa"/>
            </w:tcMar>
          </w:tcPr>
          <w:p>
            <w:pPr>
              <w:spacing w:before="0" w:after="0" w:line="276" w:lineRule="auto"/>
            </w:pPr>
            <w:r>
              <w:t xml:space="preserve">Mide si hay que educar el mercado</w:t>
            </w:r>
          </w:p>
        </w:tc>
      </w:tr>
      <w:tr>
        <w:trPr>
          <w:cantSplit/>
        </w:trPr>
        <w:tc>
          <w:tcPr>
            <w:tcW w:w="2250" w:type="dxa"/>
            <w:vAlign w:val="center"/>
            <w:tcMar>
              <w:top w:w="80" w:type="dxa"/>
              <w:bottom w:w="80" w:type="dxa"/>
              <w:left w:w="110" w:type="dxa"/>
              <w:right w:w="110" w:type="dxa"/>
            </w:tcMar>
          </w:tcPr>
          <w:p>
            <w:pPr>
              <w:spacing w:before="0" w:after="0" w:line="276" w:lineRule="auto"/>
            </w:pPr>
            <w:r>
              <w:t xml:space="preserve">Penetración de importaciones</w:t>
            </w:r>
          </w:p>
        </w:tc>
        <w:tc>
          <w:tcPr>
            <w:tcW w:w="620" w:type="dxa"/>
            <w:vAlign w:val="center"/>
            <w:tcMar>
              <w:top w:w="80" w:type="dxa"/>
              <w:bottom w:w="80" w:type="dxa"/>
              <w:left w:w="110" w:type="dxa"/>
              <w:right w:w="110" w:type="dxa"/>
            </w:tcMar>
          </w:tcPr>
          <w:p>
            <w:pPr>
              <w:spacing w:before="0" w:after="0" w:line="276" w:lineRule="auto"/>
              <w:jc w:val="center"/>
            </w:pPr>
            <w:r>
              <w:t xml:space="preserve">15 %</w:t>
            </w:r>
          </w:p>
        </w:tc>
        <w:tc>
          <w:tcPr>
            <w:tcW w:w="480" w:type="dxa"/>
            <w:vAlign w:val="center"/>
            <w:tcMar>
              <w:top w:w="80" w:type="dxa"/>
              <w:bottom w:w="80" w:type="dxa"/>
              <w:left w:w="110" w:type="dxa"/>
              <w:right w:w="110" w:type="dxa"/>
            </w:tcMar>
          </w:tcPr>
          <w:p>
            <w:pPr>
              <w:spacing w:before="0" w:after="0" w:line="276" w:lineRule="auto"/>
              <w:jc w:val="center"/>
            </w:pPr>
            <w:r>
              <w:t xml:space="preserve">4</w:t>
            </w:r>
          </w:p>
        </w:tc>
        <w:tc>
          <w:tcPr>
            <w:tcW w:w="480" w:type="dxa"/>
            <w:vAlign w:val="center"/>
            <w:tcMar>
              <w:top w:w="80" w:type="dxa"/>
              <w:bottom w:w="80" w:type="dxa"/>
              <w:left w:w="110" w:type="dxa"/>
              <w:right w:w="110" w:type="dxa"/>
            </w:tcMar>
          </w:tcPr>
          <w:p>
            <w:pPr>
              <w:spacing w:before="0" w:after="0" w:line="276" w:lineRule="auto"/>
              <w:jc w:val="center"/>
            </w:pPr>
            <w:r>
              <w:t xml:space="preserve">3</w:t>
            </w:r>
          </w:p>
        </w:tc>
        <w:tc>
          <w:tcPr>
            <w:tcW w:w="480" w:type="dxa"/>
            <w:vAlign w:val="center"/>
            <w:tcMar>
              <w:top w:w="80" w:type="dxa"/>
              <w:bottom w:w="80" w:type="dxa"/>
              <w:left w:w="110" w:type="dxa"/>
              <w:right w:w="110" w:type="dxa"/>
            </w:tcMar>
          </w:tcPr>
          <w:p>
            <w:pPr>
              <w:spacing w:before="0" w:after="0" w:line="276" w:lineRule="auto"/>
              <w:jc w:val="center"/>
            </w:pPr>
            <w:r>
              <w:t xml:space="preserve">3</w:t>
            </w:r>
          </w:p>
        </w:tc>
        <w:tc>
          <w:tcPr>
            <w:tcW w:w="480" w:type="dxa"/>
            <w:vAlign w:val="center"/>
            <w:tcMar>
              <w:top w:w="80" w:type="dxa"/>
              <w:bottom w:w="80" w:type="dxa"/>
              <w:left w:w="110" w:type="dxa"/>
              <w:right w:w="110" w:type="dxa"/>
            </w:tcMar>
          </w:tcPr>
          <w:p>
            <w:pPr>
              <w:spacing w:before="0" w:after="0" w:line="276" w:lineRule="auto"/>
              <w:jc w:val="center"/>
            </w:pPr>
            <w:r>
              <w:t xml:space="preserve">4</w:t>
            </w:r>
          </w:p>
        </w:tc>
        <w:tc>
          <w:tcPr>
            <w:tcW w:w="4280" w:type="dxa"/>
            <w:vAlign w:val="center"/>
            <w:tcMar>
              <w:top w:w="80" w:type="dxa"/>
              <w:bottom w:w="80" w:type="dxa"/>
              <w:left w:w="110" w:type="dxa"/>
              <w:right w:w="110" w:type="dxa"/>
            </w:tcMar>
          </w:tcPr>
          <w:p>
            <w:pPr>
              <w:spacing w:before="0" w:after="0" w:line="276" w:lineRule="auto"/>
            </w:pPr>
            <w:r>
              <w:t xml:space="preserve">Indica apertura real a producto importado</w:t>
            </w:r>
          </w:p>
        </w:tc>
      </w:tr>
      <w:tr>
        <w:trPr>
          <w:cantSplit/>
        </w:trPr>
        <w:tc>
          <w:tcPr>
            <w:tcW w:w="2250" w:type="dxa"/>
            <w:shd w:val="clear" w:color="auto" w:fill="F3F6F3"/>
            <w:vAlign w:val="center"/>
            <w:tcMar>
              <w:top w:w="80" w:type="dxa"/>
              <w:bottom w:w="80" w:type="dxa"/>
              <w:left w:w="110" w:type="dxa"/>
              <w:right w:w="110" w:type="dxa"/>
            </w:tcMar>
          </w:tcPr>
          <w:p>
            <w:pPr>
              <w:spacing w:before="0" w:after="0" w:line="276" w:lineRule="auto"/>
            </w:pPr>
            <w:r>
              <w:t xml:space="preserve">Ventajas de origen</w:t>
            </w:r>
          </w:p>
        </w:tc>
        <w:tc>
          <w:tcPr>
            <w:tcW w:w="620" w:type="dxa"/>
            <w:shd w:val="clear" w:color="auto" w:fill="F3F6F3"/>
            <w:vAlign w:val="center"/>
            <w:tcMar>
              <w:top w:w="80" w:type="dxa"/>
              <w:bottom w:w="80" w:type="dxa"/>
              <w:left w:w="110" w:type="dxa"/>
              <w:right w:w="110" w:type="dxa"/>
            </w:tcMar>
          </w:tcPr>
          <w:p>
            <w:pPr>
              <w:spacing w:before="0" w:after="0" w:line="276" w:lineRule="auto"/>
              <w:jc w:val="center"/>
            </w:pPr>
            <w:r>
              <w:t xml:space="preserve">15 %</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3</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5</w:t>
            </w:r>
          </w:p>
        </w:tc>
        <w:tc>
          <w:tcPr>
            <w:tcW w:w="4280" w:type="dxa"/>
            <w:shd w:val="clear" w:color="auto" w:fill="F3F6F3"/>
            <w:vAlign w:val="center"/>
            <w:tcMar>
              <w:top w:w="80" w:type="dxa"/>
              <w:bottom w:w="80" w:type="dxa"/>
              <w:left w:w="110" w:type="dxa"/>
              <w:right w:w="110" w:type="dxa"/>
            </w:tcMar>
          </w:tcPr>
          <w:p>
            <w:pPr>
              <w:spacing w:before="0" w:after="0" w:line="276" w:lineRule="auto"/>
            </w:pPr>
            <w:r>
              <w:t xml:space="preserve">Es el activo central de Pinda</w:t>
            </w:r>
          </w:p>
        </w:tc>
      </w:tr>
      <w:tr>
        <w:trPr>
          <w:cantSplit/>
        </w:trPr>
        <w:tc>
          <w:tcPr>
            <w:tcW w:w="2250" w:type="dxa"/>
            <w:vAlign w:val="center"/>
            <w:tcMar>
              <w:top w:w="80" w:type="dxa"/>
              <w:bottom w:w="80" w:type="dxa"/>
              <w:left w:w="110" w:type="dxa"/>
              <w:right w:w="110" w:type="dxa"/>
            </w:tcMar>
          </w:tcPr>
          <w:p>
            <w:pPr>
              <w:spacing w:before="0" w:after="0" w:line="276" w:lineRule="auto"/>
            </w:pPr>
            <w:r>
              <w:t xml:space="preserve">Similitud de mercado</w:t>
            </w:r>
          </w:p>
        </w:tc>
        <w:tc>
          <w:tcPr>
            <w:tcW w:w="620" w:type="dxa"/>
            <w:vAlign w:val="center"/>
            <w:tcMar>
              <w:top w:w="80" w:type="dxa"/>
              <w:bottom w:w="80" w:type="dxa"/>
              <w:left w:w="110" w:type="dxa"/>
              <w:right w:w="110" w:type="dxa"/>
            </w:tcMar>
          </w:tcPr>
          <w:p>
            <w:pPr>
              <w:spacing w:before="0" w:after="0" w:line="276" w:lineRule="auto"/>
              <w:jc w:val="center"/>
            </w:pPr>
            <w:r>
              <w:t xml:space="preserve">10 %</w:t>
            </w:r>
          </w:p>
        </w:tc>
        <w:tc>
          <w:tcPr>
            <w:tcW w:w="480" w:type="dxa"/>
            <w:vAlign w:val="center"/>
            <w:tcMar>
              <w:top w:w="80" w:type="dxa"/>
              <w:bottom w:w="80" w:type="dxa"/>
              <w:left w:w="110" w:type="dxa"/>
              <w:right w:w="110" w:type="dxa"/>
            </w:tcMar>
          </w:tcPr>
          <w:p>
            <w:pPr>
              <w:spacing w:before="0" w:after="0" w:line="276" w:lineRule="auto"/>
              <w:jc w:val="center"/>
            </w:pPr>
            <w:r>
              <w:t xml:space="preserve">5</w:t>
            </w:r>
          </w:p>
        </w:tc>
        <w:tc>
          <w:tcPr>
            <w:tcW w:w="480" w:type="dxa"/>
            <w:vAlign w:val="center"/>
            <w:tcMar>
              <w:top w:w="80" w:type="dxa"/>
              <w:bottom w:w="80" w:type="dxa"/>
              <w:left w:w="110" w:type="dxa"/>
              <w:right w:w="110" w:type="dxa"/>
            </w:tcMar>
          </w:tcPr>
          <w:p>
            <w:pPr>
              <w:spacing w:before="0" w:after="0" w:line="276" w:lineRule="auto"/>
              <w:jc w:val="center"/>
            </w:pPr>
            <w:r>
              <w:t xml:space="preserve">3</w:t>
            </w:r>
          </w:p>
        </w:tc>
        <w:tc>
          <w:tcPr>
            <w:tcW w:w="480" w:type="dxa"/>
            <w:vAlign w:val="center"/>
            <w:tcMar>
              <w:top w:w="80" w:type="dxa"/>
              <w:bottom w:w="80" w:type="dxa"/>
              <w:left w:w="110" w:type="dxa"/>
              <w:right w:w="110" w:type="dxa"/>
            </w:tcMar>
          </w:tcPr>
          <w:p>
            <w:pPr>
              <w:spacing w:before="0" w:after="0" w:line="276" w:lineRule="auto"/>
              <w:jc w:val="center"/>
            </w:pPr>
            <w:r>
              <w:t xml:space="preserve">3</w:t>
            </w:r>
          </w:p>
        </w:tc>
        <w:tc>
          <w:tcPr>
            <w:tcW w:w="480" w:type="dxa"/>
            <w:vAlign w:val="center"/>
            <w:tcMar>
              <w:top w:w="80" w:type="dxa"/>
              <w:bottom w:w="80" w:type="dxa"/>
              <w:left w:w="110" w:type="dxa"/>
              <w:right w:w="110" w:type="dxa"/>
            </w:tcMar>
          </w:tcPr>
          <w:p>
            <w:pPr>
              <w:spacing w:before="0" w:after="0" w:line="276" w:lineRule="auto"/>
              <w:jc w:val="center"/>
            </w:pPr>
            <w:r>
              <w:t xml:space="preserve">2</w:t>
            </w:r>
          </w:p>
        </w:tc>
        <w:tc>
          <w:tcPr>
            <w:tcW w:w="4280" w:type="dxa"/>
            <w:vAlign w:val="center"/>
            <w:tcMar>
              <w:top w:w="80" w:type="dxa"/>
              <w:bottom w:w="80" w:type="dxa"/>
              <w:left w:w="110" w:type="dxa"/>
              <w:right w:w="110" w:type="dxa"/>
            </w:tcMar>
          </w:tcPr>
          <w:p>
            <w:pPr>
              <w:spacing w:before="0" w:after="0" w:line="276" w:lineRule="auto"/>
            </w:pPr>
            <w:r>
              <w:t xml:space="preserve">Reduce el costo de adaptación</w:t>
            </w:r>
          </w:p>
        </w:tc>
      </w:tr>
      <w:tr>
        <w:trPr>
          <w:cantSplit/>
        </w:trPr>
        <w:tc>
          <w:tcPr>
            <w:tcW w:w="2250" w:type="dxa"/>
            <w:shd w:val="clear" w:color="auto" w:fill="F3F6F3"/>
            <w:vAlign w:val="center"/>
            <w:tcMar>
              <w:top w:w="80" w:type="dxa"/>
              <w:bottom w:w="80" w:type="dxa"/>
              <w:left w:w="110" w:type="dxa"/>
              <w:right w:w="110" w:type="dxa"/>
            </w:tcMar>
          </w:tcPr>
          <w:p>
            <w:pPr>
              <w:spacing w:before="0" w:after="0" w:line="276" w:lineRule="auto"/>
            </w:pPr>
            <w:r>
              <w:t xml:space="preserve">Barreras arancelarias</w:t>
            </w:r>
          </w:p>
        </w:tc>
        <w:tc>
          <w:tcPr>
            <w:tcW w:w="620" w:type="dxa"/>
            <w:shd w:val="clear" w:color="auto" w:fill="F3F6F3"/>
            <w:vAlign w:val="center"/>
            <w:tcMar>
              <w:top w:w="80" w:type="dxa"/>
              <w:bottom w:w="80" w:type="dxa"/>
              <w:left w:w="110" w:type="dxa"/>
              <w:right w:w="110" w:type="dxa"/>
            </w:tcMar>
          </w:tcPr>
          <w:p>
            <w:pPr>
              <w:spacing w:before="0" w:after="0" w:line="276" w:lineRule="auto"/>
              <w:jc w:val="center"/>
            </w:pPr>
            <w:r>
              <w:t xml:space="preserve">10 %</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5</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2</w:t>
            </w:r>
          </w:p>
        </w:tc>
        <w:tc>
          <w:tcPr>
            <w:tcW w:w="4280" w:type="dxa"/>
            <w:shd w:val="clear" w:color="auto" w:fill="F3F6F3"/>
            <w:vAlign w:val="center"/>
            <w:tcMar>
              <w:top w:w="80" w:type="dxa"/>
              <w:bottom w:w="80" w:type="dxa"/>
              <w:left w:w="110" w:type="dxa"/>
              <w:right w:w="110" w:type="dxa"/>
            </w:tcMar>
          </w:tcPr>
          <w:p>
            <w:pPr>
              <w:spacing w:before="0" w:after="0" w:line="276" w:lineRule="auto"/>
            </w:pPr>
            <w:r>
              <w:t xml:space="preserve">Castigado en EE.UU. por la sobretasa</w:t>
            </w:r>
          </w:p>
        </w:tc>
      </w:tr>
      <w:tr>
        <w:trPr>
          <w:cantSplit/>
        </w:trPr>
        <w:tc>
          <w:tcPr>
            <w:tcW w:w="2250" w:type="dxa"/>
            <w:vAlign w:val="center"/>
            <w:tcMar>
              <w:top w:w="80" w:type="dxa"/>
              <w:bottom w:w="80" w:type="dxa"/>
              <w:left w:w="110" w:type="dxa"/>
              <w:right w:w="110" w:type="dxa"/>
            </w:tcMar>
          </w:tcPr>
          <w:p>
            <w:pPr>
              <w:spacing w:before="0" w:after="0" w:line="276" w:lineRule="auto"/>
            </w:pPr>
            <w:r>
              <w:t xml:space="preserve">Barreras no arancelarias</w:t>
            </w:r>
          </w:p>
        </w:tc>
        <w:tc>
          <w:tcPr>
            <w:tcW w:w="620" w:type="dxa"/>
            <w:vAlign w:val="center"/>
            <w:tcMar>
              <w:top w:w="80" w:type="dxa"/>
              <w:bottom w:w="80" w:type="dxa"/>
              <w:left w:w="110" w:type="dxa"/>
              <w:right w:w="110" w:type="dxa"/>
            </w:tcMar>
          </w:tcPr>
          <w:p>
            <w:pPr>
              <w:spacing w:before="0" w:after="0" w:line="276" w:lineRule="auto"/>
              <w:jc w:val="center"/>
            </w:pPr>
            <w:r>
              <w:t xml:space="preserve">10 %</w:t>
            </w:r>
          </w:p>
        </w:tc>
        <w:tc>
          <w:tcPr>
            <w:tcW w:w="480" w:type="dxa"/>
            <w:vAlign w:val="center"/>
            <w:tcMar>
              <w:top w:w="80" w:type="dxa"/>
              <w:bottom w:w="80" w:type="dxa"/>
              <w:left w:w="110" w:type="dxa"/>
              <w:right w:w="110" w:type="dxa"/>
            </w:tcMar>
          </w:tcPr>
          <w:p>
            <w:pPr>
              <w:spacing w:before="0" w:after="0" w:line="276" w:lineRule="auto"/>
              <w:jc w:val="center"/>
            </w:pPr>
            <w:r>
              <w:t xml:space="preserve">3</w:t>
            </w:r>
          </w:p>
        </w:tc>
        <w:tc>
          <w:tcPr>
            <w:tcW w:w="480" w:type="dxa"/>
            <w:vAlign w:val="center"/>
            <w:tcMar>
              <w:top w:w="80" w:type="dxa"/>
              <w:bottom w:w="80" w:type="dxa"/>
              <w:left w:w="110" w:type="dxa"/>
              <w:right w:w="110" w:type="dxa"/>
            </w:tcMar>
          </w:tcPr>
          <w:p>
            <w:pPr>
              <w:spacing w:before="0" w:after="0" w:line="276" w:lineRule="auto"/>
              <w:jc w:val="center"/>
            </w:pPr>
            <w:r>
              <w:t xml:space="preserve">2</w:t>
            </w:r>
          </w:p>
        </w:tc>
        <w:tc>
          <w:tcPr>
            <w:tcW w:w="480" w:type="dxa"/>
            <w:vAlign w:val="center"/>
            <w:tcMar>
              <w:top w:w="80" w:type="dxa"/>
              <w:bottom w:w="80" w:type="dxa"/>
              <w:left w:w="110" w:type="dxa"/>
              <w:right w:w="110" w:type="dxa"/>
            </w:tcMar>
          </w:tcPr>
          <w:p>
            <w:pPr>
              <w:spacing w:before="0" w:after="0" w:line="276" w:lineRule="auto"/>
              <w:jc w:val="center"/>
            </w:pPr>
            <w:r>
              <w:t xml:space="preserve">3</w:t>
            </w:r>
          </w:p>
        </w:tc>
        <w:tc>
          <w:tcPr>
            <w:tcW w:w="480" w:type="dxa"/>
            <w:vAlign w:val="center"/>
            <w:tcMar>
              <w:top w:w="80" w:type="dxa"/>
              <w:bottom w:w="80" w:type="dxa"/>
              <w:left w:w="110" w:type="dxa"/>
              <w:right w:w="110" w:type="dxa"/>
            </w:tcMar>
          </w:tcPr>
          <w:p>
            <w:pPr>
              <w:spacing w:before="0" w:after="0" w:line="276" w:lineRule="auto"/>
              <w:jc w:val="center"/>
            </w:pPr>
            <w:r>
              <w:t xml:space="preserve">2</w:t>
            </w:r>
          </w:p>
        </w:tc>
        <w:tc>
          <w:tcPr>
            <w:tcW w:w="4280" w:type="dxa"/>
            <w:vAlign w:val="center"/>
            <w:tcMar>
              <w:top w:w="80" w:type="dxa"/>
              <w:bottom w:w="80" w:type="dxa"/>
              <w:left w:w="110" w:type="dxa"/>
              <w:right w:w="110" w:type="dxa"/>
            </w:tcMar>
          </w:tcPr>
          <w:p>
            <w:pPr>
              <w:spacing w:before="0" w:after="0" w:line="276" w:lineRule="auto"/>
            </w:pPr>
            <w:r>
              <w:t xml:space="preserve">Registro sanitario y etiquetado</w:t>
            </w:r>
          </w:p>
        </w:tc>
      </w:tr>
      <w:tr>
        <w:trPr>
          <w:cantSplit/>
        </w:trPr>
        <w:tc>
          <w:tcPr>
            <w:tcW w:w="2250" w:type="dxa"/>
            <w:shd w:val="clear" w:color="auto" w:fill="F3F6F3"/>
            <w:vAlign w:val="center"/>
            <w:tcMar>
              <w:top w:w="80" w:type="dxa"/>
              <w:bottom w:w="80" w:type="dxa"/>
              <w:left w:w="110" w:type="dxa"/>
              <w:right w:w="110" w:type="dxa"/>
            </w:tcMar>
          </w:tcPr>
          <w:p>
            <w:pPr>
              <w:spacing w:before="0" w:after="0" w:line="276" w:lineRule="auto"/>
            </w:pPr>
            <w:r>
              <w:t xml:space="preserve">Distancia geográfica</w:t>
            </w:r>
          </w:p>
        </w:tc>
        <w:tc>
          <w:tcPr>
            <w:tcW w:w="620" w:type="dxa"/>
            <w:shd w:val="clear" w:color="auto" w:fill="F3F6F3"/>
            <w:vAlign w:val="center"/>
            <w:tcMar>
              <w:top w:w="80" w:type="dxa"/>
              <w:bottom w:w="80" w:type="dxa"/>
              <w:left w:w="110" w:type="dxa"/>
              <w:right w:w="110" w:type="dxa"/>
            </w:tcMar>
          </w:tcPr>
          <w:p>
            <w:pPr>
              <w:spacing w:before="0" w:after="0" w:line="276" w:lineRule="auto"/>
              <w:jc w:val="center"/>
            </w:pPr>
            <w:r>
              <w:t xml:space="preserve">5 %</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3</w:t>
            </w:r>
          </w:p>
        </w:tc>
        <w:tc>
          <w:tcPr>
            <w:tcW w:w="480" w:type="dxa"/>
            <w:shd w:val="clear" w:color="auto" w:fill="F3F6F3"/>
            <w:vAlign w:val="center"/>
            <w:tcMar>
              <w:top w:w="80" w:type="dxa"/>
              <w:bottom w:w="80" w:type="dxa"/>
              <w:left w:w="110" w:type="dxa"/>
              <w:right w:w="110" w:type="dxa"/>
            </w:tcMar>
          </w:tcPr>
          <w:p>
            <w:pPr>
              <w:spacing w:before="0" w:after="0" w:line="276" w:lineRule="auto"/>
              <w:jc w:val="center"/>
            </w:pPr>
            <w:r>
              <w:t xml:space="preserve">1</w:t>
            </w:r>
          </w:p>
        </w:tc>
        <w:tc>
          <w:tcPr>
            <w:tcW w:w="4280" w:type="dxa"/>
            <w:shd w:val="clear" w:color="auto" w:fill="F3F6F3"/>
            <w:vAlign w:val="center"/>
            <w:tcMar>
              <w:top w:w="80" w:type="dxa"/>
              <w:bottom w:w="80" w:type="dxa"/>
              <w:left w:w="110" w:type="dxa"/>
              <w:right w:w="110" w:type="dxa"/>
            </w:tcMar>
          </w:tcPr>
          <w:p>
            <w:pPr>
              <w:spacing w:before="0" w:after="0" w:line="276" w:lineRule="auto"/>
            </w:pPr>
            <w:r>
              <w:t xml:space="preserve">Peso bajo: influye, pero no decide</w:t>
            </w:r>
          </w:p>
        </w:tc>
      </w:tr>
      <w:tr>
        <w:trPr>
          <w:cantSplit/>
        </w:trPr>
        <w:tc>
          <w:tcPr>
            <w:tcW w:w="2250" w:type="dxa"/>
            <w:vAlign w:val="center"/>
            <w:tcMar>
              <w:top w:w="80" w:type="dxa"/>
              <w:bottom w:w="80" w:type="dxa"/>
              <w:left w:w="110" w:type="dxa"/>
              <w:right w:w="110" w:type="dxa"/>
            </w:tcMar>
          </w:tcPr>
          <w:p>
            <w:pPr>
              <w:spacing w:before="0" w:after="0" w:line="276" w:lineRule="auto"/>
            </w:pPr>
            <w:r>
              <w:rPr>
                <w:b/>
              </w:rPr>
              <w:t xml:space="preserve">Índice ponderado (0–100)</w:t>
            </w:r>
          </w:p>
        </w:tc>
        <w:tc>
          <w:tcPr>
            <w:tcW w:w="620" w:type="dxa"/>
            <w:vAlign w:val="center"/>
            <w:tcMar>
              <w:top w:w="80" w:type="dxa"/>
              <w:bottom w:w="80" w:type="dxa"/>
              <w:left w:w="110" w:type="dxa"/>
              <w:right w:w="110" w:type="dxa"/>
            </w:tcMar>
          </w:tcPr>
          <w:p>
            <w:pPr>
              <w:spacing w:before="0" w:after="0" w:line="276" w:lineRule="auto"/>
              <w:jc w:val="center"/>
            </w:pPr>
            <w:r>
              <w:rPr>
                <w:b/>
              </w:rPr>
              <w:t xml:space="preserve">100 %</w:t>
            </w:r>
          </w:p>
        </w:tc>
        <w:tc>
          <w:tcPr>
            <w:tcW w:w="480" w:type="dxa"/>
            <w:vAlign w:val="center"/>
            <w:tcMar>
              <w:top w:w="80" w:type="dxa"/>
              <w:bottom w:w="80" w:type="dxa"/>
              <w:left w:w="110" w:type="dxa"/>
              <w:right w:w="110" w:type="dxa"/>
            </w:tcMar>
          </w:tcPr>
          <w:p>
            <w:pPr>
              <w:spacing w:before="0" w:after="0" w:line="276" w:lineRule="auto"/>
              <w:jc w:val="center"/>
            </w:pPr>
            <w:r>
              <w:rPr>
                <w:b/>
              </w:rPr>
              <w:t xml:space="preserve">67</w:t>
            </w:r>
          </w:p>
        </w:tc>
        <w:tc>
          <w:tcPr>
            <w:tcW w:w="480" w:type="dxa"/>
            <w:vAlign w:val="center"/>
            <w:tcMar>
              <w:top w:w="80" w:type="dxa"/>
              <w:bottom w:w="80" w:type="dxa"/>
              <w:left w:w="110" w:type="dxa"/>
              <w:right w:w="110" w:type="dxa"/>
            </w:tcMar>
          </w:tcPr>
          <w:p>
            <w:pPr>
              <w:spacing w:before="0" w:after="0" w:line="276" w:lineRule="auto"/>
              <w:jc w:val="center"/>
            </w:pPr>
            <w:r>
              <w:rPr>
                <w:b/>
                <w:color w:val="B3261E"/>
              </w:rPr>
              <w:t xml:space="preserve">52</w:t>
            </w:r>
          </w:p>
        </w:tc>
        <w:tc>
          <w:tcPr>
            <w:tcW w:w="480" w:type="dxa"/>
            <w:vAlign w:val="center"/>
            <w:tcMar>
              <w:top w:w="80" w:type="dxa"/>
              <w:bottom w:w="80" w:type="dxa"/>
              <w:left w:w="110" w:type="dxa"/>
              <w:right w:w="110" w:type="dxa"/>
            </w:tcMar>
          </w:tcPr>
          <w:p>
            <w:pPr>
              <w:spacing w:before="0" w:after="0" w:line="276" w:lineRule="auto"/>
              <w:jc w:val="center"/>
            </w:pPr>
            <w:r>
              <w:rPr>
                <w:b/>
              </w:rPr>
              <w:t xml:space="preserve">69</w:t>
            </w:r>
          </w:p>
        </w:tc>
        <w:tc>
          <w:tcPr>
            <w:tcW w:w="480" w:type="dxa"/>
            <w:vAlign w:val="center"/>
            <w:tcMar>
              <w:top w:w="80" w:type="dxa"/>
              <w:bottom w:w="80" w:type="dxa"/>
              <w:left w:w="110" w:type="dxa"/>
              <w:right w:w="110" w:type="dxa"/>
            </w:tcMar>
          </w:tcPr>
          <w:p>
            <w:pPr>
              <w:spacing w:before="0" w:after="0" w:line="276" w:lineRule="auto"/>
              <w:jc w:val="center"/>
            </w:pPr>
            <w:r>
              <w:rPr>
                <w:b/>
                <w:color w:val="1B5E20"/>
              </w:rPr>
              <w:t xml:space="preserve">75</w:t>
            </w:r>
          </w:p>
        </w:tc>
        <w:tc>
          <w:tcPr>
            <w:tcW w:w="4280" w:type="dxa"/>
            <w:vAlign w:val="center"/>
            <w:tcMar>
              <w:top w:w="80" w:type="dxa"/>
              <w:bottom w:w="80" w:type="dxa"/>
              <w:left w:w="110" w:type="dxa"/>
              <w:right w:w="110" w:type="dxa"/>
            </w:tcMar>
          </w:tcPr>
          <w:p>
            <w:pPr>
              <w:spacing w:before="0" w:after="0" w:line="276" w:lineRule="auto"/>
            </w:pPr>
            <w:r>
              <w:t xml:space="preserve"/>
            </w:r>
          </w:p>
        </w:tc>
      </w:tr>
    </w:tbl>
    <w:p>
      <w:pPr>
        <w:spacing w:before="0" w:after="120" w:line="276" w:lineRule="auto"/>
      </w:pPr>
      <w:r>
        <w:t xml:space="preserve"/>
      </w:r>
    </w:p>
    <w:p>
      <w:pPr>
        <w:spacing w:before="0" w:after="200" w:line="276" w:lineRule="auto"/>
        <w:jc w:val="left"/>
      </w:pPr>
      <w:r>
        <w:rPr>
          <w:b/>
          <w:sz w:val="18"/>
        </w:rPr>
        <w:t xml:space="preserve">Tabla 4. </w:t>
      </w:r>
      <w:r>
        <w:rPr>
          <w:sz w:val="18"/>
        </w:rPr>
        <w:t xml:space="preserve">Matriz Papadopoulos. Mayor índice indica mayor atractivo comercial del mercado.</w:t>
      </w:r>
    </w:p>
    <w:p>
      <w:pPr>
        <w:spacing w:before="0" w:after="120" w:line="276" w:lineRule="auto"/>
        <w:jc w:val="both"/>
      </w:pPr>
      <w:r>
        <w:rPr>
          <w:b/>
        </w:rPr>
        <w:t xml:space="preserve">Fórmula de cálculo. </w:t>
      </w:r>
      <w:r>
        <w:t xml:space="preserve">Índice = Σ (puntaje × peso) ÷ 5 × 100. Verificación para Uruguay:</w:t>
      </w:r>
    </w:p>
    <w:p>
      <w:pPr>
        <w:spacing w:before="0" w:after="160" w:line="276" w:lineRule="auto"/>
        <w:ind w:left="360"/>
      </w:pPr>
      <w:r>
        <w:rPr>
          <w:rFonts w:ascii="Consolas" w:hAnsi="Consolas"/>
          <w:sz w:val="18"/>
        </w:rPr>
        <w:t xml:space="preserve">(1×0,20)+(3×0,15)+(4×0,15)+(4×0,15)+(5×0,10)+(5×0,10)+(3×0,10)+(4×0,05) = 3,35</w:t>
      </w:r>
      <w:r>
        <w:br/>
      </w:r>
      <w:r>
        <w:rPr>
          <w:rFonts w:ascii="Consolas" w:hAnsi="Consolas"/>
          <w:sz w:val="18"/>
        </w:rPr>
        <w:t xml:space="preserve">3,35 ÷ 5 × 100 = 67</w:t>
      </w:r>
    </w:p>
    <w:p>
      <w:pPr>
        <w:spacing w:before="0" w:after="120" w:line="276" w:lineRule="auto"/>
        <w:jc w:val="both"/>
      </w:pPr>
      <w:r>
        <w:rPr>
          <w:b/>
          <w:color w:val="B3261E"/>
        </w:rPr>
        <w:t xml:space="preserve">Qué debe sustituirse por datos reales </w:t>
      </w:r>
      <w:r>
        <w:rPr>
          <w:b/>
          <w:color w:val="B3261E"/>
        </w:rPr>
        <w:t xml:space="preserve">[!]</w:t>
      </w:r>
      <w:r>
        <w:rPr>
          <w:b/>
          <w:color w:val="B3261E"/>
        </w:rPr>
        <w:t xml:space="preserve">. </w:t>
      </w:r>
      <w:r>
        <w:t xml:space="preserve">Los puntajes de las cuatro primeras variables son estimaciones razonadas. Para la entrega final deben reemplazarse por cifras de la partida 2202.99 obtenidas de Trade Map (ITC) o UN Comtrade: valor y volumen importado por país, tendencia de los últimos cinco años y principales países proveedores. Esa sustitución es la diferencia entre un trabajo fundamentado y uno opinado.</w:t>
      </w:r>
    </w:p>
    <w:p>
      <w:pPr>
        <w:pStyle w:val="Heading3"/>
        <w:keepNext/>
        <w:spacing w:before="240" w:after="120" w:line="276" w:lineRule="auto"/>
      </w:pPr>
      <w:r>
        <w:t xml:space="preserve">Lectura conjunta de ambos modelos</w:t>
      </w:r>
    </w:p>
    <w:p>
      <w:pPr>
        <w:spacing w:before="0" w:after="120" w:line="276" w:lineRule="auto"/>
        <w:jc w:val="both"/>
      </w:pPr>
      <w:r>
        <w:t xml:space="preserve">Los modelos no coinciden, y esa discrepancia es justamente lo informativo del análisis.</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2270"/>
        <w:gridCol w:w="2270"/>
        <w:gridCol w:w="2270"/>
        <w:gridCol w:w="2260"/>
      </w:tblGrid>
      <w:tr>
        <w:trPr>
          <w:tblHeader/>
          <w:cantSplit/>
        </w:trPr>
        <w:tc>
          <w:tcPr>
            <w:tcW w:w="22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Mercado</w:t>
            </w:r>
          </w:p>
        </w:tc>
        <w:tc>
          <w:tcPr>
            <w:tcW w:w="22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CAGE (menor es mejor)</w:t>
            </w:r>
          </w:p>
        </w:tc>
        <w:tc>
          <w:tcPr>
            <w:tcW w:w="22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Papadopoulos (mayor es mejor)</w:t>
            </w:r>
          </w:p>
        </w:tc>
        <w:tc>
          <w:tcPr>
            <w:tcW w:w="226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Suma de posiciones</w:t>
            </w:r>
          </w:p>
        </w:tc>
      </w:tr>
      <w:tr>
        <w:trPr>
          <w:cantSplit/>
        </w:trPr>
        <w:tc>
          <w:tcPr>
            <w:tcW w:w="2270" w:type="dxa"/>
            <w:vAlign w:val="center"/>
            <w:tcMar>
              <w:top w:w="80" w:type="dxa"/>
              <w:bottom w:w="80" w:type="dxa"/>
              <w:left w:w="110" w:type="dxa"/>
              <w:right w:w="110" w:type="dxa"/>
            </w:tcMar>
          </w:tcPr>
          <w:p>
            <w:pPr>
              <w:spacing w:before="0" w:after="0" w:line="276" w:lineRule="auto"/>
            </w:pPr>
            <w:r>
              <w:rPr>
                <w:b/>
              </w:rPr>
              <w:t xml:space="preserve">Uruguay</w:t>
            </w:r>
          </w:p>
        </w:tc>
        <w:tc>
          <w:tcPr>
            <w:tcW w:w="2270" w:type="dxa"/>
            <w:vAlign w:val="center"/>
            <w:tcMar>
              <w:top w:w="80" w:type="dxa"/>
              <w:bottom w:w="80" w:type="dxa"/>
              <w:left w:w="110" w:type="dxa"/>
              <w:right w:w="110" w:type="dxa"/>
            </w:tcMar>
          </w:tcPr>
          <w:p>
            <w:pPr>
              <w:spacing w:before="0" w:after="0" w:line="276" w:lineRule="auto"/>
              <w:jc w:val="center"/>
            </w:pPr>
            <w:r>
              <w:rPr>
                <w:b/>
                <w:color w:val="1B5E20"/>
              </w:rPr>
              <w:t xml:space="preserve">1.º  (6)</w:t>
            </w:r>
          </w:p>
        </w:tc>
        <w:tc>
          <w:tcPr>
            <w:tcW w:w="2270" w:type="dxa"/>
            <w:vAlign w:val="center"/>
            <w:tcMar>
              <w:top w:w="80" w:type="dxa"/>
              <w:bottom w:w="80" w:type="dxa"/>
              <w:left w:w="110" w:type="dxa"/>
              <w:right w:w="110" w:type="dxa"/>
            </w:tcMar>
          </w:tcPr>
          <w:p>
            <w:pPr>
              <w:spacing w:before="0" w:after="0" w:line="276" w:lineRule="auto"/>
              <w:jc w:val="center"/>
            </w:pPr>
            <w:r>
              <w:t xml:space="preserve">3.º  (67)</w:t>
            </w:r>
          </w:p>
        </w:tc>
        <w:tc>
          <w:tcPr>
            <w:tcW w:w="2260" w:type="dxa"/>
            <w:vAlign w:val="center"/>
            <w:tcMar>
              <w:top w:w="80" w:type="dxa"/>
              <w:bottom w:w="80" w:type="dxa"/>
              <w:left w:w="110" w:type="dxa"/>
              <w:right w:w="110" w:type="dxa"/>
            </w:tcMar>
          </w:tcPr>
          <w:p>
            <w:pPr>
              <w:spacing w:before="0" w:after="0" w:line="276" w:lineRule="auto"/>
              <w:jc w:val="center"/>
            </w:pPr>
            <w:r>
              <w:rPr>
                <w:b/>
              </w:rPr>
              <w:t xml:space="preserve">4</w:t>
            </w:r>
          </w:p>
        </w:tc>
      </w:tr>
      <w:tr>
        <w:trPr>
          <w:cantSplit/>
        </w:trPr>
        <w:tc>
          <w:tcPr>
            <w:tcW w:w="2270" w:type="dxa"/>
            <w:shd w:val="clear" w:color="auto" w:fill="F3F6F3"/>
            <w:vAlign w:val="center"/>
            <w:tcMar>
              <w:top w:w="80" w:type="dxa"/>
              <w:bottom w:w="80" w:type="dxa"/>
              <w:left w:w="110" w:type="dxa"/>
              <w:right w:w="110" w:type="dxa"/>
            </w:tcMar>
          </w:tcPr>
          <w:p>
            <w:pPr>
              <w:spacing w:before="0" w:after="0" w:line="276" w:lineRule="auto"/>
            </w:pPr>
            <w:r>
              <w:rPr>
                <w:b/>
              </w:rPr>
              <w:t xml:space="preserve">Colombia</w:t>
            </w:r>
          </w:p>
        </w:tc>
        <w:tc>
          <w:tcPr>
            <w:tcW w:w="2270" w:type="dxa"/>
            <w:shd w:val="clear" w:color="auto" w:fill="F3F6F3"/>
            <w:vAlign w:val="center"/>
            <w:tcMar>
              <w:top w:w="80" w:type="dxa"/>
              <w:bottom w:w="80" w:type="dxa"/>
              <w:left w:w="110" w:type="dxa"/>
              <w:right w:w="110" w:type="dxa"/>
            </w:tcMar>
          </w:tcPr>
          <w:p>
            <w:pPr>
              <w:spacing w:before="0" w:after="0" w:line="276" w:lineRule="auto"/>
              <w:jc w:val="center"/>
            </w:pPr>
            <w:r>
              <w:t xml:space="preserve">2.º  (10)</w:t>
            </w:r>
          </w:p>
        </w:tc>
        <w:tc>
          <w:tcPr>
            <w:tcW w:w="2270" w:type="dxa"/>
            <w:shd w:val="clear" w:color="auto" w:fill="F3F6F3"/>
            <w:vAlign w:val="center"/>
            <w:tcMar>
              <w:top w:w="80" w:type="dxa"/>
              <w:bottom w:w="80" w:type="dxa"/>
              <w:left w:w="110" w:type="dxa"/>
              <w:right w:w="110" w:type="dxa"/>
            </w:tcMar>
          </w:tcPr>
          <w:p>
            <w:pPr>
              <w:spacing w:before="0" w:after="0" w:line="276" w:lineRule="auto"/>
              <w:jc w:val="center"/>
            </w:pPr>
            <w:r>
              <w:t xml:space="preserve">2.º  (69)</w:t>
            </w:r>
          </w:p>
        </w:tc>
        <w:tc>
          <w:tcPr>
            <w:tcW w:w="226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4</w:t>
            </w:r>
          </w:p>
        </w:tc>
      </w:tr>
      <w:tr>
        <w:trPr>
          <w:cantSplit/>
        </w:trPr>
        <w:tc>
          <w:tcPr>
            <w:tcW w:w="2270" w:type="dxa"/>
            <w:vAlign w:val="center"/>
            <w:tcMar>
              <w:top w:w="80" w:type="dxa"/>
              <w:bottom w:w="80" w:type="dxa"/>
              <w:left w:w="110" w:type="dxa"/>
              <w:right w:w="110" w:type="dxa"/>
            </w:tcMar>
          </w:tcPr>
          <w:p>
            <w:pPr>
              <w:spacing w:before="0" w:after="0" w:line="276" w:lineRule="auto"/>
            </w:pPr>
            <w:r>
              <w:rPr>
                <w:b/>
              </w:rPr>
              <w:t xml:space="preserve">Estados Unidos</w:t>
            </w:r>
          </w:p>
        </w:tc>
        <w:tc>
          <w:tcPr>
            <w:tcW w:w="2270" w:type="dxa"/>
            <w:vAlign w:val="center"/>
            <w:tcMar>
              <w:top w:w="80" w:type="dxa"/>
              <w:bottom w:w="80" w:type="dxa"/>
              <w:left w:w="110" w:type="dxa"/>
              <w:right w:w="110" w:type="dxa"/>
            </w:tcMar>
          </w:tcPr>
          <w:p>
            <w:pPr>
              <w:spacing w:before="0" w:after="0" w:line="276" w:lineRule="auto"/>
              <w:jc w:val="center"/>
            </w:pPr>
            <w:r>
              <w:rPr>
                <w:color w:val="B3261E"/>
              </w:rPr>
              <w:t xml:space="preserve">4.º  (15)</w:t>
            </w:r>
          </w:p>
        </w:tc>
        <w:tc>
          <w:tcPr>
            <w:tcW w:w="2270" w:type="dxa"/>
            <w:vAlign w:val="center"/>
            <w:tcMar>
              <w:top w:w="80" w:type="dxa"/>
              <w:bottom w:w="80" w:type="dxa"/>
              <w:left w:w="110" w:type="dxa"/>
              <w:right w:w="110" w:type="dxa"/>
            </w:tcMar>
          </w:tcPr>
          <w:p>
            <w:pPr>
              <w:spacing w:before="0" w:after="0" w:line="276" w:lineRule="auto"/>
              <w:jc w:val="center"/>
            </w:pPr>
            <w:r>
              <w:rPr>
                <w:b/>
                <w:color w:val="1B5E20"/>
              </w:rPr>
              <w:t xml:space="preserve">1.º  (75)</w:t>
            </w:r>
          </w:p>
        </w:tc>
        <w:tc>
          <w:tcPr>
            <w:tcW w:w="2260" w:type="dxa"/>
            <w:vAlign w:val="center"/>
            <w:tcMar>
              <w:top w:w="80" w:type="dxa"/>
              <w:bottom w:w="80" w:type="dxa"/>
              <w:left w:w="110" w:type="dxa"/>
              <w:right w:w="110" w:type="dxa"/>
            </w:tcMar>
          </w:tcPr>
          <w:p>
            <w:pPr>
              <w:spacing w:before="0" w:after="0" w:line="276" w:lineRule="auto"/>
              <w:jc w:val="center"/>
            </w:pPr>
            <w:r>
              <w:t xml:space="preserve">5</w:t>
            </w:r>
          </w:p>
        </w:tc>
      </w:tr>
      <w:tr>
        <w:trPr>
          <w:cantSplit/>
        </w:trPr>
        <w:tc>
          <w:tcPr>
            <w:tcW w:w="2270" w:type="dxa"/>
            <w:shd w:val="clear" w:color="auto" w:fill="F3F6F3"/>
            <w:vAlign w:val="center"/>
            <w:tcMar>
              <w:top w:w="80" w:type="dxa"/>
              <w:bottom w:w="80" w:type="dxa"/>
              <w:left w:w="110" w:type="dxa"/>
              <w:right w:w="110" w:type="dxa"/>
            </w:tcMar>
          </w:tcPr>
          <w:p>
            <w:pPr>
              <w:spacing w:before="0" w:after="0" w:line="276" w:lineRule="auto"/>
            </w:pPr>
            <w:r>
              <w:rPr>
                <w:b/>
              </w:rPr>
              <w:t xml:space="preserve">Paraguay</w:t>
            </w:r>
          </w:p>
        </w:tc>
        <w:tc>
          <w:tcPr>
            <w:tcW w:w="2270" w:type="dxa"/>
            <w:shd w:val="clear" w:color="auto" w:fill="F3F6F3"/>
            <w:vAlign w:val="center"/>
            <w:tcMar>
              <w:top w:w="80" w:type="dxa"/>
              <w:bottom w:w="80" w:type="dxa"/>
              <w:left w:w="110" w:type="dxa"/>
              <w:right w:w="110" w:type="dxa"/>
            </w:tcMar>
          </w:tcPr>
          <w:p>
            <w:pPr>
              <w:spacing w:before="0" w:after="0" w:line="276" w:lineRule="auto"/>
              <w:jc w:val="center"/>
            </w:pPr>
            <w:r>
              <w:t xml:space="preserve">3.º  (13)</w:t>
            </w:r>
          </w:p>
        </w:tc>
        <w:tc>
          <w:tcPr>
            <w:tcW w:w="2270" w:type="dxa"/>
            <w:shd w:val="clear" w:color="auto" w:fill="F3F6F3"/>
            <w:vAlign w:val="center"/>
            <w:tcMar>
              <w:top w:w="80" w:type="dxa"/>
              <w:bottom w:w="80" w:type="dxa"/>
              <w:left w:w="110" w:type="dxa"/>
              <w:right w:w="110" w:type="dxa"/>
            </w:tcMar>
          </w:tcPr>
          <w:p>
            <w:pPr>
              <w:spacing w:before="0" w:after="0" w:line="276" w:lineRule="auto"/>
              <w:jc w:val="center"/>
            </w:pPr>
            <w:r>
              <w:rPr>
                <w:color w:val="B3261E"/>
              </w:rPr>
              <w:t xml:space="preserve">4.º  (52)</w:t>
            </w:r>
          </w:p>
        </w:tc>
        <w:tc>
          <w:tcPr>
            <w:tcW w:w="226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7</w:t>
            </w:r>
          </w:p>
        </w:tc>
      </w:tr>
    </w:tbl>
    <w:p>
      <w:pPr>
        <w:spacing w:before="0" w:after="120" w:line="276" w:lineRule="auto"/>
      </w:pPr>
      <w:r>
        <w:t xml:space="preserve"/>
      </w:r>
    </w:p>
    <w:p>
      <w:pPr>
        <w:spacing w:before="0" w:after="200" w:line="276" w:lineRule="auto"/>
        <w:jc w:val="left"/>
      </w:pPr>
      <w:r>
        <w:rPr>
          <w:b/>
          <w:sz w:val="18"/>
        </w:rPr>
        <w:t xml:space="preserve">Tabla 5. </w:t>
      </w:r>
      <w:r>
        <w:rPr>
          <w:sz w:val="18"/>
        </w:rPr>
        <w:t xml:space="preserve">Comparación de resultados de ambos modelos.</w:t>
      </w:r>
    </w:p>
    <w:p>
      <w:pPr>
        <w:spacing w:before="0" w:after="120" w:line="276" w:lineRule="auto"/>
        <w:jc w:val="both"/>
      </w:pPr>
      <w:r>
        <w:rPr>
          <w:b/>
        </w:rPr>
        <w:t xml:space="preserve">Estados Unidos es el más atractivo y el más distante a la vez.</w:t>
      </w:r>
      <w:r>
        <w:t xml:space="preserve"> Gana el índice Papadopoulos con 75 y pierde CAGE con 15. Esa contradicción es el eje de la decisión: atractivo no equivale a accesible.</w:t>
      </w:r>
    </w:p>
    <w:p>
      <w:pPr>
        <w:spacing w:before="0" w:after="120" w:line="276" w:lineRule="auto"/>
        <w:jc w:val="both"/>
      </w:pPr>
      <w:r>
        <w:rPr>
          <w:b/>
        </w:rPr>
        <w:t xml:space="preserve">Colombia es el único que queda segundo en ambos modelos.</w:t>
      </w:r>
      <w:r>
        <w:t xml:space="preserve"> No gana ninguno, pero tampoco pierde ninguno: es la opción de mayor consistencia.</w:t>
      </w:r>
    </w:p>
    <w:p>
      <w:pPr>
        <w:spacing w:before="0" w:after="120" w:line="276" w:lineRule="auto"/>
        <w:jc w:val="both"/>
      </w:pPr>
      <w:r>
        <w:rPr>
          <w:b/>
        </w:rPr>
        <w:t xml:space="preserve">Paraguay presenta la peor posición combinada.</w:t>
      </w:r>
      <w:r>
        <w:t xml:space="preserve"> Conviene precisar que no pierde ambos modelos: en CAGE queda tercero, por delante de Estados Unidos. Pero es el único que nunca sube del tercer puesto y además es último en atractivo. No existe lectura bajo la cual resulte prioritario.</w:t>
      </w:r>
    </w:p>
    <w:p>
      <w:r>
        <w:br w:type="page"/>
      </w:r>
    </w:p>
    <w:p>
      <w:pPr>
        <w:pStyle w:val="Heading2"/>
        <w:keepNext/>
        <w:spacing w:before="0" w:after="120" w:line="276" w:lineRule="auto"/>
      </w:pPr>
      <w:r>
        <w:t xml:space="preserve">1.b  Matriz oferta regional y demanda de destino</w:t>
      </w:r>
    </w:p>
    <w:p>
      <w:pPr>
        <w:spacing w:before="0" w:after="120" w:line="276" w:lineRule="auto"/>
        <w:jc w:val="both"/>
      </w:pPr>
      <w:r>
        <w:t xml:space="preserve">Esta matriz cruza lo que la Región de Los Ríos puede efectivamente embarcar contra lo que cada mercado de destino demanda.</w:t>
      </w:r>
    </w:p>
    <w:p>
      <w:pPr>
        <w:pStyle w:val="Heading3"/>
        <w:keepNext/>
        <w:spacing w:before="240" w:after="120" w:line="276" w:lineRule="auto"/>
      </w:pPr>
      <w:r>
        <w:t xml:space="preserve">Oferta regional — Región de Los Ríos</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2500"/>
        <w:gridCol w:w="5770"/>
        <w:gridCol w:w="800"/>
      </w:tblGrid>
      <w:tr>
        <w:trPr>
          <w:tblHeader/>
          <w:cantSplit/>
        </w:trPr>
        <w:tc>
          <w:tcPr>
            <w:tcW w:w="25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Variable</w:t>
            </w:r>
          </w:p>
        </w:tc>
        <w:tc>
          <w:tcPr>
            <w:tcW w:w="57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Situación</w:t>
            </w:r>
          </w:p>
        </w:tc>
        <w:tc>
          <w:tcPr>
            <w:tcW w:w="8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Marca</w:t>
            </w:r>
          </w:p>
        </w:tc>
      </w:tr>
      <w:tr>
        <w:trPr>
          <w:cantSplit/>
        </w:trPr>
        <w:tc>
          <w:tcPr>
            <w:tcW w:w="2500" w:type="dxa"/>
            <w:vAlign w:val="center"/>
            <w:tcMar>
              <w:top w:w="80" w:type="dxa"/>
              <w:bottom w:w="80" w:type="dxa"/>
              <w:left w:w="110" w:type="dxa"/>
              <w:right w:w="110" w:type="dxa"/>
            </w:tcMar>
          </w:tcPr>
          <w:p>
            <w:pPr>
              <w:spacing w:before="0" w:after="0" w:line="276" w:lineRule="auto"/>
            </w:pPr>
            <w:r>
              <w:t xml:space="preserve">Producto</w:t>
            </w:r>
          </w:p>
        </w:tc>
        <w:tc>
          <w:tcPr>
            <w:tcW w:w="5770" w:type="dxa"/>
            <w:vAlign w:val="center"/>
            <w:tcMar>
              <w:top w:w="80" w:type="dxa"/>
              <w:bottom w:w="80" w:type="dxa"/>
              <w:left w:w="110" w:type="dxa"/>
              <w:right w:w="110" w:type="dxa"/>
            </w:tcMar>
          </w:tcPr>
          <w:p>
            <w:pPr>
              <w:spacing w:before="0" w:after="0" w:line="276" w:lineRule="auto"/>
            </w:pPr>
            <w:r>
              <w:t xml:space="preserve">Kombucha artesanal: línea frutal y línea funcional con hongos adaptógenos</w:t>
            </w:r>
          </w:p>
        </w:tc>
        <w:tc>
          <w:tcPr>
            <w:tcW w:w="800" w:type="dxa"/>
            <w:vAlign w:val="center"/>
            <w:tcMar>
              <w:top w:w="80" w:type="dxa"/>
              <w:bottom w:w="80" w:type="dxa"/>
              <w:left w:w="110" w:type="dxa"/>
              <w:right w:w="110" w:type="dxa"/>
            </w:tcMar>
          </w:tcPr>
          <w:p>
            <w:pPr>
              <w:spacing w:before="0" w:after="0" w:line="276" w:lineRule="auto"/>
              <w:jc w:val="center"/>
            </w:pPr>
            <w:r>
              <w:rPr>
                <w:b/>
                <w:color w:val="1B5E20"/>
              </w:rPr>
              <w:t xml:space="preserve">[V]</w:t>
            </w:r>
          </w:p>
        </w:tc>
      </w:tr>
      <w:tr>
        <w:trPr>
          <w:cantSplit/>
        </w:trPr>
        <w:tc>
          <w:tcPr>
            <w:tcW w:w="2500" w:type="dxa"/>
            <w:shd w:val="clear" w:color="auto" w:fill="F3F6F3"/>
            <w:vAlign w:val="center"/>
            <w:tcMar>
              <w:top w:w="80" w:type="dxa"/>
              <w:bottom w:w="80" w:type="dxa"/>
              <w:left w:w="110" w:type="dxa"/>
              <w:right w:w="110" w:type="dxa"/>
            </w:tcMar>
          </w:tcPr>
          <w:p>
            <w:pPr>
              <w:spacing w:before="0" w:after="0" w:line="276" w:lineRule="auto"/>
            </w:pPr>
            <w:r>
              <w:t xml:space="preserve">Formatos</w:t>
            </w:r>
          </w:p>
        </w:tc>
        <w:tc>
          <w:tcPr>
            <w:tcW w:w="5770" w:type="dxa"/>
            <w:shd w:val="clear" w:color="auto" w:fill="F3F6F3"/>
            <w:vAlign w:val="center"/>
            <w:tcMar>
              <w:top w:w="80" w:type="dxa"/>
              <w:bottom w:w="80" w:type="dxa"/>
              <w:left w:w="110" w:type="dxa"/>
              <w:right w:w="110" w:type="dxa"/>
            </w:tcMar>
          </w:tcPr>
          <w:p>
            <w:pPr>
              <w:spacing w:before="0" w:after="0" w:line="276" w:lineRule="auto"/>
            </w:pPr>
            <w:r>
              <w:t xml:space="preserve">Packs de 12 y 24 latas; botella de 330 ml</w:t>
            </w:r>
          </w:p>
        </w:tc>
        <w:tc>
          <w:tcPr>
            <w:tcW w:w="800" w:type="dxa"/>
            <w:shd w:val="clear" w:color="auto" w:fill="F3F6F3"/>
            <w:vAlign w:val="center"/>
            <w:tcMar>
              <w:top w:w="80" w:type="dxa"/>
              <w:bottom w:w="80" w:type="dxa"/>
              <w:left w:w="110" w:type="dxa"/>
              <w:right w:w="110" w:type="dxa"/>
            </w:tcMar>
          </w:tcPr>
          <w:p>
            <w:pPr>
              <w:spacing w:before="0" w:after="0" w:line="276" w:lineRule="auto"/>
              <w:jc w:val="center"/>
            </w:pPr>
            <w:r>
              <w:rPr>
                <w:b/>
                <w:color w:val="1B5E20"/>
              </w:rPr>
              <w:t xml:space="preserve">[V]</w:t>
            </w:r>
          </w:p>
        </w:tc>
      </w:tr>
      <w:tr>
        <w:trPr>
          <w:cantSplit/>
        </w:trPr>
        <w:tc>
          <w:tcPr>
            <w:tcW w:w="2500" w:type="dxa"/>
            <w:vAlign w:val="center"/>
            <w:tcMar>
              <w:top w:w="80" w:type="dxa"/>
              <w:bottom w:w="80" w:type="dxa"/>
              <w:left w:w="110" w:type="dxa"/>
              <w:right w:w="110" w:type="dxa"/>
            </w:tcMar>
          </w:tcPr>
          <w:p>
            <w:pPr>
              <w:spacing w:before="0" w:after="0" w:line="276" w:lineRule="auto"/>
            </w:pPr>
            <w:r>
              <w:t xml:space="preserve">Volumen y valor exportado actual</w:t>
            </w:r>
          </w:p>
        </w:tc>
        <w:tc>
          <w:tcPr>
            <w:tcW w:w="5770" w:type="dxa"/>
            <w:vAlign w:val="center"/>
            <w:tcMar>
              <w:top w:w="80" w:type="dxa"/>
              <w:bottom w:w="80" w:type="dxa"/>
              <w:left w:w="110" w:type="dxa"/>
              <w:right w:w="110" w:type="dxa"/>
            </w:tcMar>
          </w:tcPr>
          <w:p>
            <w:pPr>
              <w:spacing w:before="0" w:after="0" w:line="276" w:lineRule="auto"/>
            </w:pPr>
            <w:r>
              <w:rPr>
                <w:b/>
              </w:rPr>
              <w:t xml:space="preserve">Cero: Pinda no exporta en la actualidad. </w:t>
            </w:r>
            <w:r>
              <w:t xml:space="preserve">El plan parte de una base exportadora nula.</w:t>
            </w:r>
          </w:p>
        </w:tc>
        <w:tc>
          <w:tcPr>
            <w:tcW w:w="800" w:type="dxa"/>
            <w:vAlign w:val="center"/>
            <w:tcMar>
              <w:top w:w="80" w:type="dxa"/>
              <w:bottom w:w="80" w:type="dxa"/>
              <w:left w:w="110" w:type="dxa"/>
              <w:right w:w="110" w:type="dxa"/>
            </w:tcMar>
          </w:tcPr>
          <w:p>
            <w:pPr>
              <w:spacing w:before="0" w:after="0" w:line="276" w:lineRule="auto"/>
              <w:jc w:val="center"/>
            </w:pPr>
            <w:r>
              <w:rPr>
                <w:b/>
                <w:color w:val="1B5E20"/>
              </w:rPr>
              <w:t xml:space="preserve">[V]</w:t>
            </w:r>
          </w:p>
        </w:tc>
      </w:tr>
      <w:tr>
        <w:trPr>
          <w:cantSplit/>
        </w:trPr>
        <w:tc>
          <w:tcPr>
            <w:tcW w:w="2500" w:type="dxa"/>
            <w:shd w:val="clear" w:color="auto" w:fill="F3F6F3"/>
            <w:vAlign w:val="center"/>
            <w:tcMar>
              <w:top w:w="80" w:type="dxa"/>
              <w:bottom w:w="80" w:type="dxa"/>
              <w:left w:w="110" w:type="dxa"/>
              <w:right w:w="110" w:type="dxa"/>
            </w:tcMar>
          </w:tcPr>
          <w:p>
            <w:pPr>
              <w:spacing w:before="0" w:after="0" w:line="276" w:lineRule="auto"/>
            </w:pPr>
            <w:r>
              <w:t xml:space="preserve">Capacidad productiva y de empaque</w:t>
            </w:r>
          </w:p>
        </w:tc>
        <w:tc>
          <w:tcPr>
            <w:tcW w:w="5770" w:type="dxa"/>
            <w:shd w:val="clear" w:color="auto" w:fill="F3F6F3"/>
            <w:vAlign w:val="center"/>
            <w:tcMar>
              <w:top w:w="80" w:type="dxa"/>
              <w:bottom w:w="80" w:type="dxa"/>
              <w:left w:w="110" w:type="dxa"/>
              <w:right w:w="110" w:type="dxa"/>
            </w:tcMar>
          </w:tcPr>
          <w:p>
            <w:pPr>
              <w:spacing w:before="0" w:after="0" w:line="276" w:lineRule="auto"/>
            </w:pPr>
            <w:r>
              <w:rPr>
                <w:color w:val="B3261E"/>
              </w:rPr>
              <w:t xml:space="preserve">Pendiente. Dato de la empresa; constituye el techo real del plan.</w:t>
            </w:r>
          </w:p>
        </w:tc>
        <w:tc>
          <w:tcPr>
            <w:tcW w:w="8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500" w:type="dxa"/>
            <w:vAlign w:val="center"/>
            <w:tcMar>
              <w:top w:w="80" w:type="dxa"/>
              <w:bottom w:w="80" w:type="dxa"/>
              <w:left w:w="110" w:type="dxa"/>
              <w:right w:w="110" w:type="dxa"/>
            </w:tcMar>
          </w:tcPr>
          <w:p>
            <w:pPr>
              <w:spacing w:before="0" w:after="0" w:line="276" w:lineRule="auto"/>
            </w:pPr>
            <w:r>
              <w:t xml:space="preserve">Puerto de embarque disponible</w:t>
            </w:r>
          </w:p>
        </w:tc>
        <w:tc>
          <w:tcPr>
            <w:tcW w:w="5770" w:type="dxa"/>
            <w:vAlign w:val="center"/>
            <w:tcMar>
              <w:top w:w="80" w:type="dxa"/>
              <w:bottom w:w="80" w:type="dxa"/>
              <w:left w:w="110" w:type="dxa"/>
              <w:right w:w="110" w:type="dxa"/>
            </w:tcMar>
          </w:tcPr>
          <w:p>
            <w:pPr>
              <w:spacing w:before="0" w:after="0" w:line="276" w:lineRule="auto"/>
            </w:pPr>
            <w:r>
              <w:t xml:space="preserve">San Antonio o Valparaíso para vía marítima; vía terrestre por pasos cordilleranos del sur hacia Argentina. Confirmar operador y frecuencia.</w:t>
            </w:r>
          </w:p>
        </w:tc>
        <w:tc>
          <w:tcPr>
            <w:tcW w:w="8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500" w:type="dxa"/>
            <w:shd w:val="clear" w:color="auto" w:fill="F3F6F3"/>
            <w:vAlign w:val="center"/>
            <w:tcMar>
              <w:top w:w="80" w:type="dxa"/>
              <w:bottom w:w="80" w:type="dxa"/>
              <w:left w:w="110" w:type="dxa"/>
              <w:right w:w="110" w:type="dxa"/>
            </w:tcMar>
          </w:tcPr>
          <w:p>
            <w:pPr>
              <w:spacing w:before="0" w:after="0" w:line="276" w:lineRule="auto"/>
            </w:pPr>
            <w:r>
              <w:t xml:space="preserve">Estándares de calidad alcanzados</w:t>
            </w:r>
          </w:p>
        </w:tc>
        <w:tc>
          <w:tcPr>
            <w:tcW w:w="5770" w:type="dxa"/>
            <w:shd w:val="clear" w:color="auto" w:fill="F3F6F3"/>
            <w:vAlign w:val="center"/>
            <w:tcMar>
              <w:top w:w="80" w:type="dxa"/>
              <w:bottom w:w="80" w:type="dxa"/>
              <w:left w:w="110" w:type="dxa"/>
              <w:right w:w="110" w:type="dxa"/>
            </w:tcMar>
          </w:tcPr>
          <w:p>
            <w:pPr>
              <w:spacing w:before="0" w:after="0" w:line="276" w:lineRule="auto"/>
            </w:pPr>
            <w:r>
              <w:t xml:space="preserve">Siete premios internacionales y latinoamericanos entre 2024 y 2025, en competencias de Europa y Sudamérica</w:t>
            </w:r>
          </w:p>
        </w:tc>
        <w:tc>
          <w:tcPr>
            <w:tcW w:w="80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[P]</w:t>
            </w:r>
          </w:p>
        </w:tc>
      </w:tr>
      <w:tr>
        <w:trPr>
          <w:cantSplit/>
        </w:trPr>
        <w:tc>
          <w:tcPr>
            <w:tcW w:w="2500" w:type="dxa"/>
            <w:vAlign w:val="center"/>
            <w:tcMar>
              <w:top w:w="80" w:type="dxa"/>
              <w:bottom w:w="80" w:type="dxa"/>
              <w:left w:w="110" w:type="dxa"/>
              <w:right w:w="110" w:type="dxa"/>
            </w:tcMar>
          </w:tcPr>
          <w:p>
            <w:pPr>
              <w:spacing w:before="0" w:after="0" w:line="276" w:lineRule="auto"/>
            </w:pPr>
            <w:r>
              <w:t xml:space="preserve">Certificación orgánica</w:t>
            </w:r>
          </w:p>
        </w:tc>
        <w:tc>
          <w:tcPr>
            <w:tcW w:w="5770" w:type="dxa"/>
            <w:vAlign w:val="center"/>
            <w:tcMar>
              <w:top w:w="80" w:type="dxa"/>
              <w:bottom w:w="80" w:type="dxa"/>
              <w:left w:w="110" w:type="dxa"/>
              <w:right w:w="110" w:type="dxa"/>
            </w:tcMar>
          </w:tcPr>
          <w:p>
            <w:pPr>
              <w:spacing w:before="0" w:after="0" w:line="276" w:lineRule="auto"/>
            </w:pPr>
            <w:r>
              <w:rPr>
                <w:b/>
              </w:rPr>
              <w:t xml:space="preserve">No declarada. </w:t>
            </w:r>
            <w:r>
              <w:t xml:space="preserve">El competidor chileno Kombuchacha sí la declara.</w:t>
            </w:r>
          </w:p>
        </w:tc>
        <w:tc>
          <w:tcPr>
            <w:tcW w:w="800" w:type="dxa"/>
            <w:vAlign w:val="center"/>
            <w:tcMar>
              <w:top w:w="80" w:type="dxa"/>
              <w:bottom w:w="80" w:type="dxa"/>
              <w:left w:w="110" w:type="dxa"/>
              <w:right w:w="110" w:type="dxa"/>
            </w:tcMar>
          </w:tcPr>
          <w:p>
            <w:pPr>
              <w:spacing w:before="0" w:after="0" w:line="276" w:lineRule="auto"/>
              <w:jc w:val="center"/>
            </w:pPr>
            <w:r>
              <w:rPr>
                <w:b/>
              </w:rPr>
              <w:t xml:space="preserve">[P]</w:t>
            </w:r>
          </w:p>
        </w:tc>
      </w:tr>
      <w:tr>
        <w:trPr>
          <w:cantSplit/>
        </w:trPr>
        <w:tc>
          <w:tcPr>
            <w:tcW w:w="2500" w:type="dxa"/>
            <w:shd w:val="clear" w:color="auto" w:fill="F3F6F3"/>
            <w:vAlign w:val="center"/>
            <w:tcMar>
              <w:top w:w="80" w:type="dxa"/>
              <w:bottom w:w="80" w:type="dxa"/>
              <w:left w:w="110" w:type="dxa"/>
              <w:right w:w="110" w:type="dxa"/>
            </w:tcMar>
          </w:tcPr>
          <w:p>
            <w:pPr>
              <w:spacing w:before="0" w:after="0" w:line="276" w:lineRule="auto"/>
            </w:pPr>
            <w:r>
              <w:t xml:space="preserve">Perfil exportador de la región</w:t>
            </w:r>
          </w:p>
        </w:tc>
        <w:tc>
          <w:tcPr>
            <w:tcW w:w="5770" w:type="dxa"/>
            <w:shd w:val="clear" w:color="auto" w:fill="F3F6F3"/>
            <w:vAlign w:val="center"/>
            <w:tcMar>
              <w:top w:w="80" w:type="dxa"/>
              <w:bottom w:w="80" w:type="dxa"/>
              <w:left w:w="110" w:type="dxa"/>
              <w:right w:w="110" w:type="dxa"/>
            </w:tcMar>
          </w:tcPr>
          <w:p>
            <w:pPr>
              <w:spacing w:before="0" w:after="0" w:line="276" w:lineRule="auto"/>
            </w:pPr>
            <w:r>
              <w:t xml:space="preserve">Dominado por madera y productos forestales. La kombucha representaría diversificación, no continuidad del perfil regional.</w:t>
            </w:r>
          </w:p>
        </w:tc>
        <w:tc>
          <w:tcPr>
            <w:tcW w:w="80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[P]</w:t>
            </w:r>
          </w:p>
        </w:tc>
      </w:tr>
    </w:tbl>
    <w:p>
      <w:pPr>
        <w:spacing w:before="0" w:after="120" w:line="276" w:lineRule="auto"/>
      </w:pPr>
      <w:r>
        <w:t xml:space="preserve"/>
      </w:r>
    </w:p>
    <w:p>
      <w:pPr>
        <w:spacing w:before="0" w:after="200" w:line="276" w:lineRule="auto"/>
        <w:jc w:val="left"/>
      </w:pPr>
      <w:r>
        <w:rPr>
          <w:b/>
          <w:sz w:val="18"/>
        </w:rPr>
        <w:t xml:space="preserve">Tabla 6. </w:t>
      </w:r>
      <w:r>
        <w:rPr>
          <w:sz w:val="18"/>
        </w:rPr>
        <w:t xml:space="preserve">Oferta exportable regional aplicada al producto.</w:t>
      </w:r>
    </w:p>
    <w:p>
      <w:pPr>
        <w:spacing w:before="0" w:after="120" w:line="276" w:lineRule="auto"/>
        <w:jc w:val="both"/>
      </w:pPr>
      <w:r>
        <w:t xml:space="preserve">Nota de contexto </w:t>
      </w:r>
      <w:r>
        <w:rPr>
          <w:b/>
        </w:rPr>
        <w:t xml:space="preserve">[P]</w:t>
      </w:r>
      <w:r>
        <w:t xml:space="preserve">. El Instituto Nacional de Estadísticas cifró las exportaciones de la Región de Los Ríos en US$ 473 millones en 2016, un 21,1 % menos que en 2015. Se trata de un dato antiguo que solo sirve para dimensionar; </w:t>
      </w:r>
      <w:r>
        <w:rPr>
          <w:b/>
          <w:color w:val="B3261E"/>
        </w:rPr>
        <w:t xml:space="preserve">[!]</w:t>
      </w:r>
      <w:r>
        <w:t xml:space="preserve"> debe actualizarse con la serie vigente del INE o de ProChile.</w:t>
      </w:r>
    </w:p>
    <w:p>
      <w:pPr>
        <w:pStyle w:val="Heading3"/>
        <w:keepNext/>
        <w:spacing w:before="240" w:after="120" w:line="276" w:lineRule="auto"/>
      </w:pPr>
      <w:r>
        <w:t xml:space="preserve">Demanda de destino</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2670"/>
        <w:gridCol w:w="1600"/>
        <w:gridCol w:w="1600"/>
        <w:gridCol w:w="1600"/>
        <w:gridCol w:w="1600"/>
      </w:tblGrid>
      <w:tr>
        <w:trPr>
          <w:tblHeader/>
          <w:cantSplit/>
        </w:trPr>
        <w:tc>
          <w:tcPr>
            <w:tcW w:w="26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Variable</w:t>
            </w:r>
          </w:p>
        </w:tc>
        <w:tc>
          <w:tcPr>
            <w:tcW w:w="16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Uruguay</w:t>
            </w:r>
          </w:p>
        </w:tc>
        <w:tc>
          <w:tcPr>
            <w:tcW w:w="16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Paraguay</w:t>
            </w:r>
          </w:p>
        </w:tc>
        <w:tc>
          <w:tcPr>
            <w:tcW w:w="16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Colombia</w:t>
            </w:r>
          </w:p>
        </w:tc>
        <w:tc>
          <w:tcPr>
            <w:tcW w:w="16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EE.UU.</w:t>
            </w:r>
          </w:p>
        </w:tc>
      </w:tr>
      <w:tr>
        <w:trPr>
          <w:cantSplit/>
        </w:trPr>
        <w:tc>
          <w:tcPr>
            <w:tcW w:w="2670" w:type="dxa"/>
            <w:vAlign w:val="center"/>
            <w:tcMar>
              <w:top w:w="80" w:type="dxa"/>
              <w:bottom w:w="80" w:type="dxa"/>
              <w:left w:w="110" w:type="dxa"/>
              <w:right w:w="110" w:type="dxa"/>
            </w:tcMar>
          </w:tcPr>
          <w:p>
            <w:pPr>
              <w:spacing w:before="0" w:after="0" w:line="276" w:lineRule="auto"/>
            </w:pPr>
            <w:r>
              <w:t xml:space="preserve">Volumen importado 2202.99</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670" w:type="dxa"/>
            <w:shd w:val="clear" w:color="auto" w:fill="F3F6F3"/>
            <w:vAlign w:val="center"/>
            <w:tcMar>
              <w:top w:w="80" w:type="dxa"/>
              <w:bottom w:w="80" w:type="dxa"/>
              <w:left w:w="110" w:type="dxa"/>
              <w:right w:w="110" w:type="dxa"/>
            </w:tcMar>
          </w:tcPr>
          <w:p>
            <w:pPr>
              <w:spacing w:before="0" w:after="0" w:line="276" w:lineRule="auto"/>
            </w:pPr>
            <w:r>
              <w:t xml:space="preserve">Valor importado 2202.99</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670" w:type="dxa"/>
            <w:vAlign w:val="center"/>
            <w:tcMar>
              <w:top w:w="80" w:type="dxa"/>
              <w:bottom w:w="80" w:type="dxa"/>
              <w:left w:w="110" w:type="dxa"/>
              <w:right w:w="110" w:type="dxa"/>
            </w:tcMar>
          </w:tcPr>
          <w:p>
            <w:pPr>
              <w:spacing w:before="0" w:after="0" w:line="276" w:lineRule="auto"/>
            </w:pPr>
            <w:r>
              <w:t xml:space="preserve">Tendencia últimos 5 años</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670" w:type="dxa"/>
            <w:shd w:val="clear" w:color="auto" w:fill="F3F6F3"/>
            <w:vAlign w:val="center"/>
            <w:tcMar>
              <w:top w:w="80" w:type="dxa"/>
              <w:bottom w:w="80" w:type="dxa"/>
              <w:left w:w="110" w:type="dxa"/>
              <w:right w:w="110" w:type="dxa"/>
            </w:tcMar>
          </w:tcPr>
          <w:p>
            <w:pPr>
              <w:spacing w:before="0" w:after="0" w:line="276" w:lineRule="auto"/>
            </w:pPr>
            <w:r>
              <w:t xml:space="preserve">Quién domina el mercado</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670" w:type="dxa"/>
            <w:vAlign w:val="center"/>
            <w:tcMar>
              <w:top w:w="80" w:type="dxa"/>
              <w:bottom w:w="80" w:type="dxa"/>
              <w:left w:w="110" w:type="dxa"/>
              <w:right w:w="110" w:type="dxa"/>
            </w:tcMar>
          </w:tcPr>
          <w:p>
            <w:pPr>
              <w:spacing w:before="0" w:after="0" w:line="276" w:lineRule="auto"/>
            </w:pPr>
            <w:r>
              <w:t xml:space="preserve">Precio de referencia US$/unidad</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670" w:type="dxa"/>
            <w:shd w:val="clear" w:color="auto" w:fill="F3F6F3"/>
            <w:vAlign w:val="center"/>
            <w:tcMar>
              <w:top w:w="80" w:type="dxa"/>
              <w:bottom w:w="80" w:type="dxa"/>
              <w:left w:w="110" w:type="dxa"/>
              <w:right w:w="110" w:type="dxa"/>
            </w:tcMar>
          </w:tcPr>
          <w:p>
            <w:pPr>
              <w:spacing w:before="0" w:after="0" w:line="276" w:lineRule="auto"/>
            </w:pPr>
            <w:r>
              <w:t xml:space="preserve">Acuerdo comercial vigente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1B5E20"/>
              </w:rPr>
              <w:t xml:space="preserve">ACE 35 + ACE 73</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color w:val="1B5E20"/>
              </w:rPr>
              <w:t xml:space="preserve">ACE 35</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color w:val="1B5E20"/>
              </w:rPr>
              <w:t xml:space="preserve">Alianza del Pacífico</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TLC + sobretasa 12,5 %</w:t>
            </w:r>
          </w:p>
        </w:tc>
      </w:tr>
      <w:tr>
        <w:trPr>
          <w:cantSplit/>
        </w:trPr>
        <w:tc>
          <w:tcPr>
            <w:tcW w:w="2670" w:type="dxa"/>
            <w:vAlign w:val="center"/>
            <w:tcMar>
              <w:top w:w="80" w:type="dxa"/>
              <w:bottom w:w="80" w:type="dxa"/>
              <w:left w:w="110" w:type="dxa"/>
              <w:right w:w="110" w:type="dxa"/>
            </w:tcMar>
          </w:tcPr>
          <w:p>
            <w:pPr>
              <w:spacing w:before="0" w:after="0" w:line="276" w:lineRule="auto"/>
            </w:pPr>
            <w:r>
              <w:t xml:space="preserve">Arancel aplicable a 2202.99</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vAlign w:val="center"/>
            <w:tcMar>
              <w:top w:w="80" w:type="dxa"/>
              <w:bottom w:w="80" w:type="dxa"/>
              <w:left w:w="110" w:type="dxa"/>
              <w:right w:w="110" w:type="dxa"/>
            </w:tcMar>
          </w:tcPr>
          <w:p>
            <w:pPr>
              <w:spacing w:before="0" w:after="0" w:line="276" w:lineRule="auto"/>
              <w:jc w:val="center"/>
            </w:pPr>
            <w:r>
              <w:rPr>
                <w:b/>
                <w:color w:val="B3261E"/>
              </w:rPr>
              <w:t xml:space="preserve">[!]</w:t>
            </w:r>
          </w:p>
        </w:tc>
      </w:tr>
      <w:tr>
        <w:trPr>
          <w:cantSplit/>
        </w:trPr>
        <w:tc>
          <w:tcPr>
            <w:tcW w:w="2670" w:type="dxa"/>
            <w:shd w:val="clear" w:color="auto" w:fill="F3F6F3"/>
            <w:vAlign w:val="center"/>
            <w:tcMar>
              <w:top w:w="80" w:type="dxa"/>
              <w:bottom w:w="80" w:type="dxa"/>
              <w:left w:w="110" w:type="dxa"/>
              <w:right w:w="110" w:type="dxa"/>
            </w:tcMar>
          </w:tcPr>
          <w:p>
            <w:pPr>
              <w:spacing w:before="0" w:after="0" w:line="276" w:lineRule="auto"/>
            </w:pPr>
            <w:r>
              <w:t xml:space="preserve">Tipo de cambio CLP / moneda local</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c>
          <w:tcPr>
            <w:tcW w:w="1600" w:type="dxa"/>
            <w:shd w:val="clear" w:color="auto" w:fill="F3F6F3"/>
            <w:vAlign w:val="center"/>
            <w:tcMar>
              <w:top w:w="80" w:type="dxa"/>
              <w:bottom w:w="80" w:type="dxa"/>
              <w:left w:w="110" w:type="dxa"/>
              <w:right w:w="110" w:type="dxa"/>
            </w:tcMar>
          </w:tcPr>
          <w:p>
            <w:pPr>
              <w:spacing w:before="0" w:after="0" w:line="276" w:lineRule="auto"/>
              <w:jc w:val="center"/>
            </w:pPr>
            <w:r>
              <w:rPr>
                <w:b/>
                <w:color w:val="B3261E"/>
              </w:rPr>
              <w:t xml:space="preserve">[!]</w:t>
            </w:r>
          </w:p>
        </w:tc>
      </w:tr>
    </w:tbl>
    <w:p>
      <w:pPr>
        <w:spacing w:before="0" w:after="120" w:line="276" w:lineRule="auto"/>
      </w:pPr>
      <w:r>
        <w:t xml:space="preserve"/>
      </w:r>
    </w:p>
    <w:p>
      <w:pPr>
        <w:spacing w:before="0" w:after="200" w:line="276" w:lineRule="auto"/>
        <w:jc w:val="left"/>
      </w:pPr>
      <w:r>
        <w:rPr>
          <w:b/>
          <w:sz w:val="18"/>
        </w:rPr>
        <w:t xml:space="preserve">Tabla 7. </w:t>
      </w:r>
      <w:r>
        <w:rPr>
          <w:sz w:val="18"/>
        </w:rPr>
        <w:t xml:space="preserve">Demanda de los mercados de destino. Las celdas marcadas [!] constituyen la tarea pendiente de este punto.</w:t>
      </w:r>
    </w:p>
    <w:p>
      <w:pPr>
        <w:spacing w:before="0" w:after="120" w:line="276" w:lineRule="auto"/>
        <w:jc w:val="both"/>
      </w:pPr>
      <w:r>
        <w:rPr>
          <w:b/>
        </w:rPr>
        <w:t xml:space="preserve">Las celdas pendientes se dejaron marcadas en lugar de rellenarse con cifras estimadas</w:t>
      </w:r>
      <w:r>
        <w:t xml:space="preserve">. Fuentes para obtener cada una:</w:t>
      </w:r>
    </w:p>
    <w:p>
      <w:pPr>
        <w:pStyle w:val="ListNumber"/>
        <w:spacing w:before="0" w:after="60" w:line="276" w:lineRule="auto"/>
        <w:ind w:left="360"/>
      </w:pPr>
      <w:r>
        <w:rPr>
          <w:b/>
        </w:rPr>
        <w:t xml:space="preserve">Volumen, valor y tendencia: </w:t>
      </w:r>
      <w:r>
        <w:t xml:space="preserve">Trade Map (ITC) o UN Comtrade, filtrando por partida 2202.99 y país importador.</w:t>
      </w:r>
    </w:p>
    <w:p>
      <w:pPr>
        <w:pStyle w:val="ListNumber"/>
        <w:spacing w:before="0" w:after="60" w:line="276" w:lineRule="auto"/>
        <w:ind w:left="360"/>
      </w:pPr>
      <w:r>
        <w:rPr>
          <w:b/>
        </w:rPr>
        <w:t xml:space="preserve">Quién domina el mercado: </w:t>
      </w:r>
      <w:r>
        <w:t xml:space="preserve">Trade Map entrega los países proveedores; los competidores de marca se identifican en el retail de cada destino.</w:t>
      </w:r>
    </w:p>
    <w:p>
      <w:pPr>
        <w:pStyle w:val="ListNumber"/>
        <w:spacing w:before="0" w:after="60" w:line="276" w:lineRule="auto"/>
        <w:ind w:left="360"/>
      </w:pPr>
      <w:r>
        <w:rPr>
          <w:b/>
        </w:rPr>
        <w:t xml:space="preserve">Precio de referencia: </w:t>
      </w:r>
      <w:r>
        <w:t xml:space="preserve">comercio electrónico y retail del destino, expresado en US$ por unidad equivalente de 330 ml para que resulte comparable.</w:t>
      </w:r>
    </w:p>
    <w:p>
      <w:pPr>
        <w:pStyle w:val="ListNumber"/>
        <w:spacing w:before="0" w:after="60" w:line="276" w:lineRule="auto"/>
        <w:ind w:left="360"/>
      </w:pPr>
      <w:r>
        <w:rPr>
          <w:b/>
        </w:rPr>
        <w:t xml:space="preserve">Arancel aplicable: </w:t>
      </w:r>
      <w:r>
        <w:t xml:space="preserve">arancel de aduanas de cada país con el código local completo, más la lista de desgravación del acuerdo correspondiente.</w:t>
      </w:r>
    </w:p>
    <w:p>
      <w:pPr>
        <w:pStyle w:val="ListNumber"/>
        <w:spacing w:before="0" w:after="60" w:line="276" w:lineRule="auto"/>
        <w:ind w:left="360"/>
      </w:pPr>
      <w:r>
        <w:rPr>
          <w:b/>
        </w:rPr>
        <w:t xml:space="preserve">Tipo de cambio: </w:t>
      </w:r>
      <w:r>
        <w:t xml:space="preserve">Banco Central de Chile, indicando fecha explícita. Es un dato que varía a diario y sin fecha no resulta citable.</w:t>
      </w:r>
    </w:p>
    <w:p>
      <w:r>
        <w:br w:type="page"/>
      </w:r>
    </w:p>
    <w:p>
      <w:pPr>
        <w:pStyle w:val="Heading2"/>
        <w:keepNext/>
        <w:spacing w:before="0" w:after="120" w:line="276" w:lineRule="auto"/>
      </w:pPr>
      <w:r>
        <w:t xml:space="preserve">1.c  Decisión de productos-mercados</w:t>
      </w:r>
    </w:p>
    <w:p>
      <w:pPr>
        <w:pStyle w:val="Quote"/>
        <w:spacing w:before="0" w:after="120" w:line="276" w:lineRule="auto"/>
        <w:jc w:val="both"/>
      </w:pPr>
      <w:r>
        <w:rPr>
          <w:i/>
        </w:rPr>
        <w:t xml:space="preserve">Criterio de la asignatura: decisión = síntesis de los modelos + acuerdo comercial vigente + tipo de cambio.</w:t>
      </w:r>
    </w:p>
    <w:p>
      <w:pPr>
        <w:pStyle w:val="Heading3"/>
        <w:keepNext/>
        <w:spacing w:before="240" w:after="120" w:line="276" w:lineRule="auto"/>
      </w:pPr>
      <w:r>
        <w:t xml:space="preserve">Síntesis y jerarquía resultante</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620"/>
        <w:gridCol w:w="1550"/>
        <w:gridCol w:w="1900"/>
        <w:gridCol w:w="5000"/>
      </w:tblGrid>
      <w:tr>
        <w:trPr>
          <w:tblHeader/>
          <w:cantSplit/>
        </w:trPr>
        <w:tc>
          <w:tcPr>
            <w:tcW w:w="62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Orden</w:t>
            </w:r>
          </w:p>
        </w:tc>
        <w:tc>
          <w:tcPr>
            <w:tcW w:w="15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Mercado</w:t>
            </w:r>
          </w:p>
        </w:tc>
        <w:tc>
          <w:tcPr>
            <w:tcW w:w="19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Rol propuesto</w:t>
            </w:r>
          </w:p>
        </w:tc>
        <w:tc>
          <w:tcPr>
            <w:tcW w:w="50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Fundamento</w:t>
            </w:r>
          </w:p>
        </w:tc>
      </w:tr>
      <w:tr>
        <w:trPr>
          <w:cantSplit/>
        </w:trPr>
        <w:tc>
          <w:tcPr>
            <w:tcW w:w="620" w:type="dxa"/>
            <w:vAlign w:val="center"/>
            <w:tcMar>
              <w:top w:w="80" w:type="dxa"/>
              <w:bottom w:w="80" w:type="dxa"/>
              <w:left w:w="110" w:type="dxa"/>
              <w:right w:w="110" w:type="dxa"/>
            </w:tcMar>
          </w:tcPr>
          <w:p>
            <w:pPr>
              <w:spacing w:before="0" w:after="0" w:line="276" w:lineRule="auto"/>
              <w:jc w:val="center"/>
            </w:pPr>
            <w:r>
              <w:rPr>
                <w:b/>
              </w:rPr>
              <w:t xml:space="preserve">1.º</w:t>
            </w:r>
          </w:p>
        </w:tc>
        <w:tc>
          <w:tcPr>
            <w:tcW w:w="1550" w:type="dxa"/>
            <w:vAlign w:val="center"/>
            <w:tcMar>
              <w:top w:w="80" w:type="dxa"/>
              <w:bottom w:w="80" w:type="dxa"/>
              <w:left w:w="110" w:type="dxa"/>
              <w:right w:w="110" w:type="dxa"/>
            </w:tcMar>
          </w:tcPr>
          <w:p>
            <w:pPr>
              <w:spacing w:before="0" w:after="0" w:line="276" w:lineRule="auto"/>
            </w:pPr>
            <w:r>
              <w:rPr>
                <w:b/>
              </w:rPr>
              <w:t xml:space="preserve">Uruguay</w:t>
            </w:r>
          </w:p>
        </w:tc>
        <w:tc>
          <w:tcPr>
            <w:tcW w:w="1900" w:type="dxa"/>
            <w:vAlign w:val="center"/>
            <w:tcMar>
              <w:top w:w="80" w:type="dxa"/>
              <w:bottom w:w="80" w:type="dxa"/>
              <w:left w:w="110" w:type="dxa"/>
              <w:right w:w="110" w:type="dxa"/>
            </w:tcMar>
          </w:tcPr>
          <w:p>
            <w:pPr>
              <w:spacing w:before="0" w:after="0" w:line="276" w:lineRule="auto"/>
            </w:pPr>
            <w:r>
              <w:rPr>
                <w:b/>
                <w:color w:val="1B5E20"/>
              </w:rPr>
              <w:t xml:space="preserve">Mercado de entrada</w:t>
            </w:r>
          </w:p>
        </w:tc>
        <w:tc>
          <w:tcPr>
            <w:tcW w:w="5000" w:type="dxa"/>
            <w:vAlign w:val="center"/>
            <w:tcMar>
              <w:top w:w="80" w:type="dxa"/>
              <w:bottom w:w="80" w:type="dxa"/>
              <w:left w:w="110" w:type="dxa"/>
              <w:right w:w="110" w:type="dxa"/>
            </w:tcMar>
          </w:tcPr>
          <w:p>
            <w:pPr>
              <w:spacing w:before="0" w:after="0" w:line="276" w:lineRule="auto"/>
            </w:pPr>
            <w:r>
              <w:t xml:space="preserve">Menor distancia CAGE (6 de 20) y el marco comercial más sólido: ACE 35 con desgravación completa más el TLC bilateral ACE 73. Mercado compacto y concentrado en Montevideo, donde un solo distribuidor cubre casi todo el país, de modo que el error resulta barato. Su debilidad —el tamaño— es irrelevante en una fase de aprendizaje.</w:t>
            </w:r>
          </w:p>
        </w:tc>
      </w:tr>
      <w:tr>
        <w:trPr>
          <w:cantSplit/>
        </w:trPr>
        <w:tc>
          <w:tcPr>
            <w:tcW w:w="62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2.º</w:t>
            </w:r>
          </w:p>
        </w:tc>
        <w:tc>
          <w:tcPr>
            <w:tcW w:w="1550" w:type="dxa"/>
            <w:shd w:val="clear" w:color="auto" w:fill="F3F6F3"/>
            <w:vAlign w:val="center"/>
            <w:tcMar>
              <w:top w:w="80" w:type="dxa"/>
              <w:bottom w:w="80" w:type="dxa"/>
              <w:left w:w="110" w:type="dxa"/>
              <w:right w:w="110" w:type="dxa"/>
            </w:tcMar>
          </w:tcPr>
          <w:p>
            <w:pPr>
              <w:spacing w:before="0" w:after="0" w:line="276" w:lineRule="auto"/>
            </w:pPr>
            <w:r>
              <w:rPr>
                <w:b/>
              </w:rPr>
              <w:t xml:space="preserve">Colombia</w:t>
            </w:r>
          </w:p>
        </w:tc>
        <w:tc>
          <w:tcPr>
            <w:tcW w:w="1900" w:type="dxa"/>
            <w:shd w:val="clear" w:color="auto" w:fill="F3F6F3"/>
            <w:vAlign w:val="center"/>
            <w:tcMar>
              <w:top w:w="80" w:type="dxa"/>
              <w:bottom w:w="80" w:type="dxa"/>
              <w:left w:w="110" w:type="dxa"/>
              <w:right w:w="110" w:type="dxa"/>
            </w:tcMar>
          </w:tcPr>
          <w:p>
            <w:pPr>
              <w:spacing w:before="0" w:after="0" w:line="276" w:lineRule="auto"/>
            </w:pPr>
            <w:r>
              <w:rPr>
                <w:b/>
              </w:rPr>
              <w:t xml:space="preserve">Mercado de escala</w:t>
            </w:r>
          </w:p>
        </w:tc>
        <w:tc>
          <w:tcPr>
            <w:tcW w:w="5000" w:type="dxa"/>
            <w:shd w:val="clear" w:color="auto" w:fill="F3F6F3"/>
            <w:vAlign w:val="center"/>
            <w:tcMar>
              <w:top w:w="80" w:type="dxa"/>
              <w:bottom w:w="80" w:type="dxa"/>
              <w:left w:w="110" w:type="dxa"/>
              <w:right w:w="110" w:type="dxa"/>
            </w:tcMar>
          </w:tcPr>
          <w:p>
            <w:pPr>
              <w:spacing w:before="0" w:after="0" w:line="276" w:lineRule="auto"/>
            </w:pPr>
            <w:r>
              <w:t xml:space="preserve">El más consistente: segundo en ambos modelos (CAGE 10, Papadopoulos 69). Alianza del Pacífico con reglas de origen comunes, clase media urbana amplia y categoría menos saturada que en Estados Unidos. Es donde el volumen se vuelve sostenible.</w:t>
            </w:r>
          </w:p>
        </w:tc>
      </w:tr>
      <w:tr>
        <w:trPr>
          <w:cantSplit/>
        </w:trPr>
        <w:tc>
          <w:tcPr>
            <w:tcW w:w="620" w:type="dxa"/>
            <w:vAlign w:val="center"/>
            <w:tcMar>
              <w:top w:w="80" w:type="dxa"/>
              <w:bottom w:w="80" w:type="dxa"/>
              <w:left w:w="110" w:type="dxa"/>
              <w:right w:w="110" w:type="dxa"/>
            </w:tcMar>
          </w:tcPr>
          <w:p>
            <w:pPr>
              <w:spacing w:before="0" w:after="0" w:line="276" w:lineRule="auto"/>
              <w:jc w:val="center"/>
            </w:pPr>
            <w:r>
              <w:rPr>
                <w:b/>
              </w:rPr>
              <w:t xml:space="preserve">3.º</w:t>
            </w:r>
          </w:p>
        </w:tc>
        <w:tc>
          <w:tcPr>
            <w:tcW w:w="1550" w:type="dxa"/>
            <w:vAlign w:val="center"/>
            <w:tcMar>
              <w:top w:w="80" w:type="dxa"/>
              <w:bottom w:w="80" w:type="dxa"/>
              <w:left w:w="110" w:type="dxa"/>
              <w:right w:w="110" w:type="dxa"/>
            </w:tcMar>
          </w:tcPr>
          <w:p>
            <w:pPr>
              <w:spacing w:before="0" w:after="0" w:line="276" w:lineRule="auto"/>
            </w:pPr>
            <w:r>
              <w:rPr>
                <w:b/>
              </w:rPr>
              <w:t xml:space="preserve">Estados Unidos</w:t>
            </w:r>
          </w:p>
        </w:tc>
        <w:tc>
          <w:tcPr>
            <w:tcW w:w="1900" w:type="dxa"/>
            <w:vAlign w:val="center"/>
            <w:tcMar>
              <w:top w:w="80" w:type="dxa"/>
              <w:bottom w:w="80" w:type="dxa"/>
              <w:left w:w="110" w:type="dxa"/>
              <w:right w:w="110" w:type="dxa"/>
            </w:tcMar>
          </w:tcPr>
          <w:p>
            <w:pPr>
              <w:spacing w:before="0" w:after="0" w:line="276" w:lineRule="auto"/>
            </w:pPr>
            <w:r>
              <w:rPr>
                <w:b/>
              </w:rPr>
              <w:t xml:space="preserve">Mercado de valor, condicionado</w:t>
            </w:r>
          </w:p>
        </w:tc>
        <w:tc>
          <w:tcPr>
            <w:tcW w:w="5000" w:type="dxa"/>
            <w:vAlign w:val="center"/>
            <w:tcMar>
              <w:top w:w="80" w:type="dxa"/>
              <w:bottom w:w="80" w:type="dxa"/>
              <w:left w:w="110" w:type="dxa"/>
              <w:right w:w="110" w:type="dxa"/>
            </w:tcMar>
          </w:tcPr>
          <w:p>
            <w:pPr>
              <w:spacing w:before="0" w:after="0" w:line="276" w:lineRule="auto"/>
            </w:pPr>
            <w:r>
              <w:t xml:space="preserve">Máximo atractivo (75) y máxima distancia (15). La categoría ya está instalada y el poder de compra permite precio premium. </w:t>
            </w:r>
            <w:r>
              <w:rPr>
                <w:b/>
              </w:rPr>
              <w:t xml:space="preserve">Su viabilidad depende de una verificación pendiente: </w:t>
            </w:r>
            <w:r>
              <w:t xml:space="preserve">si la partida 2202.99 cae en el 40 % afectado por la sobretasa del 12,5 %, el margen de un producto líquido y pesado se vuelve muy difícil de sostener. Debe abordarse en tercera fase, con producto y argumento ya probados.</w:t>
            </w:r>
          </w:p>
        </w:tc>
      </w:tr>
      <w:tr>
        <w:trPr>
          <w:cantSplit/>
        </w:trPr>
        <w:tc>
          <w:tcPr>
            <w:tcW w:w="62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4.º</w:t>
            </w:r>
          </w:p>
        </w:tc>
        <w:tc>
          <w:tcPr>
            <w:tcW w:w="1550" w:type="dxa"/>
            <w:shd w:val="clear" w:color="auto" w:fill="F3F6F3"/>
            <w:vAlign w:val="center"/>
            <w:tcMar>
              <w:top w:w="80" w:type="dxa"/>
              <w:bottom w:w="80" w:type="dxa"/>
              <w:left w:w="110" w:type="dxa"/>
              <w:right w:w="110" w:type="dxa"/>
            </w:tcMar>
          </w:tcPr>
          <w:p>
            <w:pPr>
              <w:spacing w:before="0" w:after="0" w:line="276" w:lineRule="auto"/>
            </w:pPr>
            <w:r>
              <w:rPr>
                <w:b/>
              </w:rPr>
              <w:t xml:space="preserve">Paraguay</w:t>
            </w:r>
          </w:p>
        </w:tc>
        <w:tc>
          <w:tcPr>
            <w:tcW w:w="1900" w:type="dxa"/>
            <w:shd w:val="clear" w:color="auto" w:fill="F3F6F3"/>
            <w:vAlign w:val="center"/>
            <w:tcMar>
              <w:top w:w="80" w:type="dxa"/>
              <w:bottom w:w="80" w:type="dxa"/>
              <w:left w:w="110" w:type="dxa"/>
              <w:right w:w="110" w:type="dxa"/>
            </w:tcMar>
          </w:tcPr>
          <w:p>
            <w:pPr>
              <w:spacing w:before="0" w:after="0" w:line="276" w:lineRule="auto"/>
            </w:pPr>
            <w:r>
              <w:rPr>
                <w:b/>
                <w:color w:val="B3261E"/>
              </w:rPr>
              <w:t xml:space="preserve">Descartado como prioritario</w:t>
            </w:r>
          </w:p>
        </w:tc>
        <w:tc>
          <w:tcPr>
            <w:tcW w:w="5000" w:type="dxa"/>
            <w:shd w:val="clear" w:color="auto" w:fill="F3F6F3"/>
            <w:vAlign w:val="center"/>
            <w:tcMar>
              <w:top w:w="80" w:type="dxa"/>
              <w:bottom w:w="80" w:type="dxa"/>
              <w:left w:w="110" w:type="dxa"/>
              <w:right w:w="110" w:type="dxa"/>
            </w:tcMar>
          </w:tcPr>
          <w:p>
            <w:pPr>
              <w:spacing w:before="0" w:after="0" w:line="276" w:lineRule="auto"/>
            </w:pPr>
            <w:r>
              <w:t xml:space="preserve">Peor posición combinada (suma 7) y último en atractivo (52). Sin salida al mar, con doble cruce de frontera, mercado pequeño y menor poder de compra en el segmento premium. Se documenta como descartado: descartar con fundamento también es un resultado del punto 1.</w:t>
            </w:r>
          </w:p>
        </w:tc>
      </w:tr>
    </w:tbl>
    <w:p>
      <w:pPr>
        <w:spacing w:before="0" w:after="120" w:line="276" w:lineRule="auto"/>
      </w:pPr>
      <w:r>
        <w:t xml:space="preserve"/>
      </w:r>
    </w:p>
    <w:p>
      <w:pPr>
        <w:spacing w:before="0" w:after="200" w:line="276" w:lineRule="auto"/>
        <w:jc w:val="left"/>
      </w:pPr>
      <w:r>
        <w:rPr>
          <w:b/>
          <w:sz w:val="18"/>
        </w:rPr>
        <w:t xml:space="preserve">Tabla 8. </w:t>
      </w:r>
      <w:r>
        <w:rPr>
          <w:sz w:val="18"/>
        </w:rPr>
        <w:t xml:space="preserve">Decisión producto-mercado y rol asignado a cada destino.</w:t>
      </w:r>
    </w:p>
    <w:p>
      <w:pPr>
        <w:pStyle w:val="Heading3"/>
        <w:keepNext/>
        <w:spacing w:before="240" w:after="120" w:line="276" w:lineRule="auto"/>
      </w:pPr>
      <w:r>
        <w:t xml:space="preserve">Alcance del desarrollo posterior</w:t>
      </w:r>
    </w:p>
    <w:p>
      <w:pPr>
        <w:spacing w:before="0" w:after="120" w:line="276" w:lineRule="auto"/>
        <w:jc w:val="both"/>
      </w:pPr>
      <w:r>
        <w:t xml:space="preserve">La asignatura requiere desarrollar un mínimo de tres países. La matriz entrega exactamente ese resultado: </w:t>
      </w:r>
      <w:r>
        <w:rPr>
          <w:b/>
        </w:rPr>
        <w:t xml:space="preserve">Uruguay, Colombia y Estados Unidos</w:t>
      </w:r>
      <w:r>
        <w:t xml:space="preserve"> se desarrollan en los puntos 2 a 5, y </w:t>
      </w:r>
      <w:r>
        <w:rPr>
          <w:b/>
        </w:rPr>
        <w:t xml:space="preserve">Paraguay queda documentado como descarte argumentado</w:t>
      </w:r>
      <w:r>
        <w:t xml:space="preserve"> dentro del punto 1.</w:t>
      </w:r>
    </w:p>
    <w:p>
      <w:pPr>
        <w:spacing w:before="0" w:after="120" w:line="276" w:lineRule="auto"/>
        <w:jc w:val="both"/>
      </w:pPr>
      <w:r>
        <w:t xml:space="preserve">Esta decisión resuelve además una restricción práctica: con un cuerpo principal de 30 a 40 páginas, desarrollar los puntos 2 a 5 para cuatro países no cabe sin sacrificar profundidad. Tres mercados desarrollados y uno descartado con fundamento constituye un trabajo más sólido que cuatro tratados superficialmente.</w:t>
      </w:r>
    </w:p>
    <w:p>
      <w:pPr>
        <w:pStyle w:val="Heading3"/>
        <w:keepNext/>
        <w:spacing w:before="240" w:after="120" w:line="276" w:lineRule="auto"/>
      </w:pPr>
      <w:r>
        <w:t xml:space="preserve">Secuencia de internacionalización propuesta</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1200"/>
        <w:gridCol w:w="2000"/>
        <w:gridCol w:w="5870"/>
      </w:tblGrid>
      <w:tr>
        <w:trPr>
          <w:tblHeader/>
          <w:cantSplit/>
        </w:trPr>
        <w:tc>
          <w:tcPr>
            <w:tcW w:w="12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Fase</w:t>
            </w:r>
          </w:p>
        </w:tc>
        <w:tc>
          <w:tcPr>
            <w:tcW w:w="20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Mercado</w:t>
            </w:r>
          </w:p>
        </w:tc>
        <w:tc>
          <w:tcPr>
            <w:tcW w:w="58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Objetivo de la fase</w:t>
            </w:r>
          </w:p>
        </w:tc>
      </w:tr>
      <w:tr>
        <w:trPr>
          <w:cantSplit/>
        </w:trPr>
        <w:tc>
          <w:tcPr>
            <w:tcW w:w="1200" w:type="dxa"/>
            <w:vAlign w:val="center"/>
            <w:tcMar>
              <w:top w:w="80" w:type="dxa"/>
              <w:bottom w:w="80" w:type="dxa"/>
              <w:left w:w="110" w:type="dxa"/>
              <w:right w:w="110" w:type="dxa"/>
            </w:tcMar>
          </w:tcPr>
          <w:p>
            <w:pPr>
              <w:spacing w:before="0" w:after="0" w:line="276" w:lineRule="auto"/>
              <w:jc w:val="center"/>
            </w:pPr>
            <w:r>
              <w:rPr>
                <w:b/>
              </w:rPr>
              <w:t xml:space="preserve">Fase 1</w:t>
            </w:r>
          </w:p>
        </w:tc>
        <w:tc>
          <w:tcPr>
            <w:tcW w:w="2000" w:type="dxa"/>
            <w:vAlign w:val="center"/>
            <w:tcMar>
              <w:top w:w="80" w:type="dxa"/>
              <w:bottom w:w="80" w:type="dxa"/>
              <w:left w:w="110" w:type="dxa"/>
              <w:right w:w="110" w:type="dxa"/>
            </w:tcMar>
          </w:tcPr>
          <w:p>
            <w:pPr>
              <w:spacing w:before="0" w:after="0" w:line="276" w:lineRule="auto"/>
            </w:pPr>
            <w:r>
              <w:rPr>
                <w:b/>
              </w:rPr>
              <w:t xml:space="preserve">Uruguay</w:t>
            </w:r>
          </w:p>
        </w:tc>
        <w:tc>
          <w:tcPr>
            <w:tcW w:w="5870" w:type="dxa"/>
            <w:vAlign w:val="center"/>
            <w:tcMar>
              <w:top w:w="80" w:type="dxa"/>
              <w:bottom w:w="80" w:type="dxa"/>
              <w:left w:w="110" w:type="dxa"/>
              <w:right w:w="110" w:type="dxa"/>
            </w:tcMar>
          </w:tcPr>
          <w:p>
            <w:pPr>
              <w:spacing w:before="0" w:after="0" w:line="276" w:lineRule="auto"/>
            </w:pPr>
            <w:r>
              <w:t xml:space="preserve">Aprender a exportar en un mercado donde equivocarse es barato</w:t>
            </w:r>
          </w:p>
        </w:tc>
      </w:tr>
      <w:tr>
        <w:trPr>
          <w:cantSplit/>
        </w:trPr>
        <w:tc>
          <w:tcPr>
            <w:tcW w:w="1200" w:type="dxa"/>
            <w:shd w:val="clear" w:color="auto" w:fill="F3F6F3"/>
            <w:vAlign w:val="center"/>
            <w:tcMar>
              <w:top w:w="80" w:type="dxa"/>
              <w:bottom w:w="80" w:type="dxa"/>
              <w:left w:w="110" w:type="dxa"/>
              <w:right w:w="110" w:type="dxa"/>
            </w:tcMar>
          </w:tcPr>
          <w:p>
            <w:pPr>
              <w:spacing w:before="0" w:after="0" w:line="276" w:lineRule="auto"/>
              <w:jc w:val="center"/>
            </w:pPr>
            <w:r>
              <w:rPr>
                <w:b/>
              </w:rPr>
              <w:t xml:space="preserve">Fase 2</w:t>
            </w:r>
          </w:p>
        </w:tc>
        <w:tc>
          <w:tcPr>
            <w:tcW w:w="2000" w:type="dxa"/>
            <w:shd w:val="clear" w:color="auto" w:fill="F3F6F3"/>
            <w:vAlign w:val="center"/>
            <w:tcMar>
              <w:top w:w="80" w:type="dxa"/>
              <w:bottom w:w="80" w:type="dxa"/>
              <w:left w:w="110" w:type="dxa"/>
              <w:right w:w="110" w:type="dxa"/>
            </w:tcMar>
          </w:tcPr>
          <w:p>
            <w:pPr>
              <w:spacing w:before="0" w:after="0" w:line="276" w:lineRule="auto"/>
            </w:pPr>
            <w:r>
              <w:rPr>
                <w:b/>
              </w:rPr>
              <w:t xml:space="preserve">Colombia</w:t>
            </w:r>
          </w:p>
        </w:tc>
        <w:tc>
          <w:tcPr>
            <w:tcW w:w="5870" w:type="dxa"/>
            <w:shd w:val="clear" w:color="auto" w:fill="F3F6F3"/>
            <w:vAlign w:val="center"/>
            <w:tcMar>
              <w:top w:w="80" w:type="dxa"/>
              <w:bottom w:w="80" w:type="dxa"/>
              <w:left w:w="110" w:type="dxa"/>
              <w:right w:w="110" w:type="dxa"/>
            </w:tcMar>
          </w:tcPr>
          <w:p>
            <w:pPr>
              <w:spacing w:before="0" w:after="0" w:line="276" w:lineRule="auto"/>
            </w:pPr>
            <w:r>
              <w:t xml:space="preserve">Escalar volumen aprovechando el acceso preferencial</w:t>
            </w:r>
          </w:p>
        </w:tc>
      </w:tr>
      <w:tr>
        <w:trPr>
          <w:cantSplit/>
        </w:trPr>
        <w:tc>
          <w:tcPr>
            <w:tcW w:w="1200" w:type="dxa"/>
            <w:vAlign w:val="center"/>
            <w:tcMar>
              <w:top w:w="80" w:type="dxa"/>
              <w:bottom w:w="80" w:type="dxa"/>
              <w:left w:w="110" w:type="dxa"/>
              <w:right w:w="110" w:type="dxa"/>
            </w:tcMar>
          </w:tcPr>
          <w:p>
            <w:pPr>
              <w:spacing w:before="0" w:after="0" w:line="276" w:lineRule="auto"/>
              <w:jc w:val="center"/>
            </w:pPr>
            <w:r>
              <w:rPr>
                <w:b/>
              </w:rPr>
              <w:t xml:space="preserve">Fase 3</w:t>
            </w:r>
          </w:p>
        </w:tc>
        <w:tc>
          <w:tcPr>
            <w:tcW w:w="2000" w:type="dxa"/>
            <w:vAlign w:val="center"/>
            <w:tcMar>
              <w:top w:w="80" w:type="dxa"/>
              <w:bottom w:w="80" w:type="dxa"/>
              <w:left w:w="110" w:type="dxa"/>
              <w:right w:w="110" w:type="dxa"/>
            </w:tcMar>
          </w:tcPr>
          <w:p>
            <w:pPr>
              <w:spacing w:before="0" w:after="0" w:line="276" w:lineRule="auto"/>
            </w:pPr>
            <w:r>
              <w:rPr>
                <w:b/>
              </w:rPr>
              <w:t xml:space="preserve">Estados Unidos</w:t>
            </w:r>
          </w:p>
        </w:tc>
        <w:tc>
          <w:tcPr>
            <w:tcW w:w="5870" w:type="dxa"/>
            <w:vAlign w:val="center"/>
            <w:tcMar>
              <w:top w:w="80" w:type="dxa"/>
              <w:bottom w:w="80" w:type="dxa"/>
              <w:left w:w="110" w:type="dxa"/>
              <w:right w:w="110" w:type="dxa"/>
            </w:tcMar>
          </w:tcPr>
          <w:p>
            <w:pPr>
              <w:spacing w:before="0" w:after="0" w:line="276" w:lineRule="auto"/>
            </w:pPr>
            <w:r>
              <w:t xml:space="preserve">Capturar valor, condicionado al resultado de la verificación arancelaria</w:t>
            </w:r>
          </w:p>
        </w:tc>
      </w:tr>
    </w:tbl>
    <w:p>
      <w:pPr>
        <w:spacing w:before="0" w:after="120" w:line="276" w:lineRule="auto"/>
      </w:pPr>
      <w:r>
        <w:t xml:space="preserve"/>
      </w:r>
    </w:p>
    <w:p>
      <w:pPr>
        <w:spacing w:before="0" w:after="200" w:line="276" w:lineRule="auto"/>
        <w:jc w:val="left"/>
      </w:pPr>
      <w:r>
        <w:rPr>
          <w:b/>
          <w:sz w:val="18"/>
        </w:rPr>
        <w:t xml:space="preserve">Tabla 9. </w:t>
      </w:r>
      <w:r>
        <w:rPr>
          <w:sz w:val="18"/>
        </w:rPr>
        <w:t xml:space="preserve">Secuencia de entrada por fases.</w:t>
      </w:r>
    </w:p>
    <w:p>
      <w:pPr>
        <w:pStyle w:val="Heading3"/>
        <w:keepNext/>
        <w:spacing w:before="240" w:after="120" w:line="276" w:lineRule="auto"/>
      </w:pPr>
      <w:r>
        <w:t xml:space="preserve">La inversión del orden y su justificación</w:t>
      </w:r>
    </w:p>
    <w:p>
      <w:pPr>
        <w:spacing w:before="0" w:after="120" w:line="276" w:lineRule="auto"/>
        <w:jc w:val="both"/>
      </w:pPr>
      <w:r>
        <w:t xml:space="preserve">El orden propuesto </w:t>
      </w:r>
      <w:r>
        <w:rPr>
          <w:b/>
        </w:rPr>
        <w:t xml:space="preserve">no sigue el atractivo de mercado</w:t>
      </w:r>
      <w:r>
        <w:t xml:space="preserve">. Estados Unidos es el más atractivo y se aborda al final; Uruguay es el menos atractivo por tamaño y se aborda primero. Esta inversión requiere justificación explícita.</w:t>
      </w:r>
    </w:p>
    <w:p>
      <w:pPr>
        <w:spacing w:before="0" w:after="120" w:line="276" w:lineRule="auto"/>
        <w:jc w:val="both"/>
      </w:pPr>
      <w:r>
        <w:t xml:space="preserve">El fundamento es que Pinda </w:t>
      </w:r>
      <w:r>
        <w:rPr>
          <w:b/>
        </w:rPr>
        <w:t xml:space="preserve">no exporta en la actualidad</w:t>
      </w:r>
      <w:r>
        <w:t xml:space="preserve">: su etapa real de internacionalización es la exportación pasiva. Para una empresa en esa etapa, la primera decisión no debe maximizar el tamaño del mercado sino </w:t>
      </w:r>
      <w:r>
        <w:rPr>
          <w:b/>
        </w:rPr>
        <w:t xml:space="preserve">minimizar el costo de equivocarse</w:t>
      </w:r>
      <w:r>
        <w:t xml:space="preserve">. Un distribuidor mal elegido en Montevideo constituye un problema acotado y reversible. El mismo error en Estados Unidos, con flete transoceánico, sobretasa arancelaria y un producto fermentado de vida útil limitada, puede terminar con el proyecto exportador completo.</w:t>
      </w:r>
    </w:p>
    <w:p>
      <w:r>
        <w:br w:type="page"/>
      </w:r>
    </w:p>
    <w:p>
      <w:pPr>
        <w:pStyle w:val="Heading1"/>
        <w:keepNext/>
        <w:spacing w:before="0" w:after="120" w:line="276" w:lineRule="auto"/>
      </w:pPr>
      <w:r>
        <w:t xml:space="preserve">Verificaciones pendientes antes de la entrega</w:t>
      </w:r>
    </w:p>
    <w:p>
      <w:pPr>
        <w:spacing w:before="0" w:after="120" w:line="276" w:lineRule="auto"/>
        <w:jc w:val="both"/>
      </w:pPr>
      <w:r>
        <w:t xml:space="preserve">Los siguientes datos aparecen marcados [!] en el documento y deben confirmarse con fuente y fecha antes de la entrega final.</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520"/>
        <w:gridCol w:w="2800"/>
        <w:gridCol w:w="3050"/>
        <w:gridCol w:w="2700"/>
      </w:tblGrid>
      <w:tr>
        <w:trPr>
          <w:tblHeader/>
          <w:cantSplit/>
        </w:trPr>
        <w:tc>
          <w:tcPr>
            <w:tcW w:w="52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N.º</w:t>
            </w:r>
          </w:p>
        </w:tc>
        <w:tc>
          <w:tcPr>
            <w:tcW w:w="28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Dato pendiente</w:t>
            </w:r>
          </w:p>
        </w:tc>
        <w:tc>
          <w:tcPr>
            <w:tcW w:w="305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Dónde obtenerlo</w:t>
            </w:r>
          </w:p>
        </w:tc>
        <w:tc>
          <w:tcPr>
            <w:tcW w:w="27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Impacto</w:t>
            </w:r>
          </w:p>
        </w:tc>
      </w:tr>
      <w:tr>
        <w:trPr>
          <w:cantSplit/>
        </w:trPr>
        <w:tc>
          <w:tcPr>
            <w:tcW w:w="520" w:type="dxa"/>
            <w:vAlign w:val="center"/>
            <w:tcMar>
              <w:top w:w="80" w:type="dxa"/>
              <w:bottom w:w="80" w:type="dxa"/>
              <w:left w:w="110" w:type="dxa"/>
              <w:right w:w="110" w:type="dxa"/>
            </w:tcMar>
          </w:tcPr>
          <w:p>
            <w:pPr>
              <w:spacing w:before="0" w:after="0" w:line="276" w:lineRule="auto"/>
              <w:jc w:val="center"/>
            </w:pPr>
            <w:r>
              <w:t xml:space="preserve">1</w:t>
            </w:r>
          </w:p>
        </w:tc>
        <w:tc>
          <w:tcPr>
            <w:tcW w:w="2800" w:type="dxa"/>
            <w:vAlign w:val="center"/>
            <w:tcMar>
              <w:top w:w="80" w:type="dxa"/>
              <w:bottom w:w="80" w:type="dxa"/>
              <w:left w:w="110" w:type="dxa"/>
              <w:right w:w="110" w:type="dxa"/>
            </w:tcMar>
          </w:tcPr>
          <w:p>
            <w:pPr>
              <w:spacing w:before="0" w:after="0" w:line="276" w:lineRule="auto"/>
            </w:pPr>
            <w:r>
              <w:t xml:space="preserve">Código SACh completo de Chile para la kombucha</w:t>
            </w:r>
          </w:p>
        </w:tc>
        <w:tc>
          <w:tcPr>
            <w:tcW w:w="3050" w:type="dxa"/>
            <w:vAlign w:val="center"/>
            <w:tcMar>
              <w:top w:w="80" w:type="dxa"/>
              <w:bottom w:w="80" w:type="dxa"/>
              <w:left w:w="110" w:type="dxa"/>
              <w:right w:w="110" w:type="dxa"/>
            </w:tcMar>
          </w:tcPr>
          <w:p>
            <w:pPr>
              <w:spacing w:before="0" w:after="0" w:line="276" w:lineRule="auto"/>
            </w:pPr>
            <w:r>
              <w:t xml:space="preserve">Arancel Aduanero vigente, Servicio Nacional de Aduanas</w:t>
            </w:r>
          </w:p>
        </w:tc>
        <w:tc>
          <w:tcPr>
            <w:tcW w:w="2700" w:type="dxa"/>
            <w:vAlign w:val="center"/>
            <w:tcMar>
              <w:top w:w="80" w:type="dxa"/>
              <w:bottom w:w="80" w:type="dxa"/>
              <w:left w:w="110" w:type="dxa"/>
              <w:right w:w="110" w:type="dxa"/>
            </w:tcMar>
          </w:tcPr>
          <w:p>
            <w:pPr>
              <w:spacing w:before="0" w:after="0" w:line="276" w:lineRule="auto"/>
            </w:pPr>
            <w:r>
              <w:rPr>
                <w:b/>
              </w:rPr>
              <w:t xml:space="preserve">Alto: base del punto 3</w:t>
            </w:r>
          </w:p>
        </w:tc>
      </w:tr>
      <w:tr>
        <w:trPr>
          <w:cantSplit/>
        </w:trPr>
        <w:tc>
          <w:tcPr>
            <w:tcW w:w="520" w:type="dxa"/>
            <w:shd w:val="clear" w:color="auto" w:fill="F3F6F3"/>
            <w:vAlign w:val="center"/>
            <w:tcMar>
              <w:top w:w="80" w:type="dxa"/>
              <w:bottom w:w="80" w:type="dxa"/>
              <w:left w:w="110" w:type="dxa"/>
              <w:right w:w="110" w:type="dxa"/>
            </w:tcMar>
          </w:tcPr>
          <w:p>
            <w:pPr>
              <w:spacing w:before="0" w:after="0" w:line="276" w:lineRule="auto"/>
              <w:jc w:val="center"/>
            </w:pPr>
            <w:r>
              <w:t xml:space="preserve">2</w:t>
            </w:r>
          </w:p>
        </w:tc>
        <w:tc>
          <w:tcPr>
            <w:tcW w:w="2800" w:type="dxa"/>
            <w:shd w:val="clear" w:color="auto" w:fill="F3F6F3"/>
            <w:vAlign w:val="center"/>
            <w:tcMar>
              <w:top w:w="80" w:type="dxa"/>
              <w:bottom w:w="80" w:type="dxa"/>
              <w:left w:w="110" w:type="dxa"/>
              <w:right w:w="110" w:type="dxa"/>
            </w:tcMar>
          </w:tcPr>
          <w:p>
            <w:pPr>
              <w:spacing w:before="0" w:after="0" w:line="276" w:lineRule="auto"/>
            </w:pPr>
            <w:r>
              <w:t xml:space="preserve">Código local de 8 o más dígitos en Uruguay, Colombia y EE.UU.</w:t>
            </w:r>
          </w:p>
        </w:tc>
        <w:tc>
          <w:tcPr>
            <w:tcW w:w="3050" w:type="dxa"/>
            <w:shd w:val="clear" w:color="auto" w:fill="F3F6F3"/>
            <w:vAlign w:val="center"/>
            <w:tcMar>
              <w:top w:w="80" w:type="dxa"/>
              <w:bottom w:w="80" w:type="dxa"/>
              <w:left w:w="110" w:type="dxa"/>
              <w:right w:w="110" w:type="dxa"/>
            </w:tcMar>
          </w:tcPr>
          <w:p>
            <w:pPr>
              <w:spacing w:before="0" w:after="0" w:line="276" w:lineRule="auto"/>
            </w:pPr>
            <w:r>
              <w:t xml:space="preserve">Arancel de aduanas de cada país de destino</w:t>
            </w:r>
          </w:p>
        </w:tc>
        <w:tc>
          <w:tcPr>
            <w:tcW w:w="2700" w:type="dxa"/>
            <w:shd w:val="clear" w:color="auto" w:fill="F3F6F3"/>
            <w:vAlign w:val="center"/>
            <w:tcMar>
              <w:top w:w="80" w:type="dxa"/>
              <w:bottom w:w="80" w:type="dxa"/>
              <w:left w:w="110" w:type="dxa"/>
              <w:right w:w="110" w:type="dxa"/>
            </w:tcMar>
          </w:tcPr>
          <w:p>
            <w:pPr>
              <w:spacing w:before="0" w:after="0" w:line="276" w:lineRule="auto"/>
            </w:pPr>
            <w:r>
              <w:t xml:space="preserve">Alto</w:t>
            </w:r>
          </w:p>
        </w:tc>
      </w:tr>
      <w:tr>
        <w:trPr>
          <w:cantSplit/>
        </w:trPr>
        <w:tc>
          <w:tcPr>
            <w:tcW w:w="520" w:type="dxa"/>
            <w:vAlign w:val="center"/>
            <w:tcMar>
              <w:top w:w="80" w:type="dxa"/>
              <w:bottom w:w="80" w:type="dxa"/>
              <w:left w:w="110" w:type="dxa"/>
              <w:right w:w="110" w:type="dxa"/>
            </w:tcMar>
          </w:tcPr>
          <w:p>
            <w:pPr>
              <w:spacing w:before="0" w:after="0" w:line="276" w:lineRule="auto"/>
              <w:jc w:val="center"/>
            </w:pPr>
            <w:r>
              <w:t xml:space="preserve">3</w:t>
            </w:r>
          </w:p>
        </w:tc>
        <w:tc>
          <w:tcPr>
            <w:tcW w:w="2800" w:type="dxa"/>
            <w:vAlign w:val="center"/>
            <w:tcMar>
              <w:top w:w="80" w:type="dxa"/>
              <w:bottom w:w="80" w:type="dxa"/>
              <w:left w:w="110" w:type="dxa"/>
              <w:right w:w="110" w:type="dxa"/>
            </w:tcMar>
          </w:tcPr>
          <w:p>
            <w:pPr>
              <w:spacing w:before="0" w:after="0" w:line="276" w:lineRule="auto"/>
            </w:pPr>
            <w:r>
              <w:rPr>
                <w:b/>
              </w:rPr>
              <w:t xml:space="preserve">Si la partida 2202.99 está afectada por la sobretasa estadounidense del 12,5 %</w:t>
            </w:r>
          </w:p>
        </w:tc>
        <w:tc>
          <w:tcPr>
            <w:tcW w:w="3050" w:type="dxa"/>
            <w:vAlign w:val="center"/>
            <w:tcMar>
              <w:top w:w="80" w:type="dxa"/>
              <w:bottom w:w="80" w:type="dxa"/>
              <w:left w:w="110" w:type="dxa"/>
              <w:right w:w="110" w:type="dxa"/>
            </w:tcMar>
          </w:tcPr>
          <w:p>
            <w:pPr>
              <w:spacing w:before="0" w:after="0" w:line="276" w:lineRule="auto"/>
            </w:pPr>
            <w:r>
              <w:t xml:space="preserve">SUBREI, USTR, listado de productos afectados</w:t>
            </w:r>
          </w:p>
        </w:tc>
        <w:tc>
          <w:tcPr>
            <w:tcW w:w="2700" w:type="dxa"/>
            <w:vAlign w:val="center"/>
            <w:tcMar>
              <w:top w:w="80" w:type="dxa"/>
              <w:bottom w:w="80" w:type="dxa"/>
              <w:left w:w="110" w:type="dxa"/>
              <w:right w:w="110" w:type="dxa"/>
            </w:tcMar>
          </w:tcPr>
          <w:p>
            <w:pPr>
              <w:spacing w:before="0" w:after="0" w:line="276" w:lineRule="auto"/>
            </w:pPr>
            <w:r>
              <w:rPr>
                <w:b/>
                <w:color w:val="B3261E"/>
              </w:rPr>
              <w:t xml:space="preserve">Crítico: define la viabilidad de EE.UU.</w:t>
            </w:r>
          </w:p>
        </w:tc>
      </w:tr>
      <w:tr>
        <w:trPr>
          <w:cantSplit/>
        </w:trPr>
        <w:tc>
          <w:tcPr>
            <w:tcW w:w="520" w:type="dxa"/>
            <w:shd w:val="clear" w:color="auto" w:fill="F3F6F3"/>
            <w:vAlign w:val="center"/>
            <w:tcMar>
              <w:top w:w="80" w:type="dxa"/>
              <w:bottom w:w="80" w:type="dxa"/>
              <w:left w:w="110" w:type="dxa"/>
              <w:right w:w="110" w:type="dxa"/>
            </w:tcMar>
          </w:tcPr>
          <w:p>
            <w:pPr>
              <w:spacing w:before="0" w:after="0" w:line="276" w:lineRule="auto"/>
              <w:jc w:val="center"/>
            </w:pPr>
            <w:r>
              <w:t xml:space="preserve">4</w:t>
            </w:r>
          </w:p>
        </w:tc>
        <w:tc>
          <w:tcPr>
            <w:tcW w:w="2800" w:type="dxa"/>
            <w:shd w:val="clear" w:color="auto" w:fill="F3F6F3"/>
            <w:vAlign w:val="center"/>
            <w:tcMar>
              <w:top w:w="80" w:type="dxa"/>
              <w:bottom w:w="80" w:type="dxa"/>
              <w:left w:w="110" w:type="dxa"/>
              <w:right w:w="110" w:type="dxa"/>
            </w:tcMar>
          </w:tcPr>
          <w:p>
            <w:pPr>
              <w:spacing w:before="0" w:after="0" w:line="276" w:lineRule="auto"/>
            </w:pPr>
            <w:r>
              <w:t xml:space="preserve">Datos de importación de 2202.99 por país</w:t>
            </w:r>
          </w:p>
        </w:tc>
        <w:tc>
          <w:tcPr>
            <w:tcW w:w="3050" w:type="dxa"/>
            <w:shd w:val="clear" w:color="auto" w:fill="F3F6F3"/>
            <w:vAlign w:val="center"/>
            <w:tcMar>
              <w:top w:w="80" w:type="dxa"/>
              <w:bottom w:w="80" w:type="dxa"/>
              <w:left w:w="110" w:type="dxa"/>
              <w:right w:w="110" w:type="dxa"/>
            </w:tcMar>
          </w:tcPr>
          <w:p>
            <w:pPr>
              <w:spacing w:before="0" w:after="0" w:line="276" w:lineRule="auto"/>
            </w:pPr>
            <w:r>
              <w:t xml:space="preserve">Trade Map (ITC) o UN Comtrade</w:t>
            </w:r>
          </w:p>
        </w:tc>
        <w:tc>
          <w:tcPr>
            <w:tcW w:w="2700" w:type="dxa"/>
            <w:shd w:val="clear" w:color="auto" w:fill="F3F6F3"/>
            <w:vAlign w:val="center"/>
            <w:tcMar>
              <w:top w:w="80" w:type="dxa"/>
              <w:bottom w:w="80" w:type="dxa"/>
              <w:left w:w="110" w:type="dxa"/>
              <w:right w:w="110" w:type="dxa"/>
            </w:tcMar>
          </w:tcPr>
          <w:p>
            <w:pPr>
              <w:spacing w:before="0" w:after="0" w:line="276" w:lineRule="auto"/>
            </w:pPr>
            <w:r>
              <w:t xml:space="preserve">Alto: sustituye estimaciones</w:t>
            </w:r>
          </w:p>
        </w:tc>
      </w:tr>
      <w:tr>
        <w:trPr>
          <w:cantSplit/>
        </w:trPr>
        <w:tc>
          <w:tcPr>
            <w:tcW w:w="520" w:type="dxa"/>
            <w:vAlign w:val="center"/>
            <w:tcMar>
              <w:top w:w="80" w:type="dxa"/>
              <w:bottom w:w="80" w:type="dxa"/>
              <w:left w:w="110" w:type="dxa"/>
              <w:right w:w="110" w:type="dxa"/>
            </w:tcMar>
          </w:tcPr>
          <w:p>
            <w:pPr>
              <w:spacing w:before="0" w:after="0" w:line="276" w:lineRule="auto"/>
              <w:jc w:val="center"/>
            </w:pPr>
            <w:r>
              <w:t xml:space="preserve">5</w:t>
            </w:r>
          </w:p>
        </w:tc>
        <w:tc>
          <w:tcPr>
            <w:tcW w:w="2800" w:type="dxa"/>
            <w:vAlign w:val="center"/>
            <w:tcMar>
              <w:top w:w="80" w:type="dxa"/>
              <w:bottom w:w="80" w:type="dxa"/>
              <w:left w:w="110" w:type="dxa"/>
              <w:right w:w="110" w:type="dxa"/>
            </w:tcMar>
          </w:tcPr>
          <w:p>
            <w:pPr>
              <w:spacing w:before="0" w:after="0" w:line="276" w:lineRule="auto"/>
            </w:pPr>
            <w:r>
              <w:t xml:space="preserve">Capacidad productiva real de Pinda</w:t>
            </w:r>
          </w:p>
        </w:tc>
        <w:tc>
          <w:tcPr>
            <w:tcW w:w="3050" w:type="dxa"/>
            <w:vAlign w:val="center"/>
            <w:tcMar>
              <w:top w:w="80" w:type="dxa"/>
              <w:bottom w:w="80" w:type="dxa"/>
              <w:left w:w="110" w:type="dxa"/>
              <w:right w:w="110" w:type="dxa"/>
            </w:tcMar>
          </w:tcPr>
          <w:p>
            <w:pPr>
              <w:spacing w:before="0" w:after="0" w:line="276" w:lineRule="auto"/>
            </w:pPr>
            <w:r>
              <w:t xml:space="preserve">Información directa de la empresa</w:t>
            </w:r>
          </w:p>
        </w:tc>
        <w:tc>
          <w:tcPr>
            <w:tcW w:w="2700" w:type="dxa"/>
            <w:vAlign w:val="center"/>
            <w:tcMar>
              <w:top w:w="80" w:type="dxa"/>
              <w:bottom w:w="80" w:type="dxa"/>
              <w:left w:w="110" w:type="dxa"/>
              <w:right w:w="110" w:type="dxa"/>
            </w:tcMar>
          </w:tcPr>
          <w:p>
            <w:pPr>
              <w:spacing w:before="0" w:after="0" w:line="276" w:lineRule="auto"/>
            </w:pPr>
            <w:r>
              <w:rPr>
                <w:b/>
              </w:rPr>
              <w:t xml:space="preserve">Alto: sin este dato el plan no tiene techo</w:t>
            </w:r>
          </w:p>
        </w:tc>
      </w:tr>
      <w:tr>
        <w:trPr>
          <w:cantSplit/>
        </w:trPr>
        <w:tc>
          <w:tcPr>
            <w:tcW w:w="520" w:type="dxa"/>
            <w:shd w:val="clear" w:color="auto" w:fill="F3F6F3"/>
            <w:vAlign w:val="center"/>
            <w:tcMar>
              <w:top w:w="80" w:type="dxa"/>
              <w:bottom w:w="80" w:type="dxa"/>
              <w:left w:w="110" w:type="dxa"/>
              <w:right w:w="110" w:type="dxa"/>
            </w:tcMar>
          </w:tcPr>
          <w:p>
            <w:pPr>
              <w:spacing w:before="0" w:after="0" w:line="276" w:lineRule="auto"/>
              <w:jc w:val="center"/>
            </w:pPr>
            <w:r>
              <w:t xml:space="preserve">6</w:t>
            </w:r>
          </w:p>
        </w:tc>
        <w:tc>
          <w:tcPr>
            <w:tcW w:w="2800" w:type="dxa"/>
            <w:shd w:val="clear" w:color="auto" w:fill="F3F6F3"/>
            <w:vAlign w:val="center"/>
            <w:tcMar>
              <w:top w:w="80" w:type="dxa"/>
              <w:bottom w:w="80" w:type="dxa"/>
              <w:left w:w="110" w:type="dxa"/>
              <w:right w:w="110" w:type="dxa"/>
            </w:tcMar>
          </w:tcPr>
          <w:p>
            <w:pPr>
              <w:spacing w:before="0" w:after="0" w:line="276" w:lineRule="auto"/>
            </w:pPr>
            <w:r>
              <w:t xml:space="preserve">Tipos de cambio con fecha explícita</w:t>
            </w:r>
          </w:p>
        </w:tc>
        <w:tc>
          <w:tcPr>
            <w:tcW w:w="3050" w:type="dxa"/>
            <w:shd w:val="clear" w:color="auto" w:fill="F3F6F3"/>
            <w:vAlign w:val="center"/>
            <w:tcMar>
              <w:top w:w="80" w:type="dxa"/>
              <w:bottom w:w="80" w:type="dxa"/>
              <w:left w:w="110" w:type="dxa"/>
              <w:right w:w="110" w:type="dxa"/>
            </w:tcMar>
          </w:tcPr>
          <w:p>
            <w:pPr>
              <w:spacing w:before="0" w:after="0" w:line="276" w:lineRule="auto"/>
            </w:pPr>
            <w:r>
              <w:t xml:space="preserve">Banco Central de Chile</w:t>
            </w:r>
          </w:p>
        </w:tc>
        <w:tc>
          <w:tcPr>
            <w:tcW w:w="2700" w:type="dxa"/>
            <w:shd w:val="clear" w:color="auto" w:fill="F3F6F3"/>
            <w:vAlign w:val="center"/>
            <w:tcMar>
              <w:top w:w="80" w:type="dxa"/>
              <w:bottom w:w="80" w:type="dxa"/>
              <w:left w:w="110" w:type="dxa"/>
              <w:right w:w="110" w:type="dxa"/>
            </w:tcMar>
          </w:tcPr>
          <w:p>
            <w:pPr>
              <w:spacing w:before="0" w:after="0" w:line="276" w:lineRule="auto"/>
            </w:pPr>
            <w:r>
              <w:t xml:space="preserve">Medio</w:t>
            </w:r>
          </w:p>
        </w:tc>
      </w:tr>
      <w:tr>
        <w:trPr>
          <w:cantSplit/>
        </w:trPr>
        <w:tc>
          <w:tcPr>
            <w:tcW w:w="520" w:type="dxa"/>
            <w:vAlign w:val="center"/>
            <w:tcMar>
              <w:top w:w="80" w:type="dxa"/>
              <w:bottom w:w="80" w:type="dxa"/>
              <w:left w:w="110" w:type="dxa"/>
              <w:right w:w="110" w:type="dxa"/>
            </w:tcMar>
          </w:tcPr>
          <w:p>
            <w:pPr>
              <w:spacing w:before="0" w:after="0" w:line="276" w:lineRule="auto"/>
              <w:jc w:val="center"/>
            </w:pPr>
            <w:r>
              <w:t xml:space="preserve">7</w:t>
            </w:r>
          </w:p>
        </w:tc>
        <w:tc>
          <w:tcPr>
            <w:tcW w:w="2800" w:type="dxa"/>
            <w:vAlign w:val="center"/>
            <w:tcMar>
              <w:top w:w="80" w:type="dxa"/>
              <w:bottom w:w="80" w:type="dxa"/>
              <w:left w:w="110" w:type="dxa"/>
              <w:right w:w="110" w:type="dxa"/>
            </w:tcMar>
          </w:tcPr>
          <w:p>
            <w:pPr>
              <w:spacing w:before="0" w:after="0" w:line="276" w:lineRule="auto"/>
            </w:pPr>
            <w:r>
              <w:t xml:space="preserve">Serie actualizada de exportaciones de la Región de Los Ríos</w:t>
            </w:r>
          </w:p>
        </w:tc>
        <w:tc>
          <w:tcPr>
            <w:tcW w:w="3050" w:type="dxa"/>
            <w:vAlign w:val="center"/>
            <w:tcMar>
              <w:top w:w="80" w:type="dxa"/>
              <w:bottom w:w="80" w:type="dxa"/>
              <w:left w:w="110" w:type="dxa"/>
              <w:right w:w="110" w:type="dxa"/>
            </w:tcMar>
          </w:tcPr>
          <w:p>
            <w:pPr>
              <w:spacing w:before="0" w:after="0" w:line="276" w:lineRule="auto"/>
            </w:pPr>
            <w:r>
              <w:t xml:space="preserve">INE o ProChile</w:t>
            </w:r>
          </w:p>
        </w:tc>
        <w:tc>
          <w:tcPr>
            <w:tcW w:w="2700" w:type="dxa"/>
            <w:vAlign w:val="center"/>
            <w:tcMar>
              <w:top w:w="80" w:type="dxa"/>
              <w:bottom w:w="80" w:type="dxa"/>
              <w:left w:w="110" w:type="dxa"/>
              <w:right w:w="110" w:type="dxa"/>
            </w:tcMar>
          </w:tcPr>
          <w:p>
            <w:pPr>
              <w:spacing w:before="0" w:after="0" w:line="276" w:lineRule="auto"/>
            </w:pPr>
            <w:r>
              <w:t xml:space="preserve">Medio</w:t>
            </w:r>
          </w:p>
        </w:tc>
      </w:tr>
    </w:tbl>
    <w:p>
      <w:pPr>
        <w:spacing w:before="0" w:after="120" w:line="276" w:lineRule="auto"/>
      </w:pPr>
      <w:r>
        <w:t xml:space="preserve"/>
      </w:r>
    </w:p>
    <w:p>
      <w:pPr>
        <w:spacing w:before="0" w:after="200" w:line="276" w:lineRule="auto"/>
        <w:jc w:val="left"/>
      </w:pPr>
      <w:r>
        <w:rPr>
          <w:b/>
          <w:sz w:val="18"/>
        </w:rPr>
        <w:t xml:space="preserve">Tabla 10. </w:t>
      </w:r>
      <w:r>
        <w:rPr>
          <w:sz w:val="18"/>
        </w:rPr>
        <w:t xml:space="preserve">Listado de verificaciones pendientes, ordenadas por impacto.</w:t>
      </w:r>
    </w:p>
    <w:p>
      <w:pPr>
        <w:pStyle w:val="Heading1"/>
        <w:keepNext/>
        <w:spacing w:before="240" w:after="120" w:line="276" w:lineRule="auto"/>
      </w:pPr>
      <w:r>
        <w:t xml:space="preserve">Fuentes consultadas</w:t>
      </w:r>
    </w:p>
    <w:tbl>
      <w:tblPr>
        <w:tblW w:w="9070" w:type="dxa"/>
        <w:tblBorders>
          <w:top w:val="single" w:sz="4" w:color="C6CEC6"/>
          <w:left w:val="single" w:sz="4" w:color="C6CEC6"/>
          <w:bottom w:val="single" w:sz="4" w:color="C6CEC6"/>
          <w:right w:val="single" w:sz="4" w:color="C6CEC6"/>
          <w:insideH w:val="single" w:sz="4" w:color="C6CEC6"/>
          <w:insideV w:val="single" w:sz="4" w:color="C6CEC6"/>
        </w:tblBorders>
        <w:tblLayout w:type="fixed"/>
      </w:tblPr>
      <w:tblGrid>
        <w:gridCol w:w="3000"/>
        <w:gridCol w:w="4400"/>
        <w:gridCol w:w="1670"/>
      </w:tblGrid>
      <w:tr>
        <w:trPr>
          <w:tblHeader/>
          <w:cantSplit/>
        </w:trPr>
        <w:tc>
          <w:tcPr>
            <w:tcW w:w="30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Dato</w:t>
            </w:r>
          </w:p>
        </w:tc>
        <w:tc>
          <w:tcPr>
            <w:tcW w:w="440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Fuente</w:t>
            </w:r>
          </w:p>
        </w:tc>
        <w:tc>
          <w:tcPr>
            <w:tcW w:w="1670" w:type="dxa"/>
            <w:shd w:val="clear" w:color="auto" w:fill="1B5E20"/>
            <w:vAlign w:val="center"/>
            <w:tcMar>
              <w:top w:w="80" w:type="dxa"/>
              <w:bottom w:w="80" w:type="dxa"/>
              <w:left w:w="110" w:type="dxa"/>
              <w:right w:w="110" w:type="dxa"/>
            </w:tcMar>
          </w:tcPr>
          <w:p>
            <w:pPr>
              <w:spacing w:before="0" w:after="0" w:line="276" w:lineRule="auto"/>
              <w:jc w:val="center"/>
            </w:pPr>
            <w:r>
              <w:rPr>
                <w:b/>
              </w:rPr>
              <w:t xml:space="preserve">Nivel</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ACE N° 35 Chile–Mercosur: suscrito el 25 de julio de 1996, vigente desde el 1 de octubre de 1996</w:t>
            </w:r>
          </w:p>
        </w:tc>
        <w:tc>
          <w:tcPr>
            <w:tcW w:w="4400" w:type="dxa"/>
            <w:vAlign w:val="center"/>
            <w:tcMar>
              <w:top w:w="80" w:type="dxa"/>
              <w:bottom w:w="80" w:type="dxa"/>
              <w:left w:w="110" w:type="dxa"/>
              <w:right w:w="110" w:type="dxa"/>
            </w:tcMar>
          </w:tcPr>
          <w:p>
            <w:pPr>
              <w:spacing w:before="0" w:after="0" w:line="276" w:lineRule="auto"/>
            </w:pPr>
            <w:r>
              <w:t xml:space="preserve">SUBREI — subrei.gob.cl/acuerdos-comerciales/acuerdos-comerciales-vigentes/mercosur</w:t>
            </w:r>
          </w:p>
        </w:tc>
        <w:tc>
          <w:tcPr>
            <w:tcW w:w="1670" w:type="dxa"/>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ACE N° 73, TLC Chile–Uruguay: vigencia internacional 13 de diciembre de 2018; vigencia en Chile 3 de abril de 2019</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Servicio Nacional de Aduanas — aduana.cl  ·  Ministerio de Economía y Finanzas de Uruguay — gub.uy</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Chile y Uruguay con desgravación completa y Zona de Libre Comercio configurada</w:t>
            </w:r>
          </w:p>
        </w:tc>
        <w:tc>
          <w:tcPr>
            <w:tcW w:w="4400" w:type="dxa"/>
            <w:vAlign w:val="center"/>
            <w:tcMar>
              <w:top w:w="80" w:type="dxa"/>
              <w:bottom w:w="80" w:type="dxa"/>
              <w:left w:w="110" w:type="dxa"/>
              <w:right w:w="110" w:type="dxa"/>
            </w:tcMar>
          </w:tcPr>
          <w:p>
            <w:pPr>
              <w:spacing w:before="0" w:after="0" w:line="276" w:lineRule="auto"/>
            </w:pPr>
            <w:r>
              <w:t xml:space="preserve">Ministerio de Economía y Finanzas de Uruguay — gub.uy</w:t>
            </w:r>
          </w:p>
        </w:tc>
        <w:tc>
          <w:tcPr>
            <w:tcW w:w="1670" w:type="dxa"/>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Alianza del Pacífico: protocolo comercial vigente desde el 1 de mayo de 2016</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Cancillería de Colombia — cancilleria.gov.co</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Listas de desgravación de la Alianza del Pacífico, Anexo 3.4 del Protocolo Adicional</w:t>
            </w:r>
          </w:p>
        </w:tc>
        <w:tc>
          <w:tcPr>
            <w:tcW w:w="4400" w:type="dxa"/>
            <w:vAlign w:val="center"/>
            <w:tcMar>
              <w:top w:w="80" w:type="dxa"/>
              <w:bottom w:w="80" w:type="dxa"/>
              <w:left w:w="110" w:type="dxa"/>
              <w:right w:w="110" w:type="dxa"/>
            </w:tcMar>
          </w:tcPr>
          <w:p>
            <w:pPr>
              <w:spacing w:before="0" w:after="0" w:line="276" w:lineRule="auto"/>
            </w:pPr>
            <w:r>
              <w:t xml:space="preserve">tlc.gov.co</w:t>
            </w:r>
          </w:p>
        </w:tc>
        <w:tc>
          <w:tcPr>
            <w:tcW w:w="1670" w:type="dxa"/>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Sobretasa estadounidense de 12,5 % desde el 24 de julio de 2026, por Memorándum Presidencial del 23 de julio de 2026</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Ex-Ante — ex-ante.cl  ·  La Tercera — latercera.com</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t xml:space="preserve">Prensa</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53 % del valor exportado exento y cerca del 40 % con sobretasa, según cifras de SUBREI</w:t>
            </w:r>
          </w:p>
        </w:tc>
        <w:tc>
          <w:tcPr>
            <w:tcW w:w="4400" w:type="dxa"/>
            <w:vAlign w:val="center"/>
            <w:tcMar>
              <w:top w:w="80" w:type="dxa"/>
              <w:bottom w:w="80" w:type="dxa"/>
              <w:left w:w="110" w:type="dxa"/>
              <w:right w:w="110" w:type="dxa"/>
            </w:tcMar>
          </w:tcPr>
          <w:p>
            <w:pPr>
              <w:spacing w:before="0" w:after="0" w:line="276" w:lineRule="auto"/>
            </w:pPr>
            <w:r>
              <w:t xml:space="preserve">Redimin — redimin.cl</w:t>
            </w:r>
          </w:p>
        </w:tc>
        <w:tc>
          <w:tcPr>
            <w:tcW w:w="1670" w:type="dxa"/>
            <w:vAlign w:val="center"/>
            <w:tcMar>
              <w:top w:w="80" w:type="dxa"/>
              <w:bottom w:w="80" w:type="dxa"/>
              <w:left w:w="110" w:type="dxa"/>
              <w:right w:w="110" w:type="dxa"/>
            </w:tcMar>
          </w:tcPr>
          <w:p>
            <w:pPr>
              <w:spacing w:before="0" w:after="0" w:line="276" w:lineRule="auto"/>
              <w:jc w:val="center"/>
            </w:pPr>
            <w:r>
              <w:t xml:space="preserve">Prensa</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Clasificación arancelaria de la kombucha por consulta vinculante</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Receita Federal de Brasil — Soluções de Consulta COSIT n.º 98316/2019 y n.º 98130/2020</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Glosa de la partida 2202 en la Nomenclatura Común del Mercosur</w:t>
            </w:r>
          </w:p>
        </w:tc>
        <w:tc>
          <w:tcPr>
            <w:tcW w:w="4400" w:type="dxa"/>
            <w:vAlign w:val="center"/>
            <w:tcMar>
              <w:top w:w="80" w:type="dxa"/>
              <w:bottom w:w="80" w:type="dxa"/>
              <w:left w:w="110" w:type="dxa"/>
              <w:right w:w="110" w:type="dxa"/>
            </w:tcMar>
          </w:tcPr>
          <w:p>
            <w:pPr>
              <w:spacing w:before="0" w:after="0" w:line="276" w:lineRule="auto"/>
            </w:pPr>
            <w:r>
              <w:t xml:space="preserve">Receita Federal de Brasil — gov.br/receitafederal</w:t>
            </w:r>
          </w:p>
        </w:tc>
        <w:tc>
          <w:tcPr>
            <w:tcW w:w="1670" w:type="dxa"/>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Arancel general chileno de 6 % ad valorem sobre valor CIF; IVA de 19 %</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Servicio Nacional de Aduanas — aduana.cl</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Exigencias sanitarias según país de destino</w:t>
            </w:r>
          </w:p>
        </w:tc>
        <w:tc>
          <w:tcPr>
            <w:tcW w:w="4400" w:type="dxa"/>
            <w:vAlign w:val="center"/>
            <w:tcMar>
              <w:top w:w="80" w:type="dxa"/>
              <w:bottom w:w="80" w:type="dxa"/>
              <w:left w:w="110" w:type="dxa"/>
              <w:right w:w="110" w:type="dxa"/>
            </w:tcMar>
          </w:tcPr>
          <w:p>
            <w:pPr>
              <w:spacing w:before="0" w:after="0" w:line="276" w:lineRule="auto"/>
            </w:pPr>
            <w:r>
              <w:t xml:space="preserve">ProChile — centrodeayuda.prochile.gob.cl</w:t>
            </w:r>
          </w:p>
        </w:tc>
        <w:tc>
          <w:tcPr>
            <w:tcW w:w="1670" w:type="dxa"/>
            <w:vAlign w:val="center"/>
            <w:tcMar>
              <w:top w:w="80" w:type="dxa"/>
              <w:bottom w:w="80" w:type="dxa"/>
              <w:left w:w="110" w:type="dxa"/>
              <w:right w:w="110" w:type="dxa"/>
            </w:tcMar>
          </w:tcPr>
          <w:p>
            <w:pPr>
              <w:spacing w:before="0" w:after="0" w:line="276" w:lineRule="auto"/>
              <w:jc w:val="center"/>
            </w:pPr>
            <w:r>
              <w:rPr>
                <w:color w:val="1B5E20"/>
              </w:rPr>
              <w:t xml:space="preserve">Institucional</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Producto, formatos y origen de Pinda Kombucha</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Pinda Kombucha — pindakombucha.cl</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rPr>
                <w:color w:val="5F6368"/>
              </w:rPr>
              <w:t xml:space="preserve">Marca: objeto de estudio</w:t>
            </w:r>
          </w:p>
        </w:tc>
      </w:tr>
      <w:tr>
        <w:trPr>
          <w:cantSplit/>
        </w:trPr>
        <w:tc>
          <w:tcPr>
            <w:tcW w:w="3000" w:type="dxa"/>
            <w:vAlign w:val="center"/>
            <w:tcMar>
              <w:top w:w="80" w:type="dxa"/>
              <w:bottom w:w="80" w:type="dxa"/>
              <w:left w:w="110" w:type="dxa"/>
              <w:right w:w="110" w:type="dxa"/>
            </w:tcMar>
          </w:tcPr>
          <w:p>
            <w:pPr>
              <w:spacing w:before="0" w:after="0" w:line="276" w:lineRule="auto"/>
            </w:pPr>
            <w:r>
              <w:t xml:space="preserve">Siete premios internacionales entre 2024 y 2025</w:t>
            </w:r>
          </w:p>
        </w:tc>
        <w:tc>
          <w:tcPr>
            <w:tcW w:w="4400" w:type="dxa"/>
            <w:vAlign w:val="center"/>
            <w:tcMar>
              <w:top w:w="80" w:type="dxa"/>
              <w:bottom w:w="80" w:type="dxa"/>
              <w:left w:w="110" w:type="dxa"/>
              <w:right w:w="110" w:type="dxa"/>
            </w:tcMar>
          </w:tcPr>
          <w:p>
            <w:pPr>
              <w:spacing w:before="0" w:after="0" w:line="276" w:lineRule="auto"/>
            </w:pPr>
            <w:r>
              <w:t xml:space="preserve">Diario Emprende — diarioemprende.cl</w:t>
            </w:r>
          </w:p>
        </w:tc>
        <w:tc>
          <w:tcPr>
            <w:tcW w:w="1670" w:type="dxa"/>
            <w:vAlign w:val="center"/>
            <w:tcMar>
              <w:top w:w="80" w:type="dxa"/>
              <w:bottom w:w="80" w:type="dxa"/>
              <w:left w:w="110" w:type="dxa"/>
              <w:right w:w="110" w:type="dxa"/>
            </w:tcMar>
          </w:tcPr>
          <w:p>
            <w:pPr>
              <w:spacing w:before="0" w:after="0" w:line="276" w:lineRule="auto"/>
              <w:jc w:val="center"/>
            </w:pPr>
            <w:r>
              <w:t xml:space="preserve">Prensa</w:t>
            </w:r>
          </w:p>
        </w:tc>
      </w:tr>
      <w:tr>
        <w:trPr>
          <w:cantSplit/>
        </w:trPr>
        <w:tc>
          <w:tcPr>
            <w:tcW w:w="3000" w:type="dxa"/>
            <w:shd w:val="clear" w:color="auto" w:fill="F3F6F3"/>
            <w:vAlign w:val="center"/>
            <w:tcMar>
              <w:top w:w="80" w:type="dxa"/>
              <w:bottom w:w="80" w:type="dxa"/>
              <w:left w:w="110" w:type="dxa"/>
              <w:right w:w="110" w:type="dxa"/>
            </w:tcMar>
          </w:tcPr>
          <w:p>
            <w:pPr>
              <w:spacing w:before="0" w:after="0" w:line="276" w:lineRule="auto"/>
            </w:pPr>
            <w:r>
              <w:t xml:space="preserve">Kombuchacha como referente competitivo y única kombucha chilena declarada orgánica certificada</w:t>
            </w:r>
          </w:p>
        </w:tc>
        <w:tc>
          <w:tcPr>
            <w:tcW w:w="4400" w:type="dxa"/>
            <w:shd w:val="clear" w:color="auto" w:fill="F3F6F3"/>
            <w:vAlign w:val="center"/>
            <w:tcMar>
              <w:top w:w="80" w:type="dxa"/>
              <w:bottom w:w="80" w:type="dxa"/>
              <w:left w:w="110" w:type="dxa"/>
              <w:right w:w="110" w:type="dxa"/>
            </w:tcMar>
          </w:tcPr>
          <w:p>
            <w:pPr>
              <w:spacing w:before="0" w:after="0" w:line="276" w:lineRule="auto"/>
            </w:pPr>
            <w:r>
              <w:t xml:space="preserve">Publimark — publimark.cl</w:t>
            </w:r>
          </w:p>
        </w:tc>
        <w:tc>
          <w:tcPr>
            <w:tcW w:w="1670" w:type="dxa"/>
            <w:shd w:val="clear" w:color="auto" w:fill="F3F6F3"/>
            <w:vAlign w:val="center"/>
            <w:tcMar>
              <w:top w:w="80" w:type="dxa"/>
              <w:bottom w:w="80" w:type="dxa"/>
              <w:left w:w="110" w:type="dxa"/>
              <w:right w:w="110" w:type="dxa"/>
            </w:tcMar>
          </w:tcPr>
          <w:p>
            <w:pPr>
              <w:spacing w:before="0" w:after="0" w:line="276" w:lineRule="auto"/>
              <w:jc w:val="center"/>
            </w:pPr>
            <w:r>
              <w:t xml:space="preserve">Prensa</w:t>
            </w:r>
          </w:p>
        </w:tc>
      </w:tr>
      <w:tr>
        <w:trPr>
          <w:cantSplit/>
        </w:trPr>
        <w:tc>
          <w:tcPr>
            <w:tcW w:w="3000" w:type="dxa"/>
            <w:vAlign w:val="center"/>
            <w:tcMar>
              <w:top w:w="80" w:type="dxa"/>
              <w:bottom w:w="80" w:type="dxa"/>
              <w:left w:w="110" w:type="dxa"/>
              <w:right w:w="110" w:type="dxa"/>
            </w:tcMar>
          </w:tcPr>
          <w:p>
            <w:pPr>
              <w:spacing w:before="0" w:after="0" w:line="276" w:lineRule="auto"/>
            </w:pPr>
            <w:r>
              <w:rPr>
                <w:b/>
                <w:color w:val="B3261E"/>
              </w:rPr>
              <w:t xml:space="preserve">Tamaño del mercado global de kombucha</w:t>
            </w:r>
          </w:p>
        </w:tc>
        <w:tc>
          <w:tcPr>
            <w:tcW w:w="4400" w:type="dxa"/>
            <w:vAlign w:val="center"/>
            <w:tcMar>
              <w:top w:w="80" w:type="dxa"/>
              <w:bottom w:w="80" w:type="dxa"/>
              <w:left w:w="110" w:type="dxa"/>
              <w:right w:w="110" w:type="dxa"/>
            </w:tcMar>
          </w:tcPr>
          <w:p>
            <w:pPr>
              <w:spacing w:before="0" w:after="0" w:line="276" w:lineRule="auto"/>
            </w:pPr>
            <w:r>
              <w:t xml:space="preserve">Cinco agregadores de informes consultados: devuelven USD 2,90 / 3,25 / 4,74 / 5,19 / 9,60 mil millones para 2025. Divergen hasta tres veces y ninguno publica metodología.</w:t>
            </w:r>
          </w:p>
        </w:tc>
        <w:tc>
          <w:tcPr>
            <w:tcW w:w="1670" w:type="dxa"/>
            <w:vAlign w:val="center"/>
            <w:tcMar>
              <w:top w:w="80" w:type="dxa"/>
              <w:bottom w:w="80" w:type="dxa"/>
              <w:left w:w="110" w:type="dxa"/>
              <w:right w:w="110" w:type="dxa"/>
            </w:tcMar>
          </w:tcPr>
          <w:p>
            <w:pPr>
              <w:spacing w:before="0" w:after="0" w:line="276" w:lineRule="auto"/>
              <w:jc w:val="center"/>
            </w:pPr>
            <w:r>
              <w:rPr>
                <w:b/>
                <w:color w:val="B3261E"/>
              </w:rPr>
              <w:t xml:space="preserve">Descartada</w:t>
            </w:r>
          </w:p>
        </w:tc>
      </w:tr>
    </w:tbl>
    <w:p>
      <w:pPr>
        <w:spacing w:before="0" w:after="120" w:line="276" w:lineRule="auto"/>
      </w:pPr>
      <w:r>
        <w:t xml:space="preserve"/>
      </w:r>
    </w:p>
    <w:p>
      <w:pPr>
        <w:spacing w:before="0" w:after="200" w:line="276" w:lineRule="auto"/>
        <w:jc w:val="left"/>
      </w:pPr>
      <w:r>
        <w:rPr>
          <w:b/>
          <w:sz w:val="18"/>
        </w:rPr>
        <w:t xml:space="preserve">Tabla 11. </w:t>
      </w:r>
      <w:r>
        <w:rPr>
          <w:sz w:val="18"/>
        </w:rPr>
        <w:t xml:space="preserve">Fuentes consultadas, con su nivel de confianza declarado. La última fila documenta la fuente descartada y el motivo.</w:t>
      </w:r>
    </w:p>
    <w:sectPr>
      <w:pgSz w:w="11906" w:h="16838"/>
      <w:pgMar w:top="1418" w:right="1418" w:bottom="1418" w:left="1418" w:header="708" w:footer="708" w:gutter="0"/>
    </w:sectPr>
  </w:body>
</w:document>
</file>

<file path=word/settings.xml><?xml version="1.0" encoding="utf-8"?>
<w:settings xmlns:w="http://schemas.openxmlformats.org/wordprocessingml/2006/main">
  <w:updateFields w:val="true"/>
  <w:themeFontLang w:val="es-CL"/>
</w:settings>
</file>

<file path=word/styles.xml><?xml version="1.0" encoding="utf-8"?>
<w:styles xmlns:w="http://schemas.openxmlformats.org/wordprocessingml/2006/main">
  <w:docDefaults>
    <w:rPrDefault>
      <w:rPr>
        <w:rFonts w:ascii="Calibri" w:hAnsi="Calibri" w:cs="Calibri"/>
        <w:sz w:val="22"/>
        <w:szCs w:val="22"/>
        <w:lang w:val="es-CL"/>
      </w:rPr>
    </w:rPrDefault>
    <w:pPrDefault>
      <w:pPr>
        <w:spacing w:after="120" w:line="276" w:lineRule="auto"/>
      </w:pPr>
    </w:pPrDefault>
  </w:docDefaults>
  <w:style w:type="paragraph" w:default="1" w:styleId="Normal">
    <w:name w:val="Normal"/>
    <w:qFormat/>
  </w:style>
  <w:style w:type="paragraph" w:styleId="Title">
    <w:name w:val="Title"/>
    <w:basedOn w:val="Normal"/>
    <w:qFormat/>
    <w:pPr>
      <w:spacing w:after="120"/>
      <w:jc w:val="center"/>
    </w:pPr>
    <w:rPr>
      <w:rFonts w:ascii="Calibri Light" w:hAnsi="Calibri Light"/>
      <w:b/>
      <w:sz w:val="56"/>
      <w:color w:val="14532D"/>
    </w:rPr>
  </w:style>
  <w:style w:type="paragraph" w:styleId="Subtitle">
    <w:name w:val="Subtitle"/>
    <w:basedOn w:val="Normal"/>
    <w:qFormat/>
    <w:pPr>
      <w:jc w:val="center"/>
      <w:spacing w:after="80"/>
    </w:pPr>
    <w:rPr>
      <w:sz w:val="26"/>
      <w:color w:val="5F6368"/>
    </w:rPr>
  </w:style>
  <w:style w:type="paragraph" w:styleId="Heading1">
    <w:name w:val="heading 1"/>
    <w:basedOn w:val="Normal"/>
    <w:next w:val="Normal"/>
    <w:qFormat/>
    <w:pPr>
      <w:outlineLvl w:val="0"/>
      <w:pBdr>
        <w:bottom w:val="single" w:sz="8" w:space="4" w:color="1B5E20"/>
      </w:pBdr>
      <w:spacing w:before="360" w:after="160"/>
    </w:pPr>
    <w:rPr>
      <w:rFonts w:ascii="Calibri Light" w:hAnsi="Calibri Light"/>
      <w:b/>
      <w:sz w:val="34"/>
      <w:color w:val="14532D"/>
    </w:rPr>
  </w:style>
  <w:style w:type="paragraph" w:styleId="Heading2">
    <w:name w:val="heading 2"/>
    <w:basedOn w:val="Normal"/>
    <w:next w:val="Normal"/>
    <w:qFormat/>
    <w:pPr>
      <w:outlineLvl w:val="1"/>
      <w:spacing w:before="280" w:after="120"/>
    </w:pPr>
    <w:rPr>
      <w:rFonts w:ascii="Calibri Light" w:hAnsi="Calibri Light"/>
      <w:b/>
      <w:sz w:val="27"/>
      <w:color w:val="1B5E20"/>
    </w:rPr>
  </w:style>
  <w:style w:type="paragraph" w:styleId="Heading3">
    <w:name w:val="heading 3"/>
    <w:basedOn w:val="Normal"/>
    <w:next w:val="Normal"/>
    <w:qFormat/>
    <w:pPr>
      <w:outlineLvl w:val="2"/>
      <w:spacing w:before="220" w:after="100"/>
    </w:pPr>
    <w:rPr>
      <w:b/>
      <w:sz w:val="23"/>
      <w:color w:val="2E5A34"/>
    </w:rPr>
  </w:style>
  <w:style w:type="paragraph" w:styleId="ListBullet">
    <w:name w:val="List Bullet"/>
    <w:basedOn w:val="Normal"/>
    <w:qFormat/>
    <w:pPr>
      <w:spacing w:after="60"/>
    </w:pPr>
  </w:style>
  <w:style w:type="paragraph" w:styleId="ListNumber">
    <w:name w:val="List Number"/>
    <w:basedOn w:val="Normal"/>
    <w:qFormat/>
    <w:pPr>
      <w:spacing w:after="60"/>
    </w:pPr>
  </w:style>
  <w:style w:type="paragraph" w:styleId="Quote">
    <w:name w:val="Quote"/>
    <w:basedOn w:val="Normal"/>
    <w:qFormat/>
    <w:pPr>
      <w:ind w:left="360"/>
      <w:pBdr>
        <w:left w:val="single" w:sz="18" w:space="8" w:color="1B5E20"/>
      </w:pBdr>
      <w:spacing w:before="160" w:after="160"/>
    </w:pPr>
    <w:rPr>
      <w:i/>
      <w:color w:val="33413A"/>
    </w:rPr>
  </w:style>
  <w:style w:type="paragraph" w:styleId="TOCHeading">
    <w:name w:val="TOC Heading"/>
    <w:basedOn w:val="Heading1"/>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Punto 1 — Selección y evaluación de mercado | Pinda Kombucha</dc:title>
  <dc:subject>Plan de internacionalización de Pinda Kombucha: Uruguay, Paraguay, Colombia y Estados Unidos</dc:subject>
  <dc:creator>Marketing Internacional — Universidad Austral de Chile</dc:creator>
  <cp:lastModifiedBy>Marketing Internacional — Universidad Austral de Chile</cp:lastModifiedBy>
  <cp:revision>1</cp:revision>
</cp:coreProperties>
</file>