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hd w:val="clear" w:color="auto" w:fill="1F3864"/>
        <w:spacing w:before="0" w:after="0"/>
      </w:pPr>
      <w:r>
        <w:rPr>
          <w:b/>
          <w:color w:val="FFFFFF"/>
          <w:sz w:val="24"/>
          <w:szCs w:val="24"/>
        </w:rPr>
        <w:t xml:space="preserve">  GUÍA DE ESTUDIO</w:t>
      </w:r>
    </w:p>
    <w:p>
      <w:pPr/>
    </w:p>
    <w:p>
      <w:pPr/>
    </w:p>
    <w:p>
      <w:pPr/>
    </w:p>
    <w:p>
      <w:pPr/>
    </w:p>
    <w:p>
      <w:pPr/>
    </w:p>
    <w:p>
      <w:pPr>
        <w:spacing w:after="120"/>
      </w:pPr>
      <w:r>
        <w:rPr>
          <w:b/>
          <w:color w:val="1F3864"/>
          <w:sz w:val="60"/>
          <w:szCs w:val="60"/>
        </w:rPr>
        <w:t xml:space="preserve">Concurso Carteras de Inversión (CCI)</w:t>
      </w:r>
    </w:p>
    <w:p>
      <w:pPr>
        <w:spacing w:after="400"/>
      </w:pPr>
      <w:r>
        <w:rPr>
          <w:color w:val="2E75B6"/>
          <w:sz w:val="30"/>
          <w:szCs w:val="30"/>
        </w:rPr>
        <w:t xml:space="preserve">Guía completa para prepararse, entender el mercado chileno y competir con estrategia</w:t>
      </w:r>
    </w:p>
    <w:p>
      <w:pPr>
        <w:spacing w:after="60"/>
      </w:pPr>
      <w:r>
        <w:rPr>
          <w:color w:val="404040"/>
          <w:sz w:val="22"/>
          <w:szCs w:val="22"/>
        </w:rPr>
        <w:t xml:space="preserve">Preparada para: Vicente Altamirano y José Ignacio Barrientos — Ingeniería Comercial, Universidad Austral de Chile</w:t>
      </w:r>
    </w:p>
    <w:p>
      <w:pPr>
        <w:spacing w:after="60"/>
      </w:pPr>
      <w:r>
        <w:rPr>
          <w:color w:val="404040"/>
          <w:sz w:val="22"/>
          <w:szCs w:val="22"/>
        </w:rPr>
        <w:t xml:space="preserve">Contexto: invitación de la Prof. Roxana Pincheira (vía Prof. Leonardo Pacheco), octubre de 2026</w:t>
      </w:r>
    </w:p>
    <w:p>
      <w:pPr>
        <w:spacing w:after="60"/>
      </w:pPr>
      <w:r>
        <w:rPr>
          <w:color w:val="404040"/>
          <w:sz w:val="22"/>
          <w:szCs w:val="22"/>
        </w:rPr>
        <w:t xml:space="preserve">Material complementario: Resumen Express, Laboratorio en Excel, Mapas y Esquemas, Ejercicios Resueltos, Quiz interactivo, Flashcards y Plantilla de Estrategia</w:t>
      </w:r>
    </w:p>
    <w:p>
      <w:pPr>
        <w:spacing w:after="60"/>
      </w:pPr>
    </w:p>
    <w:p>
      <w:pPr>
        <w:spacing w:after="60"/>
      </w:pPr>
      <w:r>
        <w:rPr>
          <w:color w:val="404040"/>
          <w:sz w:val="22"/>
          <w:szCs w:val="22"/>
        </w:rPr>
        <w:t xml:space="preserve">Nota importante: esta guía supone que la invitación corresponde al CCI de la Bolsa de Santiago. Las reglas citadas son las de ediciones anteriores; antes de competir hay que confirmarlas en las bases vigentes.</w:t>
      </w:r>
    </w:p>
    <w:p>
      <w:r>
        <w:br w:type="page"/>
      </w:r>
    </w:p>
    <w:p>
      <w:pPr/>
      <w:r>
        <w:rPr>
          <w:b/>
          <w:color w:val="1F3864"/>
          <w:sz w:val="32"/>
          <w:szCs w:val="32"/>
        </w:rPr>
        <w:t xml:space="preserve">Contenido</w:t>
      </w:r>
    </w:p>
    <w:p>
      <w:r>
        <w:fldChar w:fldCharType="begin" w:dirty="true"/>
      </w:r>
      <w:r>
        <w:instrText xml:space="preserve"> TOC \o "1-2" \h \z \u </w:instrText>
      </w:r>
      <w:r>
        <w:fldChar w:fldCharType="separate"/>
      </w:r>
      <w:r>
        <w:t>Haz clic derecho aquí y elige "Actualizar campo" para ver el índice (Word lo hace solo al abrir).</w:t>
      </w:r>
      <w:r>
        <w:fldChar w:fldCharType="end"/>
      </w:r>
    </w:p>
    <w:p>
      <w:r>
        <w:br w:type="page"/>
      </w:r>
    </w:p>
    <w:p>
      <w:pPr>
        <w:pStyle w:val="Heading1"/>
      </w:pPr>
      <w:bookmarkStart w:id="1" w:name="_h1"/>
      <w:r>
        <w:rPr/>
        <w:t xml:space="preserve">0. Cómo usar esta guía</w:t>
      </w:r>
      <w:bookmarkEnd w:id="1"/>
    </w:p>
    <w:p>
      <w:pPr/>
      <w:r>
        <w:rPr/>
        <w:t xml:space="preserve">La guía está pensada para que pasen de "saber finanzas de la carrera" a </w:t>
      </w:r>
      <w:r>
        <w:rPr>
          <w:b/>
        </w:rPr>
        <w:t xml:space="preserve">competir con método</w:t>
      </w:r>
      <w:r>
        <w:rPr/>
        <w:t xml:space="preserve">. Combina tres cosas: (1) conocer las reglas del juego y su lógica de torneo, (2) dominar la teoría de inversiones que de verdad se usa al armar una cartera, y (3) traducir todo eso en una estrategia escrita, con reglas de riesgo y un registro disciplinado.</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3072"/>
        <w:gridCol w:w="4032"/>
        <w:gridCol w:w="2496"/>
      </w:tblGrid>
      <w:tr>
        <w:trPr>
          <w:tblHeader/>
        </w:trPr>
        <w:tc>
          <w:tcPr>
            <w:tcW w:w="3072" w:type="dxa"/>
            <w:shd w:val="clear" w:color="auto" w:fill="1F3864"/>
            <w:tcMar>
              <w:top w:w="50" w:type="dxa"/>
              <w:bottom w:w="50" w:type="dxa"/>
            </w:tcMar>
          </w:tcPr>
          <w:p>
            <w:pPr>
              <w:spacing w:before="20" w:after="20"/>
            </w:pPr>
            <w:r>
              <w:rPr>
                <w:b/>
                <w:color w:val="FFFFFF"/>
                <w:sz w:val="19"/>
                <w:szCs w:val="19"/>
              </w:rPr>
              <w:t xml:space="preserve">Archivo</w:t>
            </w:r>
          </w:p>
        </w:tc>
        <w:tc>
          <w:tcPr>
            <w:tcW w:w="4032" w:type="dxa"/>
            <w:shd w:val="clear" w:color="auto" w:fill="1F3864"/>
            <w:tcMar>
              <w:top w:w="50" w:type="dxa"/>
              <w:bottom w:w="50" w:type="dxa"/>
            </w:tcMar>
          </w:tcPr>
          <w:p>
            <w:pPr>
              <w:spacing w:before="20" w:after="20"/>
            </w:pPr>
            <w:r>
              <w:rPr>
                <w:b/>
                <w:color w:val="FFFFFF"/>
                <w:sz w:val="19"/>
                <w:szCs w:val="19"/>
              </w:rPr>
              <w:t xml:space="preserve">Para qué sirve</w:t>
            </w:r>
          </w:p>
        </w:tc>
        <w:tc>
          <w:tcPr>
            <w:tcW w:w="2496" w:type="dxa"/>
            <w:shd w:val="clear" w:color="auto" w:fill="1F3864"/>
            <w:tcMar>
              <w:top w:w="50" w:type="dxa"/>
              <w:bottom w:w="50" w:type="dxa"/>
            </w:tcMar>
          </w:tcPr>
          <w:p>
            <w:pPr>
              <w:spacing w:before="20" w:after="20"/>
            </w:pPr>
            <w:r>
              <w:rPr>
                <w:b/>
                <w:color w:val="FFFFFF"/>
                <w:sz w:val="19"/>
                <w:szCs w:val="19"/>
              </w:rPr>
              <w:t xml:space="preserve">Cuándo usarlo</w:t>
            </w:r>
          </w:p>
        </w:tc>
      </w:tr>
      <w:tr>
        <w:trPr>
          <w:cantSplit/>
        </w:trPr>
        <w:tc>
          <w:tcPr>
            <w:tcW w:w="3072" w:type="dxa"/>
            <w:tcMar>
              <w:top w:w="50" w:type="dxa"/>
              <w:bottom w:w="50" w:type="dxa"/>
            </w:tcMar>
          </w:tcPr>
          <w:p>
            <w:pPr>
              <w:spacing w:before="20" w:after="20"/>
            </w:pPr>
            <w:r>
              <w:rPr>
                <w:sz w:val="19"/>
                <w:szCs w:val="19"/>
              </w:rPr>
              <w:t xml:space="preserve">01_Guia_Completa_CCI.docx (este)</w:t>
            </w:r>
          </w:p>
        </w:tc>
        <w:tc>
          <w:tcPr>
            <w:tcW w:w="4032" w:type="dxa"/>
            <w:tcMar>
              <w:top w:w="50" w:type="dxa"/>
              <w:bottom w:w="50" w:type="dxa"/>
            </w:tcMar>
          </w:tcPr>
          <w:p>
            <w:pPr>
              <w:spacing w:before="20" w:after="20"/>
            </w:pPr>
            <w:r>
              <w:rPr>
                <w:sz w:val="19"/>
                <w:szCs w:val="19"/>
              </w:rPr>
              <w:t xml:space="preserve">Teoría, mercado chileno, estrategia, glosario</w:t>
            </w:r>
          </w:p>
        </w:tc>
        <w:tc>
          <w:tcPr>
            <w:tcW w:w="2496" w:type="dxa"/>
            <w:tcMar>
              <w:top w:w="50" w:type="dxa"/>
              <w:bottom w:w="50" w:type="dxa"/>
            </w:tcMar>
          </w:tcPr>
          <w:p>
            <w:pPr>
              <w:spacing w:before="20" w:after="20"/>
            </w:pPr>
            <w:r>
              <w:rPr>
                <w:sz w:val="19"/>
                <w:szCs w:val="19"/>
              </w:rPr>
              <w:t xml:space="preserve">Estudio principal (semanas 1–2)</w:t>
            </w:r>
          </w:p>
        </w:tc>
      </w:tr>
      <w:tr>
        <w:trPr>
          <w:cantSplit/>
        </w:trPr>
        <w:tc>
          <w:tcPr>
            <w:tcW w:w="3072" w:type="dxa"/>
            <w:shd w:val="clear" w:color="auto" w:fill="EEF3FA"/>
            <w:tcMar>
              <w:top w:w="50" w:type="dxa"/>
              <w:bottom w:w="50" w:type="dxa"/>
            </w:tcMar>
          </w:tcPr>
          <w:p>
            <w:pPr>
              <w:spacing w:before="20" w:after="20"/>
            </w:pPr>
            <w:r>
              <w:rPr>
                <w:sz w:val="19"/>
                <w:szCs w:val="19"/>
              </w:rPr>
              <w:t xml:space="preserve">02_Resumen_Express_CCI.docx</w:t>
            </w:r>
          </w:p>
        </w:tc>
        <w:tc>
          <w:tcPr>
            <w:tcW w:w="4032" w:type="dxa"/>
            <w:shd w:val="clear" w:color="auto" w:fill="EEF3FA"/>
            <w:tcMar>
              <w:top w:w="50" w:type="dxa"/>
              <w:bottom w:w="50" w:type="dxa"/>
            </w:tcMar>
          </w:tcPr>
          <w:p>
            <w:pPr>
              <w:spacing w:before="20" w:after="20"/>
            </w:pPr>
            <w:r>
              <w:rPr>
                <w:sz w:val="19"/>
                <w:szCs w:val="19"/>
              </w:rPr>
              <w:t xml:space="preserve">Todo lo esencial en pocas páginas</w:t>
            </w:r>
          </w:p>
        </w:tc>
        <w:tc>
          <w:tcPr>
            <w:tcW w:w="2496" w:type="dxa"/>
            <w:shd w:val="clear" w:color="auto" w:fill="EEF3FA"/>
            <w:tcMar>
              <w:top w:w="50" w:type="dxa"/>
              <w:bottom w:w="50" w:type="dxa"/>
            </w:tcMar>
          </w:tcPr>
          <w:p>
            <w:pPr>
              <w:spacing w:before="20" w:after="20"/>
            </w:pPr>
            <w:r>
              <w:rPr>
                <w:sz w:val="19"/>
                <w:szCs w:val="19"/>
              </w:rPr>
              <w:t xml:space="preserve">Repaso rápido, la noche antes de operar</w:t>
            </w:r>
          </w:p>
        </w:tc>
      </w:tr>
      <w:tr>
        <w:trPr>
          <w:cantSplit/>
        </w:trPr>
        <w:tc>
          <w:tcPr>
            <w:tcW w:w="3072" w:type="dxa"/>
            <w:tcMar>
              <w:top w:w="50" w:type="dxa"/>
              <w:bottom w:w="50" w:type="dxa"/>
            </w:tcMar>
          </w:tcPr>
          <w:p>
            <w:pPr>
              <w:spacing w:before="20" w:after="20"/>
            </w:pPr>
            <w:r>
              <w:rPr>
                <w:sz w:val="19"/>
                <w:szCs w:val="19"/>
              </w:rPr>
              <w:t xml:space="preserve">03_Laboratorio_CCI.xlsx</w:t>
            </w:r>
          </w:p>
        </w:tc>
        <w:tc>
          <w:tcPr>
            <w:tcW w:w="4032" w:type="dxa"/>
            <w:tcMar>
              <w:top w:w="50" w:type="dxa"/>
              <w:bottom w:w="50" w:type="dxa"/>
            </w:tcMar>
          </w:tcPr>
          <w:p>
            <w:pPr>
              <w:spacing w:before="20" w:after="20"/>
            </w:pPr>
            <w:r>
              <w:rPr>
                <w:sz w:val="19"/>
                <w:szCs w:val="19"/>
              </w:rPr>
              <w:t xml:space="preserve">14 hojas: retornos, correlaciones, frontera, CAPM, técnico, simulador del concurso, torneo, screener, calendario</w:t>
            </w:r>
          </w:p>
        </w:tc>
        <w:tc>
          <w:tcPr>
            <w:tcW w:w="2496" w:type="dxa"/>
            <w:tcMar>
              <w:top w:w="50" w:type="dxa"/>
              <w:bottom w:w="50" w:type="dxa"/>
            </w:tcMar>
          </w:tcPr>
          <w:p>
            <w:pPr>
              <w:spacing w:before="20" w:after="20"/>
            </w:pPr>
            <w:r>
              <w:rPr>
                <w:sz w:val="19"/>
                <w:szCs w:val="19"/>
              </w:rPr>
              <w:t xml:space="preserve">Practicar y luego gestionar la cartera real del concurso</w:t>
            </w:r>
          </w:p>
        </w:tc>
      </w:tr>
      <w:tr>
        <w:trPr>
          <w:cantSplit/>
        </w:trPr>
        <w:tc>
          <w:tcPr>
            <w:tcW w:w="3072" w:type="dxa"/>
            <w:shd w:val="clear" w:color="auto" w:fill="EEF3FA"/>
            <w:tcMar>
              <w:top w:w="50" w:type="dxa"/>
              <w:bottom w:w="50" w:type="dxa"/>
            </w:tcMar>
          </w:tcPr>
          <w:p>
            <w:pPr>
              <w:spacing w:before="20" w:after="20"/>
            </w:pPr>
            <w:r>
              <w:rPr>
                <w:sz w:val="19"/>
                <w:szCs w:val="19"/>
              </w:rPr>
              <w:t xml:space="preserve">04_Mapas_y_Esquemas.html + carpeta PNG</w:t>
            </w:r>
          </w:p>
        </w:tc>
        <w:tc>
          <w:tcPr>
            <w:tcW w:w="4032" w:type="dxa"/>
            <w:shd w:val="clear" w:color="auto" w:fill="EEF3FA"/>
            <w:tcMar>
              <w:top w:w="50" w:type="dxa"/>
              <w:bottom w:w="50" w:type="dxa"/>
            </w:tcMar>
          </w:tcPr>
          <w:p>
            <w:pPr>
              <w:spacing w:before="20" w:after="20"/>
            </w:pPr>
            <w:r>
              <w:rPr>
                <w:sz w:val="19"/>
                <w:szCs w:val="19"/>
              </w:rPr>
              <w:t xml:space="preserve">10 esquemas y mapa mental (sin internet)</w:t>
            </w:r>
          </w:p>
        </w:tc>
        <w:tc>
          <w:tcPr>
            <w:tcW w:w="2496" w:type="dxa"/>
            <w:shd w:val="clear" w:color="auto" w:fill="EEF3FA"/>
            <w:tcMar>
              <w:top w:w="50" w:type="dxa"/>
              <w:bottom w:w="50" w:type="dxa"/>
            </w:tcMar>
          </w:tcPr>
          <w:p>
            <w:pPr>
              <w:spacing w:before="20" w:after="20"/>
            </w:pPr>
            <w:r>
              <w:rPr>
                <w:sz w:val="19"/>
                <w:szCs w:val="19"/>
              </w:rPr>
              <w:t xml:space="preserve">Visualizar y memorizar</w:t>
            </w:r>
          </w:p>
        </w:tc>
      </w:tr>
      <w:tr>
        <w:trPr>
          <w:cantSplit/>
        </w:trPr>
        <w:tc>
          <w:tcPr>
            <w:tcW w:w="3072" w:type="dxa"/>
            <w:tcMar>
              <w:top w:w="50" w:type="dxa"/>
              <w:bottom w:w="50" w:type="dxa"/>
            </w:tcMar>
          </w:tcPr>
          <w:p>
            <w:pPr>
              <w:spacing w:before="20" w:after="20"/>
            </w:pPr>
            <w:r>
              <w:rPr>
                <w:sz w:val="19"/>
                <w:szCs w:val="19"/>
              </w:rPr>
              <w:t xml:space="preserve">04b_Mapa_Mental_CCI.mm</w:t>
            </w:r>
          </w:p>
        </w:tc>
        <w:tc>
          <w:tcPr>
            <w:tcW w:w="4032" w:type="dxa"/>
            <w:tcMar>
              <w:top w:w="50" w:type="dxa"/>
              <w:bottom w:w="50" w:type="dxa"/>
            </w:tcMar>
          </w:tcPr>
          <w:p>
            <w:pPr>
              <w:spacing w:before="20" w:after="20"/>
            </w:pPr>
            <w:r>
              <w:rPr>
                <w:sz w:val="19"/>
                <w:szCs w:val="19"/>
              </w:rPr>
              <w:t xml:space="preserve">Mapa mental editable (FreeMind / XMind / MindMeister)</w:t>
            </w:r>
          </w:p>
        </w:tc>
        <w:tc>
          <w:tcPr>
            <w:tcW w:w="2496" w:type="dxa"/>
            <w:tcMar>
              <w:top w:w="50" w:type="dxa"/>
              <w:bottom w:w="50" w:type="dxa"/>
            </w:tcMar>
          </w:tcPr>
          <w:p>
            <w:pPr>
              <w:spacing w:before="20" w:after="20"/>
            </w:pPr>
            <w:r>
              <w:rPr>
                <w:sz w:val="19"/>
                <w:szCs w:val="19"/>
              </w:rPr>
              <w:t xml:space="preserve">Agregar sus propias notas</w:t>
            </w:r>
          </w:p>
        </w:tc>
      </w:tr>
      <w:tr>
        <w:trPr>
          <w:cantSplit/>
        </w:trPr>
        <w:tc>
          <w:tcPr>
            <w:tcW w:w="3072" w:type="dxa"/>
            <w:shd w:val="clear" w:color="auto" w:fill="EEF3FA"/>
            <w:tcMar>
              <w:top w:w="50" w:type="dxa"/>
              <w:bottom w:w="50" w:type="dxa"/>
            </w:tcMar>
          </w:tcPr>
          <w:p>
            <w:pPr>
              <w:spacing w:before="20" w:after="20"/>
            </w:pPr>
            <w:r>
              <w:rPr>
                <w:sz w:val="19"/>
                <w:szCs w:val="19"/>
              </w:rPr>
              <w:t xml:space="preserve">05_Ejercicios_Resueltos_CCI.docx</w:t>
            </w:r>
          </w:p>
        </w:tc>
        <w:tc>
          <w:tcPr>
            <w:tcW w:w="4032" w:type="dxa"/>
            <w:shd w:val="clear" w:color="auto" w:fill="EEF3FA"/>
            <w:tcMar>
              <w:top w:w="50" w:type="dxa"/>
              <w:bottom w:w="50" w:type="dxa"/>
            </w:tcMar>
          </w:tcPr>
          <w:p>
            <w:pPr>
              <w:spacing w:before="20" w:after="20"/>
            </w:pPr>
            <w:r>
              <w:rPr>
                <w:sz w:val="19"/>
                <w:szCs w:val="19"/>
              </w:rPr>
              <w:t xml:space="preserve">18 ejercicios con solución paso a paso</w:t>
            </w:r>
          </w:p>
        </w:tc>
        <w:tc>
          <w:tcPr>
            <w:tcW w:w="2496" w:type="dxa"/>
            <w:shd w:val="clear" w:color="auto" w:fill="EEF3FA"/>
            <w:tcMar>
              <w:top w:w="50" w:type="dxa"/>
              <w:bottom w:w="50" w:type="dxa"/>
            </w:tcMar>
          </w:tcPr>
          <w:p>
            <w:pPr>
              <w:spacing w:before="20" w:after="20"/>
            </w:pPr>
            <w:r>
              <w:rPr>
                <w:sz w:val="19"/>
                <w:szCs w:val="19"/>
              </w:rPr>
              <w:t xml:space="preserve">Después de cada capítulo de teoría</w:t>
            </w:r>
          </w:p>
        </w:tc>
      </w:tr>
      <w:tr>
        <w:trPr>
          <w:cantSplit/>
        </w:trPr>
        <w:tc>
          <w:tcPr>
            <w:tcW w:w="3072" w:type="dxa"/>
            <w:tcMar>
              <w:top w:w="50" w:type="dxa"/>
              <w:bottom w:w="50" w:type="dxa"/>
            </w:tcMar>
          </w:tcPr>
          <w:p>
            <w:pPr>
              <w:spacing w:before="20" w:after="20"/>
            </w:pPr>
            <w:r>
              <w:rPr>
                <w:sz w:val="19"/>
                <w:szCs w:val="19"/>
              </w:rPr>
              <w:t xml:space="preserve">06_Quiz_Interactivo_CCI.html</w:t>
            </w:r>
          </w:p>
        </w:tc>
        <w:tc>
          <w:tcPr>
            <w:tcW w:w="4032" w:type="dxa"/>
            <w:tcMar>
              <w:top w:w="50" w:type="dxa"/>
              <w:bottom w:w="50" w:type="dxa"/>
            </w:tcMar>
          </w:tcPr>
          <w:p>
            <w:pPr>
              <w:spacing w:before="20" w:after="20"/>
            </w:pPr>
            <w:r>
              <w:rPr>
                <w:sz w:val="19"/>
                <w:szCs w:val="19"/>
              </w:rPr>
              <w:t xml:space="preserve">Autoevaluación con corrección y explicación</w:t>
            </w:r>
          </w:p>
        </w:tc>
        <w:tc>
          <w:tcPr>
            <w:tcW w:w="2496" w:type="dxa"/>
            <w:tcMar>
              <w:top w:w="50" w:type="dxa"/>
              <w:bottom w:w="50" w:type="dxa"/>
            </w:tcMar>
          </w:tcPr>
          <w:p>
            <w:pPr>
              <w:spacing w:before="20" w:after="20"/>
            </w:pPr>
            <w:r>
              <w:rPr>
                <w:sz w:val="19"/>
                <w:szCs w:val="19"/>
              </w:rPr>
              <w:t xml:space="preserve">Al cerrar cada bloque y antes del concurso</w:t>
            </w:r>
          </w:p>
        </w:tc>
      </w:tr>
      <w:tr>
        <w:trPr>
          <w:cantSplit/>
        </w:trPr>
        <w:tc>
          <w:tcPr>
            <w:tcW w:w="3072" w:type="dxa"/>
            <w:shd w:val="clear" w:color="auto" w:fill="EEF3FA"/>
            <w:tcMar>
              <w:top w:w="50" w:type="dxa"/>
              <w:bottom w:w="50" w:type="dxa"/>
            </w:tcMar>
          </w:tcPr>
          <w:p>
            <w:pPr>
              <w:spacing w:before="20" w:after="20"/>
            </w:pPr>
            <w:r>
              <w:rPr>
                <w:sz w:val="19"/>
                <w:szCs w:val="19"/>
              </w:rPr>
              <w:t xml:space="preserve">07_Flashcards_Anki_CCI.txt / .csv</w:t>
            </w:r>
          </w:p>
        </w:tc>
        <w:tc>
          <w:tcPr>
            <w:tcW w:w="4032" w:type="dxa"/>
            <w:shd w:val="clear" w:color="auto" w:fill="EEF3FA"/>
            <w:tcMar>
              <w:top w:w="50" w:type="dxa"/>
              <w:bottom w:w="50" w:type="dxa"/>
            </w:tcMar>
          </w:tcPr>
          <w:p>
            <w:pPr>
              <w:spacing w:before="20" w:after="20"/>
            </w:pPr>
            <w:r>
              <w:rPr>
                <w:sz w:val="19"/>
                <w:szCs w:val="19"/>
              </w:rPr>
              <w:t xml:space="preserve">Tarjetas de memoria (importables en Anki o Quizlet)</w:t>
            </w:r>
          </w:p>
        </w:tc>
        <w:tc>
          <w:tcPr>
            <w:tcW w:w="2496" w:type="dxa"/>
            <w:shd w:val="clear" w:color="auto" w:fill="EEF3FA"/>
            <w:tcMar>
              <w:top w:w="50" w:type="dxa"/>
              <w:bottom w:w="50" w:type="dxa"/>
            </w:tcMar>
          </w:tcPr>
          <w:p>
            <w:pPr>
              <w:spacing w:before="20" w:after="20"/>
            </w:pPr>
            <w:r>
              <w:rPr>
                <w:sz w:val="19"/>
                <w:szCs w:val="19"/>
              </w:rPr>
              <w:t xml:space="preserve">10 minutos diarios</w:t>
            </w:r>
          </w:p>
        </w:tc>
      </w:tr>
      <w:tr>
        <w:trPr>
          <w:cantSplit/>
        </w:trPr>
        <w:tc>
          <w:tcPr>
            <w:tcW w:w="3072" w:type="dxa"/>
            <w:tcMar>
              <w:top w:w="50" w:type="dxa"/>
              <w:bottom w:w="50" w:type="dxa"/>
            </w:tcMar>
          </w:tcPr>
          <w:p>
            <w:pPr>
              <w:spacing w:before="20" w:after="20"/>
            </w:pPr>
            <w:r>
              <w:rPr>
                <w:sz w:val="19"/>
                <w:szCs w:val="19"/>
              </w:rPr>
              <w:t xml:space="preserve">08_Plantilla_Estrategia_Equipo.docx</w:t>
            </w:r>
          </w:p>
        </w:tc>
        <w:tc>
          <w:tcPr>
            <w:tcW w:w="4032" w:type="dxa"/>
            <w:tcMar>
              <w:top w:w="50" w:type="dxa"/>
              <w:bottom w:w="50" w:type="dxa"/>
            </w:tcMar>
          </w:tcPr>
          <w:p>
            <w:pPr>
              <w:spacing w:before="20" w:after="20"/>
            </w:pPr>
            <w:r>
              <w:rPr>
                <w:sz w:val="19"/>
                <w:szCs w:val="19"/>
              </w:rPr>
              <w:t xml:space="preserve">Documento de 1–2 páginas para escribir su estrategia</w:t>
            </w:r>
          </w:p>
        </w:tc>
        <w:tc>
          <w:tcPr>
            <w:tcW w:w="2496" w:type="dxa"/>
            <w:tcMar>
              <w:top w:w="50" w:type="dxa"/>
              <w:bottom w:w="50" w:type="dxa"/>
            </w:tcMar>
          </w:tcPr>
          <w:p>
            <w:pPr>
              <w:spacing w:before="20" w:after="20"/>
            </w:pPr>
            <w:r>
              <w:rPr>
                <w:sz w:val="19"/>
                <w:szCs w:val="19"/>
              </w:rPr>
              <w:t xml:space="preserve">Antes de la marcha blanca</w:t>
            </w:r>
          </w:p>
        </w:tc>
      </w:tr>
    </w:tbl>
    <w:p>
      <w:pPr>
        <w:spacing w:after="60"/>
      </w:pPr>
    </w:p>
    <w:p>
      <w:pPr>
        <w:pStyle w:val="Heading2"/>
      </w:pPr>
      <w:bookmarkStart w:id="2" w:name="_h2"/>
      <w:r>
        <w:rPr/>
        <w:t xml:space="preserve">Plan sugerido de 3 semanas</w:t>
      </w:r>
      <w:bookmarkEnd w:id="2"/>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905"/>
        <w:gridCol w:w="3622"/>
        <w:gridCol w:w="1449"/>
        <w:gridCol w:w="3622"/>
      </w:tblGrid>
      <w:tr>
        <w:trPr>
          <w:tblHeader/>
        </w:trPr>
        <w:tc>
          <w:tcPr>
            <w:tcW w:w="905" w:type="dxa"/>
            <w:shd w:val="clear" w:color="auto" w:fill="1F3864"/>
            <w:tcMar>
              <w:top w:w="50" w:type="dxa"/>
              <w:bottom w:w="50" w:type="dxa"/>
            </w:tcMar>
          </w:tcPr>
          <w:p>
            <w:pPr>
              <w:spacing w:before="20" w:after="20"/>
            </w:pPr>
            <w:r>
              <w:rPr>
                <w:b/>
                <w:color w:val="FFFFFF"/>
                <w:sz w:val="19"/>
                <w:szCs w:val="19"/>
              </w:rPr>
              <w:t xml:space="preserve">Semana</w:t>
            </w:r>
          </w:p>
        </w:tc>
        <w:tc>
          <w:tcPr>
            <w:tcW w:w="3622" w:type="dxa"/>
            <w:shd w:val="clear" w:color="auto" w:fill="1F3864"/>
            <w:tcMar>
              <w:top w:w="50" w:type="dxa"/>
              <w:bottom w:w="50" w:type="dxa"/>
            </w:tcMar>
          </w:tcPr>
          <w:p>
            <w:pPr>
              <w:spacing w:before="20" w:after="20"/>
            </w:pPr>
            <w:r>
              <w:rPr>
                <w:b/>
                <w:color w:val="FFFFFF"/>
                <w:sz w:val="19"/>
                <w:szCs w:val="19"/>
              </w:rPr>
              <w:t xml:space="preserve">Objetivo</w:t>
            </w:r>
          </w:p>
        </w:tc>
        <w:tc>
          <w:tcPr>
            <w:tcW w:w="1449" w:type="dxa"/>
            <w:shd w:val="clear" w:color="auto" w:fill="1F3864"/>
            <w:tcMar>
              <w:top w:w="50" w:type="dxa"/>
              <w:bottom w:w="50" w:type="dxa"/>
            </w:tcMar>
          </w:tcPr>
          <w:p>
            <w:pPr>
              <w:spacing w:before="20" w:after="20"/>
            </w:pPr>
            <w:r>
              <w:rPr>
                <w:b/>
                <w:color w:val="FFFFFF"/>
                <w:sz w:val="19"/>
                <w:szCs w:val="19"/>
              </w:rPr>
              <w:t xml:space="preserve">Capítulos</w:t>
            </w:r>
          </w:p>
        </w:tc>
        <w:tc>
          <w:tcPr>
            <w:tcW w:w="3622" w:type="dxa"/>
            <w:shd w:val="clear" w:color="auto" w:fill="1F3864"/>
            <w:tcMar>
              <w:top w:w="50" w:type="dxa"/>
              <w:bottom w:w="50" w:type="dxa"/>
            </w:tcMar>
          </w:tcPr>
          <w:p>
            <w:pPr>
              <w:spacing w:before="20" w:after="20"/>
            </w:pPr>
            <w:r>
              <w:rPr>
                <w:b/>
                <w:color w:val="FFFFFF"/>
                <w:sz w:val="19"/>
                <w:szCs w:val="19"/>
              </w:rPr>
              <w:t xml:space="preserve">Práctica</w:t>
            </w:r>
          </w:p>
        </w:tc>
      </w:tr>
      <w:tr>
        <w:trPr>
          <w:cantSplit/>
        </w:trPr>
        <w:tc>
          <w:tcPr>
            <w:tcW w:w="905" w:type="dxa"/>
            <w:tcMar>
              <w:top w:w="50" w:type="dxa"/>
              <w:bottom w:w="50" w:type="dxa"/>
            </w:tcMar>
          </w:tcPr>
          <w:p>
            <w:pPr>
              <w:spacing w:before="20" w:after="20"/>
            </w:pPr>
            <w:r>
              <w:rPr>
                <w:sz w:val="19"/>
                <w:szCs w:val="19"/>
              </w:rPr>
              <w:t xml:space="preserve">1</w:t>
            </w:r>
          </w:p>
        </w:tc>
        <w:tc>
          <w:tcPr>
            <w:tcW w:w="3622" w:type="dxa"/>
            <w:tcMar>
              <w:top w:w="50" w:type="dxa"/>
              <w:bottom w:w="50" w:type="dxa"/>
            </w:tcMar>
          </w:tcPr>
          <w:p>
            <w:pPr>
              <w:spacing w:before="20" w:after="20"/>
            </w:pPr>
            <w:r>
              <w:rPr>
                <w:sz w:val="19"/>
                <w:szCs w:val="19"/>
              </w:rPr>
              <w:t xml:space="preserve">Reglas, mercado chileno y teoría de riesgo/retorno</w:t>
            </w:r>
          </w:p>
        </w:tc>
        <w:tc>
          <w:tcPr>
            <w:tcW w:w="1449" w:type="dxa"/>
            <w:tcMar>
              <w:top w:w="50" w:type="dxa"/>
              <w:bottom w:w="50" w:type="dxa"/>
            </w:tcMar>
          </w:tcPr>
          <w:p>
            <w:pPr>
              <w:spacing w:before="20" w:after="20"/>
            </w:pPr>
            <w:r>
              <w:rPr>
                <w:sz w:val="19"/>
                <w:szCs w:val="19"/>
              </w:rPr>
              <w:t xml:space="preserve">1–7</w:t>
            </w:r>
          </w:p>
        </w:tc>
        <w:tc>
          <w:tcPr>
            <w:tcW w:w="3622" w:type="dxa"/>
            <w:tcMar>
              <w:top w:w="50" w:type="dxa"/>
              <w:bottom w:w="50" w:type="dxa"/>
            </w:tcMar>
          </w:tcPr>
          <w:p>
            <w:pPr>
              <w:spacing w:before="20" w:after="20"/>
            </w:pPr>
            <w:r>
              <w:rPr>
                <w:sz w:val="19"/>
                <w:szCs w:val="19"/>
              </w:rPr>
              <w:t xml:space="preserve">Hojas 1–6 del Excel + ejercicios 1–9 + quiz bloque 1</w:t>
            </w:r>
          </w:p>
        </w:tc>
      </w:tr>
      <w:tr>
        <w:trPr>
          <w:cantSplit/>
        </w:trPr>
        <w:tc>
          <w:tcPr>
            <w:tcW w:w="905" w:type="dxa"/>
            <w:shd w:val="clear" w:color="auto" w:fill="EEF3FA"/>
            <w:tcMar>
              <w:top w:w="50" w:type="dxa"/>
              <w:bottom w:w="50" w:type="dxa"/>
            </w:tcMar>
          </w:tcPr>
          <w:p>
            <w:pPr>
              <w:spacing w:before="20" w:after="20"/>
            </w:pPr>
            <w:r>
              <w:rPr>
                <w:sz w:val="19"/>
                <w:szCs w:val="19"/>
              </w:rPr>
              <w:t xml:space="preserve">2</w:t>
            </w:r>
          </w:p>
        </w:tc>
        <w:tc>
          <w:tcPr>
            <w:tcW w:w="3622" w:type="dxa"/>
            <w:shd w:val="clear" w:color="auto" w:fill="EEF3FA"/>
            <w:tcMar>
              <w:top w:w="50" w:type="dxa"/>
              <w:bottom w:w="50" w:type="dxa"/>
            </w:tcMar>
          </w:tcPr>
          <w:p>
            <w:pPr>
              <w:spacing w:before="20" w:after="20"/>
            </w:pPr>
            <w:r>
              <w:rPr>
                <w:sz w:val="19"/>
                <w:szCs w:val="19"/>
              </w:rPr>
              <w:t xml:space="preserve">Análisis fundamental, técnico, conducta y estrategia de torneo</w:t>
            </w:r>
          </w:p>
        </w:tc>
        <w:tc>
          <w:tcPr>
            <w:tcW w:w="1449" w:type="dxa"/>
            <w:shd w:val="clear" w:color="auto" w:fill="EEF3FA"/>
            <w:tcMar>
              <w:top w:w="50" w:type="dxa"/>
              <w:bottom w:w="50" w:type="dxa"/>
            </w:tcMar>
          </w:tcPr>
          <w:p>
            <w:pPr>
              <w:spacing w:before="20" w:after="20"/>
            </w:pPr>
            <w:r>
              <w:rPr>
                <w:sz w:val="19"/>
                <w:szCs w:val="19"/>
              </w:rPr>
              <w:t xml:space="preserve">8–12</w:t>
            </w:r>
          </w:p>
        </w:tc>
        <w:tc>
          <w:tcPr>
            <w:tcW w:w="3622" w:type="dxa"/>
            <w:shd w:val="clear" w:color="auto" w:fill="EEF3FA"/>
            <w:tcMar>
              <w:top w:w="50" w:type="dxa"/>
              <w:bottom w:w="50" w:type="dxa"/>
            </w:tcMar>
          </w:tcPr>
          <w:p>
            <w:pPr>
              <w:spacing w:before="20" w:after="20"/>
            </w:pPr>
            <w:r>
              <w:rPr>
                <w:sz w:val="19"/>
                <w:szCs w:val="19"/>
              </w:rPr>
              <w:t xml:space="preserve">Hojas 7–11 + ejercicios 10–18 + plantilla de estrategia</w:t>
            </w:r>
          </w:p>
        </w:tc>
      </w:tr>
      <w:tr>
        <w:trPr>
          <w:cantSplit/>
        </w:trPr>
        <w:tc>
          <w:tcPr>
            <w:tcW w:w="905" w:type="dxa"/>
            <w:tcMar>
              <w:top w:w="50" w:type="dxa"/>
              <w:bottom w:w="50" w:type="dxa"/>
            </w:tcMar>
          </w:tcPr>
          <w:p>
            <w:pPr>
              <w:spacing w:before="20" w:after="20"/>
            </w:pPr>
            <w:r>
              <w:rPr>
                <w:sz w:val="19"/>
                <w:szCs w:val="19"/>
              </w:rPr>
              <w:t xml:space="preserve">3</w:t>
            </w:r>
          </w:p>
        </w:tc>
        <w:tc>
          <w:tcPr>
            <w:tcW w:w="3622" w:type="dxa"/>
            <w:tcMar>
              <w:top w:w="50" w:type="dxa"/>
              <w:bottom w:w="50" w:type="dxa"/>
            </w:tcMar>
          </w:tcPr>
          <w:p>
            <w:pPr>
              <w:spacing w:before="20" w:after="20"/>
            </w:pPr>
            <w:r>
              <w:rPr>
                <w:sz w:val="19"/>
                <w:szCs w:val="19"/>
              </w:rPr>
              <w:t xml:space="preserve">Marcha blanca y simulacro</w:t>
            </w:r>
          </w:p>
        </w:tc>
        <w:tc>
          <w:tcPr>
            <w:tcW w:w="1449" w:type="dxa"/>
            <w:tcMar>
              <w:top w:w="50" w:type="dxa"/>
              <w:bottom w:w="50" w:type="dxa"/>
            </w:tcMar>
          </w:tcPr>
          <w:p>
            <w:pPr>
              <w:spacing w:before="20" w:after="20"/>
            </w:pPr>
            <w:r>
              <w:rPr>
                <w:sz w:val="19"/>
                <w:szCs w:val="19"/>
              </w:rPr>
              <w:t xml:space="preserve">13–15 + repaso</w:t>
            </w:r>
          </w:p>
        </w:tc>
        <w:tc>
          <w:tcPr>
            <w:tcW w:w="3622" w:type="dxa"/>
            <w:tcMar>
              <w:top w:w="50" w:type="dxa"/>
              <w:bottom w:w="50" w:type="dxa"/>
            </w:tcMar>
          </w:tcPr>
          <w:p>
            <w:pPr>
              <w:spacing w:before="20" w:after="20"/>
            </w:pPr>
            <w:r>
              <w:rPr>
                <w:sz w:val="19"/>
                <w:szCs w:val="19"/>
              </w:rPr>
              <w:t xml:space="preserve">Hojas 9 y 12 con datos reales; quiz completo; ajustar la estrategia</w:t>
            </w:r>
          </w:p>
        </w:tc>
      </w:tr>
    </w:tbl>
    <w:p>
      <w:pPr>
        <w:spacing w:after="60"/>
      </w:pPr>
    </w:p>
    <w:tbl>
      <w:tblPr>
        <w:tblW w:w="9600" w:type="dxa"/>
        <w:tblBorders>
          <w:left w:val="single" w:sz="36" w:space="0" w:color="BF8F00"/>
        </w:tblBorders>
        <w:tblCellMar>
          <w:top w:w="100" w:type="dxa"/>
          <w:left w:w="160" w:type="dxa"/>
          <w:bottom w:w="80" w:type="dxa"/>
          <w:right w:w="160" w:type="dxa"/>
        </w:tblCellMar>
      </w:tblPr>
      <w:tblGrid>
        <w:gridCol w:w="9600"/>
      </w:tblGrid>
      <w:tr>
        <w:trPr>
          <w:cantSplit/>
        </w:trPr>
        <w:tc>
          <w:tcPr>
            <w:tcW w:w="9600" w:type="dxa"/>
            <w:shd w:val="clear" w:color="auto" w:fill="FFF2CC"/>
          </w:tcPr>
          <w:p>
            <w:pPr>
              <w:spacing w:after="40"/>
            </w:pPr>
            <w:r>
              <w:rPr>
                <w:b/>
                <w:color w:val="BF8F00"/>
                <w:sz w:val="21"/>
                <w:szCs w:val="21"/>
              </w:rPr>
              <w:t xml:space="preserve">Idea fuerza</w:t>
            </w:r>
          </w:p>
          <w:p>
            <w:pPr>
              <w:spacing w:after="40"/>
            </w:pPr>
            <w:r>
              <w:rPr>
                <w:sz w:val="20"/>
                <w:szCs w:val="20"/>
              </w:rPr>
              <w:t xml:space="preserve">El CCI no premia "hacerlo bien" en el sentido de la teoría (mejor Sharpe), premia </w:t>
            </w:r>
            <w:r>
              <w:rPr>
                <w:b/>
                <w:sz w:val="20"/>
                <w:szCs w:val="20"/>
              </w:rPr>
              <w:t xml:space="preserve">terminar arriba de miles de personas en pocas semanas</w:t>
            </w:r>
            <w:r>
              <w:rPr>
                <w:sz w:val="20"/>
                <w:szCs w:val="20"/>
              </w:rPr>
              <w:t xml:space="preserve">. La teoría sirve para entender qué riesgo estás tomando; la estrategia de torneo sirve para decidir cuánto riesgo te conviene tomar.</w:t>
            </w:r>
          </w:p>
        </w:tc>
      </w:tr>
    </w:tbl>
    <w:p>
      <w:pPr>
        <w:spacing w:after="40"/>
      </w:pPr>
    </w:p>
    <w:p>
      <w:pPr>
        <w:pStyle w:val="Heading1"/>
      </w:pPr>
      <w:bookmarkStart w:id="3" w:name="_h3"/>
      <w:r>
        <w:rPr/>
        <w:t xml:space="preserve">1. Qué es el CCI</w:t>
      </w:r>
      <w:bookmarkEnd w:id="3"/>
    </w:p>
    <w:p>
      <w:pPr/>
      <w:r>
        <w:rPr/>
        <w:t xml:space="preserve">El </w:t>
      </w:r>
      <w:r>
        <w:rPr>
          <w:b/>
        </w:rPr>
        <w:t xml:space="preserve">Concurso Carteras de Inversión (CCI)</w:t>
      </w:r>
      <w:r>
        <w:rPr/>
        <w:t xml:space="preserve"> es un simulador de inversiones en línea organizado por la </w:t>
      </w:r>
      <w:r>
        <w:rPr>
          <w:b/>
        </w:rPr>
        <w:t xml:space="preserve">Bolsa de Santiago</w:t>
      </w:r>
      <w:r>
        <w:rPr/>
        <w:t xml:space="preserve">, que hoy forma parte de </w:t>
      </w:r>
      <w:r>
        <w:rPr>
          <w:b/>
        </w:rPr>
        <w:t xml:space="preserve">nuam</w:t>
      </w:r>
      <w:r>
        <w:rPr/>
        <w:t xml:space="preserve">, el holding que integra las bolsas de Santiago, Lima y Colombia (integración societaria concretada en noviembre de 2023). El concurso lleva más de 28 años realizándose y es el simulador bursátil más conocido de Chile. Su objetivo declarado es educativo: acercar a estudiantes al mercado de acciones operando con precios reales pero dinero ficticio.</w:t>
      </w:r>
    </w:p>
    <w:p>
      <w:pPr>
        <w:pStyle w:val="Heading2"/>
      </w:pPr>
      <w:bookmarkStart w:id="4" w:name="_h4"/>
      <w:r>
        <w:rPr/>
        <w:t xml:space="preserve">1.1 Lo que se sabe de ediciones anteriores</w:t>
      </w:r>
      <w:bookmarkEnd w:id="4"/>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215"/>
        <w:gridCol w:w="4615"/>
        <w:gridCol w:w="2769"/>
      </w:tblGrid>
      <w:tr>
        <w:trPr>
          <w:tblHeader/>
        </w:trPr>
        <w:tc>
          <w:tcPr>
            <w:tcW w:w="2215" w:type="dxa"/>
            <w:shd w:val="clear" w:color="auto" w:fill="1F3864"/>
            <w:tcMar>
              <w:top w:w="50" w:type="dxa"/>
              <w:bottom w:w="50" w:type="dxa"/>
            </w:tcMar>
          </w:tcPr>
          <w:p>
            <w:pPr>
              <w:spacing w:before="20" w:after="20"/>
            </w:pPr>
            <w:r>
              <w:rPr>
                <w:b/>
                <w:color w:val="FFFFFF"/>
                <w:sz w:val="19"/>
                <w:szCs w:val="19"/>
              </w:rPr>
              <w:t xml:space="preserve">Característica</w:t>
            </w:r>
          </w:p>
        </w:tc>
        <w:tc>
          <w:tcPr>
            <w:tcW w:w="4615" w:type="dxa"/>
            <w:shd w:val="clear" w:color="auto" w:fill="1F3864"/>
            <w:tcMar>
              <w:top w:w="50" w:type="dxa"/>
              <w:bottom w:w="50" w:type="dxa"/>
            </w:tcMar>
          </w:tcPr>
          <w:p>
            <w:pPr>
              <w:spacing w:before="20" w:after="20"/>
            </w:pPr>
            <w:r>
              <w:rPr>
                <w:b/>
                <w:color w:val="FFFFFF"/>
                <w:sz w:val="19"/>
                <w:szCs w:val="19"/>
              </w:rPr>
              <w:t xml:space="preserve">Lo informado en ediciones previas</w:t>
            </w:r>
          </w:p>
        </w:tc>
        <w:tc>
          <w:tcPr>
            <w:tcW w:w="2769" w:type="dxa"/>
            <w:shd w:val="clear" w:color="auto" w:fill="1F3864"/>
            <w:tcMar>
              <w:top w:w="50" w:type="dxa"/>
              <w:bottom w:w="50" w:type="dxa"/>
            </w:tcMar>
          </w:tcPr>
          <w:p>
            <w:pPr>
              <w:spacing w:before="20" w:after="20"/>
            </w:pPr>
            <w:r>
              <w:rPr>
                <w:b/>
                <w:color w:val="FFFFFF"/>
                <w:sz w:val="19"/>
                <w:szCs w:val="19"/>
              </w:rPr>
              <w:t xml:space="preserve">Fuente / año</w:t>
            </w:r>
          </w:p>
        </w:tc>
      </w:tr>
      <w:tr>
        <w:trPr>
          <w:cantSplit/>
        </w:trPr>
        <w:tc>
          <w:tcPr>
            <w:tcW w:w="2215" w:type="dxa"/>
            <w:tcMar>
              <w:top w:w="50" w:type="dxa"/>
              <w:bottom w:w="50" w:type="dxa"/>
            </w:tcMar>
          </w:tcPr>
          <w:p>
            <w:pPr>
              <w:spacing w:before="20" w:after="20"/>
            </w:pPr>
            <w:r>
              <w:rPr>
                <w:sz w:val="19"/>
                <w:szCs w:val="19"/>
              </w:rPr>
              <w:t xml:space="preserve">Capital</w:t>
            </w:r>
          </w:p>
        </w:tc>
        <w:tc>
          <w:tcPr>
            <w:tcW w:w="4615" w:type="dxa"/>
            <w:tcMar>
              <w:top w:w="50" w:type="dxa"/>
              <w:bottom w:w="50" w:type="dxa"/>
            </w:tcMar>
          </w:tcPr>
          <w:p>
            <w:pPr>
              <w:spacing w:before="20" w:after="20"/>
            </w:pPr>
            <w:r>
              <w:rPr>
                <w:sz w:val="19"/>
                <w:szCs w:val="19"/>
              </w:rPr>
              <w:t xml:space="preserve">$20.000.000 ficticios por participante o equipo</w:t>
            </w:r>
          </w:p>
        </w:tc>
        <w:tc>
          <w:tcPr>
            <w:tcW w:w="2769" w:type="dxa"/>
            <w:tcMar>
              <w:top w:w="50" w:type="dxa"/>
              <w:bottom w:w="50" w:type="dxa"/>
            </w:tcMar>
          </w:tcPr>
          <w:p>
            <w:pPr>
              <w:spacing w:before="20" w:after="20"/>
            </w:pPr>
            <w:r>
              <w:rPr>
                <w:sz w:val="19"/>
                <w:szCs w:val="19"/>
              </w:rPr>
              <w:t xml:space="preserve">U. de Chile, UCN, Mediabanco (varios años)</w:t>
            </w:r>
          </w:p>
        </w:tc>
      </w:tr>
      <w:tr>
        <w:trPr>
          <w:cantSplit/>
        </w:trPr>
        <w:tc>
          <w:tcPr>
            <w:tcW w:w="2215" w:type="dxa"/>
            <w:shd w:val="clear" w:color="auto" w:fill="EEF3FA"/>
            <w:tcMar>
              <w:top w:w="50" w:type="dxa"/>
              <w:bottom w:w="50" w:type="dxa"/>
            </w:tcMar>
          </w:tcPr>
          <w:p>
            <w:pPr>
              <w:spacing w:before="20" w:after="20"/>
            </w:pPr>
            <w:r>
              <w:rPr>
                <w:sz w:val="19"/>
                <w:szCs w:val="19"/>
              </w:rPr>
              <w:t xml:space="preserve">Universo de inversión</w:t>
            </w:r>
          </w:p>
        </w:tc>
        <w:tc>
          <w:tcPr>
            <w:tcW w:w="4615" w:type="dxa"/>
            <w:shd w:val="clear" w:color="auto" w:fill="EEF3FA"/>
            <w:tcMar>
              <w:top w:w="50" w:type="dxa"/>
              <w:bottom w:w="50" w:type="dxa"/>
            </w:tcMar>
          </w:tcPr>
          <w:p>
            <w:pPr>
              <w:spacing w:before="20" w:after="20"/>
            </w:pPr>
            <w:r>
              <w:rPr>
                <w:sz w:val="19"/>
                <w:szCs w:val="19"/>
              </w:rPr>
              <w:t xml:space="preserve">Acciones de las empresas del índice IPSA</w:t>
            </w:r>
          </w:p>
        </w:tc>
        <w:tc>
          <w:tcPr>
            <w:tcW w:w="2769" w:type="dxa"/>
            <w:shd w:val="clear" w:color="auto" w:fill="EEF3FA"/>
            <w:tcMar>
              <w:top w:w="50" w:type="dxa"/>
              <w:bottom w:w="50" w:type="dxa"/>
            </w:tcMar>
          </w:tcPr>
          <w:p>
            <w:pPr>
              <w:spacing w:before="20" w:after="20"/>
            </w:pPr>
            <w:r>
              <w:rPr>
                <w:sz w:val="19"/>
                <w:szCs w:val="19"/>
              </w:rPr>
              <w:t xml:space="preserve">U. de Chile (2010), U. Autónoma (2015), UCN</w:t>
            </w:r>
          </w:p>
        </w:tc>
      </w:tr>
      <w:tr>
        <w:trPr>
          <w:cantSplit/>
        </w:trPr>
        <w:tc>
          <w:tcPr>
            <w:tcW w:w="2215" w:type="dxa"/>
            <w:tcMar>
              <w:top w:w="50" w:type="dxa"/>
              <w:bottom w:w="50" w:type="dxa"/>
            </w:tcMar>
          </w:tcPr>
          <w:p>
            <w:pPr>
              <w:spacing w:before="20" w:after="20"/>
            </w:pPr>
            <w:r>
              <w:rPr>
                <w:sz w:val="19"/>
                <w:szCs w:val="19"/>
              </w:rPr>
              <w:t xml:space="preserve">Precios</w:t>
            </w:r>
          </w:p>
        </w:tc>
        <w:tc>
          <w:tcPr>
            <w:tcW w:w="4615" w:type="dxa"/>
            <w:tcMar>
              <w:top w:w="50" w:type="dxa"/>
              <w:bottom w:w="50" w:type="dxa"/>
            </w:tcMar>
          </w:tcPr>
          <w:p>
            <w:pPr>
              <w:spacing w:before="20" w:after="20"/>
            </w:pPr>
            <w:r>
              <w:rPr>
                <w:sz w:val="19"/>
                <w:szCs w:val="19"/>
              </w:rPr>
              <w:t xml:space="preserve">Precios reales de mercado, compra y venta como en la realidad</w:t>
            </w:r>
          </w:p>
        </w:tc>
        <w:tc>
          <w:tcPr>
            <w:tcW w:w="2769" w:type="dxa"/>
            <w:tcMar>
              <w:top w:w="50" w:type="dxa"/>
              <w:bottom w:w="50" w:type="dxa"/>
            </w:tcMar>
          </w:tcPr>
          <w:p>
            <w:pPr>
              <w:spacing w:before="20" w:after="20"/>
            </w:pPr>
            <w:r>
              <w:rPr>
                <w:sz w:val="19"/>
                <w:szCs w:val="19"/>
              </w:rPr>
              <w:t xml:space="preserve">Diario Estrategia (2021)</w:t>
            </w:r>
          </w:p>
        </w:tc>
      </w:tr>
      <w:tr>
        <w:trPr>
          <w:cantSplit/>
        </w:trPr>
        <w:tc>
          <w:tcPr>
            <w:tcW w:w="2215" w:type="dxa"/>
            <w:shd w:val="clear" w:color="auto" w:fill="EEF3FA"/>
            <w:tcMar>
              <w:top w:w="50" w:type="dxa"/>
              <w:bottom w:w="50" w:type="dxa"/>
            </w:tcMar>
          </w:tcPr>
          <w:p>
            <w:pPr>
              <w:spacing w:before="20" w:after="20"/>
            </w:pPr>
            <w:r>
              <w:rPr>
                <w:sz w:val="19"/>
                <w:szCs w:val="19"/>
              </w:rPr>
              <w:t xml:space="preserve">Comisión</w:t>
            </w:r>
          </w:p>
        </w:tc>
        <w:tc>
          <w:tcPr>
            <w:tcW w:w="4615" w:type="dxa"/>
            <w:shd w:val="clear" w:color="auto" w:fill="EEF3FA"/>
            <w:tcMar>
              <w:top w:w="50" w:type="dxa"/>
              <w:bottom w:w="50" w:type="dxa"/>
            </w:tcMar>
          </w:tcPr>
          <w:p>
            <w:pPr>
              <w:spacing w:before="20" w:after="20"/>
            </w:pPr>
            <w:r>
              <w:rPr>
                <w:sz w:val="19"/>
                <w:szCs w:val="19"/>
              </w:rPr>
              <w:t xml:space="preserve">0,5% por operación, "similar a la del mercado real"</w:t>
            </w:r>
          </w:p>
        </w:tc>
        <w:tc>
          <w:tcPr>
            <w:tcW w:w="2769" w:type="dxa"/>
            <w:shd w:val="clear" w:color="auto" w:fill="EEF3FA"/>
            <w:tcMar>
              <w:top w:w="50" w:type="dxa"/>
              <w:bottom w:w="50" w:type="dxa"/>
            </w:tcMar>
          </w:tcPr>
          <w:p>
            <w:pPr>
              <w:spacing w:before="20" w:after="20"/>
            </w:pPr>
            <w:r>
              <w:rPr>
                <w:sz w:val="19"/>
                <w:szCs w:val="19"/>
              </w:rPr>
              <w:t xml:space="preserve">Chócale (2021)</w:t>
            </w:r>
          </w:p>
        </w:tc>
      </w:tr>
      <w:tr>
        <w:trPr>
          <w:cantSplit/>
        </w:trPr>
        <w:tc>
          <w:tcPr>
            <w:tcW w:w="2215" w:type="dxa"/>
            <w:tcMar>
              <w:top w:w="50" w:type="dxa"/>
              <w:bottom w:w="50" w:type="dxa"/>
            </w:tcMar>
          </w:tcPr>
          <w:p>
            <w:pPr>
              <w:spacing w:before="20" w:after="20"/>
            </w:pPr>
            <w:r>
              <w:rPr>
                <w:sz w:val="19"/>
                <w:szCs w:val="19"/>
              </w:rPr>
              <w:t xml:space="preserve">Participantes</w:t>
            </w:r>
          </w:p>
        </w:tc>
        <w:tc>
          <w:tcPr>
            <w:tcW w:w="4615" w:type="dxa"/>
            <w:tcMar>
              <w:top w:w="50" w:type="dxa"/>
              <w:bottom w:w="50" w:type="dxa"/>
            </w:tcMar>
          </w:tcPr>
          <w:p>
            <w:pPr>
              <w:spacing w:before="20" w:after="20"/>
            </w:pPr>
            <w:r>
              <w:rPr>
                <w:sz w:val="19"/>
                <w:szCs w:val="19"/>
              </w:rPr>
              <w:t xml:space="preserve">Equipos de hasta 5 personas del mismo curso o carrera</w:t>
            </w:r>
          </w:p>
        </w:tc>
        <w:tc>
          <w:tcPr>
            <w:tcW w:w="2769" w:type="dxa"/>
            <w:tcMar>
              <w:top w:w="50" w:type="dxa"/>
              <w:bottom w:w="50" w:type="dxa"/>
            </w:tcMar>
          </w:tcPr>
          <w:p>
            <w:pPr>
              <w:spacing w:before="20" w:after="20"/>
            </w:pPr>
            <w:r>
              <w:rPr>
                <w:sz w:val="19"/>
                <w:szCs w:val="19"/>
              </w:rPr>
              <w:t xml:space="preserve">U. Autónoma (2023)</w:t>
            </w:r>
          </w:p>
        </w:tc>
      </w:tr>
      <w:tr>
        <w:trPr>
          <w:cantSplit/>
        </w:trPr>
        <w:tc>
          <w:tcPr>
            <w:tcW w:w="2215" w:type="dxa"/>
            <w:shd w:val="clear" w:color="auto" w:fill="EEF3FA"/>
            <w:tcMar>
              <w:top w:w="50" w:type="dxa"/>
              <w:bottom w:w="50" w:type="dxa"/>
            </w:tcMar>
          </w:tcPr>
          <w:p>
            <w:pPr>
              <w:spacing w:before="20" w:after="20"/>
            </w:pPr>
            <w:r>
              <w:rPr>
                <w:sz w:val="19"/>
                <w:szCs w:val="19"/>
              </w:rPr>
              <w:t xml:space="preserve">Fases</w:t>
            </w:r>
          </w:p>
        </w:tc>
        <w:tc>
          <w:tcPr>
            <w:tcW w:w="4615" w:type="dxa"/>
            <w:shd w:val="clear" w:color="auto" w:fill="EEF3FA"/>
            <w:tcMar>
              <w:top w:w="50" w:type="dxa"/>
              <w:bottom w:w="50" w:type="dxa"/>
            </w:tcMar>
          </w:tcPr>
          <w:p>
            <w:pPr>
              <w:spacing w:before="20" w:after="20"/>
            </w:pPr>
            <w:r>
              <w:rPr>
                <w:sz w:val="19"/>
                <w:szCs w:val="19"/>
              </w:rPr>
              <w:t xml:space="preserve">Inscripción + "marcha blanca" (ensayo) y luego concurso oficial</w:t>
            </w:r>
          </w:p>
        </w:tc>
        <w:tc>
          <w:tcPr>
            <w:tcW w:w="2769" w:type="dxa"/>
            <w:shd w:val="clear" w:color="auto" w:fill="EEF3FA"/>
            <w:tcMar>
              <w:top w:w="50" w:type="dxa"/>
              <w:bottom w:w="50" w:type="dxa"/>
            </w:tcMar>
          </w:tcPr>
          <w:p>
            <w:pPr>
              <w:spacing w:before="20" w:after="20"/>
            </w:pPr>
            <w:r>
              <w:rPr>
                <w:sz w:val="19"/>
                <w:szCs w:val="19"/>
              </w:rPr>
              <w:t xml:space="preserve">U. Autónoma (2023)</w:t>
            </w:r>
          </w:p>
        </w:tc>
      </w:tr>
      <w:tr>
        <w:trPr>
          <w:cantSplit/>
        </w:trPr>
        <w:tc>
          <w:tcPr>
            <w:tcW w:w="2215" w:type="dxa"/>
            <w:tcMar>
              <w:top w:w="50" w:type="dxa"/>
              <w:bottom w:w="50" w:type="dxa"/>
            </w:tcMar>
          </w:tcPr>
          <w:p>
            <w:pPr>
              <w:spacing w:before="20" w:after="20"/>
            </w:pPr>
            <w:r>
              <w:rPr>
                <w:sz w:val="19"/>
                <w:szCs w:val="19"/>
              </w:rPr>
              <w:t xml:space="preserve">Duración oficial</w:t>
            </w:r>
          </w:p>
        </w:tc>
        <w:tc>
          <w:tcPr>
            <w:tcW w:w="4615" w:type="dxa"/>
            <w:tcMar>
              <w:top w:w="50" w:type="dxa"/>
              <w:bottom w:w="50" w:type="dxa"/>
            </w:tcMar>
          </w:tcPr>
          <w:p>
            <w:pPr>
              <w:spacing w:before="20" w:after="20"/>
            </w:pPr>
            <w:r>
              <w:rPr>
                <w:sz w:val="19"/>
                <w:szCs w:val="19"/>
              </w:rPr>
              <w:t xml:space="preserve">~8 semanas (2016 y 2023); 4 semanas en 2020</w:t>
            </w:r>
          </w:p>
        </w:tc>
        <w:tc>
          <w:tcPr>
            <w:tcW w:w="2769" w:type="dxa"/>
            <w:tcMar>
              <w:top w:w="50" w:type="dxa"/>
              <w:bottom w:w="50" w:type="dxa"/>
            </w:tcMar>
          </w:tcPr>
          <w:p>
            <w:pPr>
              <w:spacing w:before="20" w:after="20"/>
            </w:pPr>
            <w:r>
              <w:rPr>
                <w:sz w:val="19"/>
                <w:szCs w:val="19"/>
              </w:rPr>
              <w:t xml:space="preserve">La Tercera (ed. 2016), U. Autónoma (2023), Diario Sustentable (2020)</w:t>
            </w:r>
          </w:p>
        </w:tc>
      </w:tr>
      <w:tr>
        <w:trPr>
          <w:cantSplit/>
        </w:trPr>
        <w:tc>
          <w:tcPr>
            <w:tcW w:w="2215" w:type="dxa"/>
            <w:shd w:val="clear" w:color="auto" w:fill="EEF3FA"/>
            <w:tcMar>
              <w:top w:w="50" w:type="dxa"/>
              <w:bottom w:w="50" w:type="dxa"/>
            </w:tcMar>
          </w:tcPr>
          <w:p>
            <w:pPr>
              <w:spacing w:before="20" w:after="20"/>
            </w:pPr>
            <w:r>
              <w:rPr>
                <w:sz w:val="19"/>
                <w:szCs w:val="19"/>
              </w:rPr>
              <w:t xml:space="preserve">Calendario 2023</w:t>
            </w:r>
          </w:p>
        </w:tc>
        <w:tc>
          <w:tcPr>
            <w:tcW w:w="4615" w:type="dxa"/>
            <w:shd w:val="clear" w:color="auto" w:fill="EEF3FA"/>
            <w:tcMar>
              <w:top w:w="50" w:type="dxa"/>
              <w:bottom w:w="50" w:type="dxa"/>
            </w:tcMar>
          </w:tcPr>
          <w:p>
            <w:pPr>
              <w:spacing w:before="20" w:after="20"/>
            </w:pPr>
            <w:r>
              <w:rPr>
                <w:sz w:val="19"/>
                <w:szCs w:val="19"/>
              </w:rPr>
              <w:t xml:space="preserve">Marcha blanca 21-ago a 9-oct; oficial 10-oct a 1-dic</w:t>
            </w:r>
          </w:p>
        </w:tc>
        <w:tc>
          <w:tcPr>
            <w:tcW w:w="2769" w:type="dxa"/>
            <w:shd w:val="clear" w:color="auto" w:fill="EEF3FA"/>
            <w:tcMar>
              <w:top w:w="50" w:type="dxa"/>
              <w:bottom w:w="50" w:type="dxa"/>
            </w:tcMar>
          </w:tcPr>
          <w:p>
            <w:pPr>
              <w:spacing w:before="20" w:after="20"/>
            </w:pPr>
            <w:r>
              <w:rPr>
                <w:sz w:val="19"/>
                <w:szCs w:val="19"/>
              </w:rPr>
              <w:t xml:space="preserve">U. Autónoma (2023)</w:t>
            </w:r>
          </w:p>
        </w:tc>
      </w:tr>
      <w:tr>
        <w:trPr>
          <w:cantSplit/>
        </w:trPr>
        <w:tc>
          <w:tcPr>
            <w:tcW w:w="2215" w:type="dxa"/>
            <w:tcMar>
              <w:top w:w="50" w:type="dxa"/>
              <w:bottom w:w="50" w:type="dxa"/>
            </w:tcMar>
          </w:tcPr>
          <w:p>
            <w:pPr>
              <w:spacing w:before="20" w:after="20"/>
            </w:pPr>
            <w:r>
              <w:rPr>
                <w:sz w:val="19"/>
                <w:szCs w:val="19"/>
              </w:rPr>
              <w:t xml:space="preserve">Categorías</w:t>
            </w:r>
          </w:p>
        </w:tc>
        <w:tc>
          <w:tcPr>
            <w:tcW w:w="4615" w:type="dxa"/>
            <w:tcMar>
              <w:top w:w="50" w:type="dxa"/>
              <w:bottom w:w="50" w:type="dxa"/>
            </w:tcMar>
          </w:tcPr>
          <w:p>
            <w:pPr>
              <w:spacing w:before="20" w:after="20"/>
            </w:pPr>
            <w:r>
              <w:rPr>
                <w:sz w:val="19"/>
                <w:szCs w:val="19"/>
              </w:rPr>
              <w:t xml:space="preserve">Enseñanza Media y Educación Superior de Pregrado (antes también Abierta)</w:t>
            </w:r>
          </w:p>
        </w:tc>
        <w:tc>
          <w:tcPr>
            <w:tcW w:w="2769" w:type="dxa"/>
            <w:tcMar>
              <w:top w:w="50" w:type="dxa"/>
              <w:bottom w:w="50" w:type="dxa"/>
            </w:tcMar>
          </w:tcPr>
          <w:p>
            <w:pPr>
              <w:spacing w:before="20" w:after="20"/>
            </w:pPr>
            <w:r>
              <w:rPr>
                <w:sz w:val="19"/>
                <w:szCs w:val="19"/>
              </w:rPr>
              <w:t xml:space="preserve">Diario Sustentable (2020), La Tercera (ed. 2016)</w:t>
            </w:r>
          </w:p>
        </w:tc>
      </w:tr>
      <w:tr>
        <w:trPr>
          <w:cantSplit/>
        </w:trPr>
        <w:tc>
          <w:tcPr>
            <w:tcW w:w="2215" w:type="dxa"/>
            <w:shd w:val="clear" w:color="auto" w:fill="EEF3FA"/>
            <w:tcMar>
              <w:top w:w="50" w:type="dxa"/>
              <w:bottom w:w="50" w:type="dxa"/>
            </w:tcMar>
          </w:tcPr>
          <w:p>
            <w:pPr>
              <w:spacing w:before="20" w:after="20"/>
            </w:pPr>
            <w:r>
              <w:rPr>
                <w:sz w:val="19"/>
                <w:szCs w:val="19"/>
              </w:rPr>
              <w:t xml:space="preserve">Criterio de ranking</w:t>
            </w:r>
          </w:p>
        </w:tc>
        <w:tc>
          <w:tcPr>
            <w:tcW w:w="4615" w:type="dxa"/>
            <w:shd w:val="clear" w:color="auto" w:fill="EEF3FA"/>
            <w:tcMar>
              <w:top w:w="50" w:type="dxa"/>
              <w:bottom w:w="50" w:type="dxa"/>
            </w:tcMar>
          </w:tcPr>
          <w:p>
            <w:pPr>
              <w:spacing w:before="20" w:after="20"/>
            </w:pPr>
            <w:r>
              <w:rPr>
                <w:sz w:val="19"/>
                <w:szCs w:val="19"/>
              </w:rPr>
              <w:t xml:space="preserve">Mayor rentabilidad del portafolio</w:t>
            </w:r>
          </w:p>
        </w:tc>
        <w:tc>
          <w:tcPr>
            <w:tcW w:w="2769" w:type="dxa"/>
            <w:shd w:val="clear" w:color="auto" w:fill="EEF3FA"/>
            <w:tcMar>
              <w:top w:w="50" w:type="dxa"/>
              <w:bottom w:w="50" w:type="dxa"/>
            </w:tcMar>
          </w:tcPr>
          <w:p>
            <w:pPr>
              <w:spacing w:before="20" w:after="20"/>
            </w:pPr>
            <w:r>
              <w:rPr>
                <w:sz w:val="19"/>
                <w:szCs w:val="19"/>
              </w:rPr>
              <w:t xml:space="preserve">Varias fuentes</w:t>
            </w:r>
          </w:p>
        </w:tc>
      </w:tr>
      <w:tr>
        <w:trPr>
          <w:cantSplit/>
        </w:trPr>
        <w:tc>
          <w:tcPr>
            <w:tcW w:w="2215" w:type="dxa"/>
            <w:tcMar>
              <w:top w:w="50" w:type="dxa"/>
              <w:bottom w:w="50" w:type="dxa"/>
            </w:tcMar>
          </w:tcPr>
          <w:p>
            <w:pPr>
              <w:spacing w:before="20" w:after="20"/>
            </w:pPr>
            <w:r>
              <w:rPr>
                <w:sz w:val="19"/>
                <w:szCs w:val="19"/>
              </w:rPr>
              <w:t xml:space="preserve">Premios</w:t>
            </w:r>
          </w:p>
        </w:tc>
        <w:tc>
          <w:tcPr>
            <w:tcW w:w="4615" w:type="dxa"/>
            <w:tcMar>
              <w:top w:w="50" w:type="dxa"/>
              <w:bottom w:w="50" w:type="dxa"/>
            </w:tcMar>
          </w:tcPr>
          <w:p>
            <w:pPr>
              <w:spacing w:before="20" w:after="20"/>
            </w:pPr>
            <w:r>
              <w:rPr>
                <w:sz w:val="19"/>
                <w:szCs w:val="19"/>
              </w:rPr>
              <w:t xml:space="preserve">Hasta $700.000 (2022) y otros premios/sorteos</w:t>
            </w:r>
          </w:p>
        </w:tc>
        <w:tc>
          <w:tcPr>
            <w:tcW w:w="2769" w:type="dxa"/>
            <w:tcMar>
              <w:top w:w="50" w:type="dxa"/>
              <w:bottom w:w="50" w:type="dxa"/>
            </w:tcMar>
          </w:tcPr>
          <w:p>
            <w:pPr>
              <w:spacing w:before="20" w:after="20"/>
            </w:pPr>
            <w:r>
              <w:rPr>
                <w:sz w:val="19"/>
                <w:szCs w:val="19"/>
              </w:rPr>
              <w:t xml:space="preserve">Chócale (2022), U. Autónoma (2023)</w:t>
            </w:r>
          </w:p>
        </w:tc>
      </w:tr>
      <w:tr>
        <w:trPr>
          <w:cantSplit/>
        </w:trPr>
        <w:tc>
          <w:tcPr>
            <w:tcW w:w="2215" w:type="dxa"/>
            <w:shd w:val="clear" w:color="auto" w:fill="EEF3FA"/>
            <w:tcMar>
              <w:top w:w="50" w:type="dxa"/>
              <w:bottom w:w="50" w:type="dxa"/>
            </w:tcMar>
          </w:tcPr>
          <w:p>
            <w:pPr>
              <w:spacing w:before="20" w:after="20"/>
            </w:pPr>
            <w:r>
              <w:rPr>
                <w:sz w:val="19"/>
                <w:szCs w:val="19"/>
              </w:rPr>
              <w:t xml:space="preserve">Tamaño</w:t>
            </w:r>
          </w:p>
        </w:tc>
        <w:tc>
          <w:tcPr>
            <w:tcW w:w="4615" w:type="dxa"/>
            <w:shd w:val="clear" w:color="auto" w:fill="EEF3FA"/>
            <w:tcMar>
              <w:top w:w="50" w:type="dxa"/>
              <w:bottom w:w="50" w:type="dxa"/>
            </w:tcMar>
          </w:tcPr>
          <w:p>
            <w:pPr>
              <w:spacing w:before="20" w:after="20"/>
            </w:pPr>
            <w:r>
              <w:rPr>
                <w:sz w:val="19"/>
                <w:szCs w:val="19"/>
              </w:rPr>
              <w:t xml:space="preserve">&gt;20.000 inscritos (2010); 15.952 (2016); &gt;5.000 (2020)</w:t>
            </w:r>
          </w:p>
        </w:tc>
        <w:tc>
          <w:tcPr>
            <w:tcW w:w="2769" w:type="dxa"/>
            <w:shd w:val="clear" w:color="auto" w:fill="EEF3FA"/>
            <w:tcMar>
              <w:top w:w="50" w:type="dxa"/>
              <w:bottom w:w="50" w:type="dxa"/>
            </w:tcMar>
          </w:tcPr>
          <w:p>
            <w:pPr>
              <w:spacing w:before="20" w:after="20"/>
            </w:pPr>
            <w:r>
              <w:rPr>
                <w:sz w:val="19"/>
                <w:szCs w:val="19"/>
              </w:rPr>
              <w:t xml:space="preserve">U. de Chile, La Tercera, Diario Sustentable</w:t>
            </w:r>
          </w:p>
        </w:tc>
      </w:tr>
    </w:tbl>
    <w:p>
      <w:pPr>
        <w:spacing w:after="60"/>
      </w:pPr>
    </w:p>
    <w:tbl>
      <w:tblPr>
        <w:tblW w:w="9600" w:type="dxa"/>
        <w:tblBorders>
          <w:left w:val="single" w:sz="36" w:space="0" w:color="2E75B6"/>
        </w:tblBorders>
        <w:tblCellMar>
          <w:top w:w="100" w:type="dxa"/>
          <w:left w:w="160" w:type="dxa"/>
          <w:bottom w:w="80" w:type="dxa"/>
          <w:right w:w="160" w:type="dxa"/>
        </w:tblCellMar>
      </w:tblPr>
      <w:tblGrid>
        <w:gridCol w:w="9600"/>
      </w:tblGrid>
      <w:tr>
        <w:trPr>
          <w:cantSplit/>
        </w:trPr>
        <w:tc>
          <w:tcPr>
            <w:tcW w:w="9600" w:type="dxa"/>
            <w:shd w:val="clear" w:color="auto" w:fill="DDEBF7"/>
          </w:tcPr>
          <w:p>
            <w:pPr>
              <w:spacing w:after="40"/>
            </w:pPr>
            <w:r>
              <w:rPr>
                <w:b/>
                <w:color w:val="2E75B6"/>
                <w:sz w:val="21"/>
                <w:szCs w:val="21"/>
              </w:rPr>
              <w:t xml:space="preserve">Referencias de rentabilidad ganadora</w:t>
            </w:r>
          </w:p>
          <w:p>
            <w:pPr>
              <w:spacing w:after="40"/>
            </w:pPr>
            <w:r>
              <w:rPr>
                <w:sz w:val="20"/>
                <w:szCs w:val="20"/>
              </w:rPr>
              <w:t xml:space="preserve">• Edición 2016 (8 semanas): el ganador universitario obtuvo </w:t>
            </w:r>
            <w:r>
              <w:rPr>
                <w:b/>
                <w:sz w:val="20"/>
                <w:szCs w:val="20"/>
              </w:rPr>
              <w:t xml:space="preserve">64,2%</w:t>
            </w:r>
            <w:r>
              <w:rPr>
                <w:sz w:val="20"/>
                <w:szCs w:val="20"/>
              </w:rPr>
              <w:t xml:space="preserve">, mientras el IPSA subió solo </w:t>
            </w:r>
            <w:r>
              <w:rPr>
                <w:b/>
                <w:sz w:val="20"/>
                <w:szCs w:val="20"/>
              </w:rPr>
              <w:t xml:space="preserve">1,23%</w:t>
            </w:r>
            <w:r>
              <w:rPr>
                <w:sz w:val="20"/>
                <w:szCs w:val="20"/>
              </w:rPr>
              <w:t xml:space="preserve"> en el mismo período (La Tercera).</w:t>
            </w:r>
          </w:p>
          <w:p>
            <w:pPr>
              <w:spacing w:after="40"/>
            </w:pPr>
            <w:r>
              <w:rPr>
                <w:sz w:val="20"/>
                <w:szCs w:val="20"/>
              </w:rPr>
              <w:t xml:space="preserve">• Nota de la UDP (2020): una estudiante ganó el primer lugar de su categoría con </w:t>
            </w:r>
            <w:r>
              <w:rPr>
                <w:b/>
                <w:sz w:val="20"/>
                <w:szCs w:val="20"/>
              </w:rPr>
              <w:t xml:space="preserve">32,74%</w:t>
            </w:r>
            <w:r>
              <w:rPr>
                <w:sz w:val="20"/>
                <w:szCs w:val="20"/>
              </w:rPr>
              <w:t xml:space="preserve">.</w:t>
            </w:r>
          </w:p>
          <w:p>
            <w:pPr>
              <w:spacing w:after="40"/>
            </w:pPr>
            <w:r>
              <w:rPr>
                <w:sz w:val="20"/>
                <w:szCs w:val="20"/>
              </w:rPr>
              <w:t xml:space="preserve">• Noticias UACh (2019): cuatro estudiantes de Ingeniería Comercial de la UACh destacaron en una categoría con más de 13 mil participantes; la Prof. Pincheira comentó su desempeño (Noticias UACh).</w:t>
            </w:r>
          </w:p>
          <w:p>
            <w:pPr>
              <w:spacing w:after="40"/>
            </w:pPr>
            <w:r>
              <w:rPr>
                <w:sz w:val="20"/>
                <w:szCs w:val="20"/>
              </w:rPr>
              <w:t xml:space="preserve">Conclusión: para ganar hay que obtener en semanas lo que el mercado entrega en varios años. Esto define toda la estrategia (capítulo 11).</w:t>
            </w:r>
          </w:p>
        </w:tc>
      </w:tr>
    </w:tbl>
    <w:p>
      <w:pPr>
        <w:spacing w:after="40"/>
      </w:pPr>
    </w:p>
    <w:p>
      <w:pPr>
        <w:pStyle w:val="Heading2"/>
      </w:pPr>
      <w:bookmarkStart w:id="5" w:name="_h5"/>
      <w:r>
        <w:rPr/>
        <w:t xml:space="preserve">1.2 Lo que DEBEN confirmar en las bases vigentes</w:t>
      </w:r>
      <w:bookmarkEnd w:id="5"/>
    </w:p>
    <w:p>
      <w:pPr/>
      <w:r>
        <w:rPr/>
        <w:t xml:space="preserve">Las reglas cambian entre ediciones. Antes de diseñar la estrategia, lean las bases completas y respondan esta lista (está también en la Plantilla de Estrategia):</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5280"/>
        <w:gridCol w:w="4320"/>
      </w:tblGrid>
      <w:tr>
        <w:trPr>
          <w:tblHeader/>
        </w:trPr>
        <w:tc>
          <w:tcPr>
            <w:tcW w:w="5280" w:type="dxa"/>
            <w:shd w:val="clear" w:color="auto" w:fill="1F3864"/>
            <w:tcMar>
              <w:top w:w="50" w:type="dxa"/>
              <w:bottom w:w="50" w:type="dxa"/>
            </w:tcMar>
          </w:tcPr>
          <w:p>
            <w:pPr>
              <w:spacing w:before="20" w:after="20"/>
            </w:pPr>
            <w:r>
              <w:rPr>
                <w:b/>
                <w:color w:val="FFFFFF"/>
                <w:sz w:val="19"/>
                <w:szCs w:val="19"/>
              </w:rPr>
              <w:t xml:space="preserve">Pregunta</w:t>
            </w:r>
          </w:p>
        </w:tc>
        <w:tc>
          <w:tcPr>
            <w:tcW w:w="4320" w:type="dxa"/>
            <w:shd w:val="clear" w:color="auto" w:fill="1F3864"/>
            <w:tcMar>
              <w:top w:w="50" w:type="dxa"/>
              <w:bottom w:w="50" w:type="dxa"/>
            </w:tcMar>
          </w:tcPr>
          <w:p>
            <w:pPr>
              <w:spacing w:before="20" w:after="20"/>
            </w:pPr>
            <w:r>
              <w:rPr>
                <w:b/>
                <w:color w:val="FFFFFF"/>
                <w:sz w:val="19"/>
                <w:szCs w:val="19"/>
              </w:rPr>
              <w:t xml:space="preserve">Por qué importa</w:t>
            </w:r>
          </w:p>
        </w:tc>
      </w:tr>
      <w:tr>
        <w:trPr>
          <w:cantSplit/>
        </w:trPr>
        <w:tc>
          <w:tcPr>
            <w:tcW w:w="5280" w:type="dxa"/>
            <w:tcMar>
              <w:top w:w="50" w:type="dxa"/>
              <w:bottom w:w="50" w:type="dxa"/>
            </w:tcMar>
          </w:tcPr>
          <w:p>
            <w:pPr>
              <w:spacing w:before="20" w:after="20"/>
            </w:pPr>
            <w:r>
              <w:rPr>
                <w:sz w:val="19"/>
                <w:szCs w:val="19"/>
              </w:rPr>
              <w:t xml:space="preserve">¿Qué instrumentos se pueden comprar? ¿Solo IPSA? ¿ETF, ADR, acciones fuera del índice?</w:t>
            </w:r>
          </w:p>
        </w:tc>
        <w:tc>
          <w:tcPr>
            <w:tcW w:w="4320" w:type="dxa"/>
            <w:tcMar>
              <w:top w:w="50" w:type="dxa"/>
              <w:bottom w:w="50" w:type="dxa"/>
            </w:tcMar>
          </w:tcPr>
          <w:p>
            <w:pPr>
              <w:spacing w:before="20" w:after="20"/>
            </w:pPr>
            <w:r>
              <w:rPr>
                <w:sz w:val="19"/>
                <w:szCs w:val="19"/>
              </w:rPr>
              <w:t xml:space="preserve">Define el universo y la posibilidad de concentrarse en acciones más volátiles</w:t>
            </w:r>
          </w:p>
        </w:tc>
      </w:tr>
      <w:tr>
        <w:trPr>
          <w:cantSplit/>
        </w:trPr>
        <w:tc>
          <w:tcPr>
            <w:tcW w:w="5280" w:type="dxa"/>
            <w:shd w:val="clear" w:color="auto" w:fill="EEF3FA"/>
            <w:tcMar>
              <w:top w:w="50" w:type="dxa"/>
              <w:bottom w:w="50" w:type="dxa"/>
            </w:tcMar>
          </w:tcPr>
          <w:p>
            <w:pPr>
              <w:spacing w:before="20" w:after="20"/>
            </w:pPr>
            <w:r>
              <w:rPr>
                <w:sz w:val="19"/>
                <w:szCs w:val="19"/>
              </w:rPr>
              <w:t xml:space="preserve">¿Cuál es la comisión exacta y cómo se cobra (por lado, mínimo fijo)?</w:t>
            </w:r>
          </w:p>
        </w:tc>
        <w:tc>
          <w:tcPr>
            <w:tcW w:w="4320" w:type="dxa"/>
            <w:shd w:val="clear" w:color="auto" w:fill="EEF3FA"/>
            <w:tcMar>
              <w:top w:w="50" w:type="dxa"/>
              <w:bottom w:w="50" w:type="dxa"/>
            </w:tcMar>
          </w:tcPr>
          <w:p>
            <w:pPr>
              <w:spacing w:before="20" w:after="20"/>
            </w:pPr>
            <w:r>
              <w:rPr>
                <w:sz w:val="19"/>
                <w:szCs w:val="19"/>
              </w:rPr>
              <w:t xml:space="preserve">Determina cuántas operaciones son razonables</w:t>
            </w:r>
          </w:p>
        </w:tc>
      </w:tr>
      <w:tr>
        <w:trPr>
          <w:cantSplit/>
        </w:trPr>
        <w:tc>
          <w:tcPr>
            <w:tcW w:w="5280" w:type="dxa"/>
            <w:tcMar>
              <w:top w:w="50" w:type="dxa"/>
              <w:bottom w:w="50" w:type="dxa"/>
            </w:tcMar>
          </w:tcPr>
          <w:p>
            <w:pPr>
              <w:spacing w:before="20" w:after="20"/>
            </w:pPr>
            <w:r>
              <w:rPr>
                <w:sz w:val="19"/>
                <w:szCs w:val="19"/>
              </w:rPr>
              <w:t xml:space="preserve">¿Se permiten ventas cortas, margen o apalancamiento?</w:t>
            </w:r>
          </w:p>
        </w:tc>
        <w:tc>
          <w:tcPr>
            <w:tcW w:w="4320" w:type="dxa"/>
            <w:tcMar>
              <w:top w:w="50" w:type="dxa"/>
              <w:bottom w:w="50" w:type="dxa"/>
            </w:tcMar>
          </w:tcPr>
          <w:p>
            <w:pPr>
              <w:spacing w:before="20" w:after="20"/>
            </w:pPr>
            <w:r>
              <w:rPr>
                <w:sz w:val="19"/>
                <w:szCs w:val="19"/>
              </w:rPr>
              <w:t xml:space="preserve">Si no, solo se gana cuando las acciones suben (o estando en caja)</w:t>
            </w:r>
          </w:p>
        </w:tc>
      </w:tr>
      <w:tr>
        <w:trPr>
          <w:cantSplit/>
        </w:trPr>
        <w:tc>
          <w:tcPr>
            <w:tcW w:w="5280" w:type="dxa"/>
            <w:shd w:val="clear" w:color="auto" w:fill="EEF3FA"/>
            <w:tcMar>
              <w:top w:w="50" w:type="dxa"/>
              <w:bottom w:w="50" w:type="dxa"/>
            </w:tcMar>
          </w:tcPr>
          <w:p>
            <w:pPr>
              <w:spacing w:before="20" w:after="20"/>
            </w:pPr>
            <w:r>
              <w:rPr>
                <w:sz w:val="19"/>
                <w:szCs w:val="19"/>
              </w:rPr>
              <w:t xml:space="preserve">¿Hay límites de concentración o un mínimo de acciones?</w:t>
            </w:r>
          </w:p>
        </w:tc>
        <w:tc>
          <w:tcPr>
            <w:tcW w:w="4320" w:type="dxa"/>
            <w:shd w:val="clear" w:color="auto" w:fill="EEF3FA"/>
            <w:tcMar>
              <w:top w:w="50" w:type="dxa"/>
              <w:bottom w:w="50" w:type="dxa"/>
            </w:tcMar>
          </w:tcPr>
          <w:p>
            <w:pPr>
              <w:spacing w:before="20" w:after="20"/>
            </w:pPr>
            <w:r>
              <w:rPr>
                <w:sz w:val="19"/>
                <w:szCs w:val="19"/>
              </w:rPr>
              <w:t xml:space="preserve">Restringe las carteras concentradas</w:t>
            </w:r>
          </w:p>
        </w:tc>
      </w:tr>
      <w:tr>
        <w:trPr>
          <w:cantSplit/>
        </w:trPr>
        <w:tc>
          <w:tcPr>
            <w:tcW w:w="5280" w:type="dxa"/>
            <w:tcMar>
              <w:top w:w="50" w:type="dxa"/>
              <w:bottom w:w="50" w:type="dxa"/>
            </w:tcMar>
          </w:tcPr>
          <w:p>
            <w:pPr>
              <w:spacing w:before="20" w:after="20"/>
            </w:pPr>
            <w:r>
              <w:rPr>
                <w:sz w:val="19"/>
                <w:szCs w:val="19"/>
              </w:rPr>
              <w:t xml:space="preserve">¿A qué precio se ejecutan las órdenes (último, cierre, punta)? ¿Con qué desfase?</w:t>
            </w:r>
          </w:p>
        </w:tc>
        <w:tc>
          <w:tcPr>
            <w:tcW w:w="4320" w:type="dxa"/>
            <w:tcMar>
              <w:top w:w="50" w:type="dxa"/>
              <w:bottom w:w="50" w:type="dxa"/>
            </w:tcMar>
          </w:tcPr>
          <w:p>
            <w:pPr>
              <w:spacing w:before="20" w:after="20"/>
            </w:pPr>
            <w:r>
              <w:rPr>
                <w:sz w:val="19"/>
                <w:szCs w:val="19"/>
              </w:rPr>
              <w:t xml:space="preserve">Afecta el timing y el "slippage"</w:t>
            </w:r>
          </w:p>
        </w:tc>
      </w:tr>
      <w:tr>
        <w:trPr>
          <w:cantSplit/>
        </w:trPr>
        <w:tc>
          <w:tcPr>
            <w:tcW w:w="5280" w:type="dxa"/>
            <w:shd w:val="clear" w:color="auto" w:fill="EEF3FA"/>
            <w:tcMar>
              <w:top w:w="50" w:type="dxa"/>
              <w:bottom w:w="50" w:type="dxa"/>
            </w:tcMar>
          </w:tcPr>
          <w:p>
            <w:pPr>
              <w:spacing w:before="20" w:after="20"/>
            </w:pPr>
            <w:r>
              <w:rPr>
                <w:sz w:val="19"/>
                <w:szCs w:val="19"/>
              </w:rPr>
              <w:t xml:space="preserve">¿Se reconocen dividendos? ¿Cómo se tratan la fecha ex y los aumentos de capital?</w:t>
            </w:r>
          </w:p>
        </w:tc>
        <w:tc>
          <w:tcPr>
            <w:tcW w:w="4320" w:type="dxa"/>
            <w:shd w:val="clear" w:color="auto" w:fill="EEF3FA"/>
            <w:tcMar>
              <w:top w:w="50" w:type="dxa"/>
              <w:bottom w:w="50" w:type="dxa"/>
            </w:tcMar>
          </w:tcPr>
          <w:p>
            <w:pPr>
              <w:spacing w:before="20" w:after="20"/>
            </w:pPr>
            <w:r>
              <w:rPr>
                <w:sz w:val="19"/>
                <w:szCs w:val="19"/>
              </w:rPr>
              <w:t xml:space="preserve">Una caída por dividendo podría contar como pérdida</w:t>
            </w:r>
          </w:p>
        </w:tc>
      </w:tr>
      <w:tr>
        <w:trPr>
          <w:cantSplit/>
        </w:trPr>
        <w:tc>
          <w:tcPr>
            <w:tcW w:w="5280" w:type="dxa"/>
            <w:tcMar>
              <w:top w:w="50" w:type="dxa"/>
              <w:bottom w:w="50" w:type="dxa"/>
            </w:tcMar>
          </w:tcPr>
          <w:p>
            <w:pPr>
              <w:spacing w:before="20" w:after="20"/>
            </w:pPr>
            <w:r>
              <w:rPr>
                <w:sz w:val="19"/>
                <w:szCs w:val="19"/>
              </w:rPr>
              <w:t xml:space="preserve">¿Cómo se calcula el ranking? ¿Rentabilidad total al cierre? ¿Hay premios semanales?</w:t>
            </w:r>
          </w:p>
        </w:tc>
        <w:tc>
          <w:tcPr>
            <w:tcW w:w="4320" w:type="dxa"/>
            <w:tcMar>
              <w:top w:w="50" w:type="dxa"/>
              <w:bottom w:w="50" w:type="dxa"/>
            </w:tcMar>
          </w:tcPr>
          <w:p>
            <w:pPr>
              <w:spacing w:before="20" w:after="20"/>
            </w:pPr>
            <w:r>
              <w:rPr>
                <w:sz w:val="19"/>
                <w:szCs w:val="19"/>
              </w:rPr>
              <w:t xml:space="preserve">Define el objetivo exacto</w:t>
            </w:r>
          </w:p>
        </w:tc>
      </w:tr>
      <w:tr>
        <w:trPr>
          <w:cantSplit/>
        </w:trPr>
        <w:tc>
          <w:tcPr>
            <w:tcW w:w="5280" w:type="dxa"/>
            <w:shd w:val="clear" w:color="auto" w:fill="EEF3FA"/>
            <w:tcMar>
              <w:top w:w="50" w:type="dxa"/>
              <w:bottom w:w="50" w:type="dxa"/>
            </w:tcMar>
          </w:tcPr>
          <w:p>
            <w:pPr>
              <w:spacing w:before="20" w:after="20"/>
            </w:pPr>
            <w:r>
              <w:rPr>
                <w:sz w:val="19"/>
                <w:szCs w:val="19"/>
              </w:rPr>
              <w:t xml:space="preserve">¿La caja (efectivo) rinde algo?</w:t>
            </w:r>
          </w:p>
        </w:tc>
        <w:tc>
          <w:tcPr>
            <w:tcW w:w="4320" w:type="dxa"/>
            <w:shd w:val="clear" w:color="auto" w:fill="EEF3FA"/>
            <w:tcMar>
              <w:top w:w="50" w:type="dxa"/>
              <w:bottom w:w="50" w:type="dxa"/>
            </w:tcMar>
          </w:tcPr>
          <w:p>
            <w:pPr>
              <w:spacing w:before="20" w:after="20"/>
            </w:pPr>
            <w:r>
              <w:rPr>
                <w:sz w:val="19"/>
                <w:szCs w:val="19"/>
              </w:rPr>
              <w:t xml:space="preserve">Estar en caja tiene costo de oportunidad o no</w:t>
            </w:r>
          </w:p>
        </w:tc>
      </w:tr>
      <w:tr>
        <w:trPr>
          <w:cantSplit/>
        </w:trPr>
        <w:tc>
          <w:tcPr>
            <w:tcW w:w="5280" w:type="dxa"/>
            <w:tcMar>
              <w:top w:w="50" w:type="dxa"/>
              <w:bottom w:w="50" w:type="dxa"/>
            </w:tcMar>
          </w:tcPr>
          <w:p>
            <w:pPr>
              <w:spacing w:before="20" w:after="20"/>
            </w:pPr>
            <w:r>
              <w:rPr>
                <w:sz w:val="19"/>
                <w:szCs w:val="19"/>
              </w:rPr>
              <w:t xml:space="preserve">¿Hay reglas sobre equipos, cuentas múltiples o conducta?</w:t>
            </w:r>
          </w:p>
        </w:tc>
        <w:tc>
          <w:tcPr>
            <w:tcW w:w="4320" w:type="dxa"/>
            <w:tcMar>
              <w:top w:w="50" w:type="dxa"/>
              <w:bottom w:w="50" w:type="dxa"/>
            </w:tcMar>
          </w:tcPr>
          <w:p>
            <w:pPr>
              <w:spacing w:before="20" w:after="20"/>
            </w:pPr>
            <w:r>
              <w:rPr>
                <w:sz w:val="19"/>
                <w:szCs w:val="19"/>
              </w:rPr>
              <w:t xml:space="preserve">Cumplimiento: no arriesgar descalificación</w:t>
            </w:r>
          </w:p>
        </w:tc>
      </w:tr>
      <w:tr>
        <w:trPr>
          <w:cantSplit/>
        </w:trPr>
        <w:tc>
          <w:tcPr>
            <w:tcW w:w="5280" w:type="dxa"/>
            <w:shd w:val="clear" w:color="auto" w:fill="EEF3FA"/>
            <w:tcMar>
              <w:top w:w="50" w:type="dxa"/>
              <w:bottom w:w="50" w:type="dxa"/>
            </w:tcMar>
          </w:tcPr>
          <w:p>
            <w:pPr>
              <w:spacing w:before="20" w:after="20"/>
            </w:pPr>
            <w:r>
              <w:rPr>
                <w:sz w:val="19"/>
                <w:szCs w:val="19"/>
              </w:rPr>
              <w:t xml:space="preserve">¿Fechas de marcha blanca, inicio, cierre y premiación?</w:t>
            </w:r>
          </w:p>
        </w:tc>
        <w:tc>
          <w:tcPr>
            <w:tcW w:w="4320" w:type="dxa"/>
            <w:shd w:val="clear" w:color="auto" w:fill="EEF3FA"/>
            <w:tcMar>
              <w:top w:w="50" w:type="dxa"/>
              <w:bottom w:w="50" w:type="dxa"/>
            </w:tcMar>
          </w:tcPr>
          <w:p>
            <w:pPr>
              <w:spacing w:before="20" w:after="20"/>
            </w:pPr>
            <w:r>
              <w:rPr>
                <w:sz w:val="19"/>
                <w:szCs w:val="19"/>
              </w:rPr>
              <w:t xml:space="preserve">Planificar el calendario y la temporada de resultados</w:t>
            </w:r>
          </w:p>
        </w:tc>
      </w:tr>
    </w:tbl>
    <w:p>
      <w:pPr>
        <w:spacing w:after="60"/>
      </w:pPr>
    </w:p>
    <w:p>
      <w:pPr>
        <w:pStyle w:val="Heading1"/>
      </w:pPr>
      <w:bookmarkStart w:id="6" w:name="_h6"/>
      <w:r>
        <w:rPr/>
        <w:t xml:space="preserve">2. La lógica de un torneo de inversión</w:t>
      </w:r>
      <w:bookmarkEnd w:id="6"/>
    </w:p>
    <w:p>
      <w:pPr/>
      <w:r>
        <w:rPr/>
        <w:t xml:space="preserve">Un concurso de rentabilidad es un </w:t>
      </w:r>
      <w:r>
        <w:rPr>
          <w:b/>
        </w:rPr>
        <w:t xml:space="preserve">torneo</w:t>
      </w:r>
      <w:r>
        <w:rPr/>
        <w:t xml:space="preserve">: no importa cuánto ganas en términos absolutos, sino ganar más que los demás. Esto cambia la manera correcta de pensar el riesgo.</w:t>
      </w:r>
    </w:p>
    <w:p>
      <w:pPr>
        <w:pStyle w:val="Heading2"/>
      </w:pPr>
      <w:bookmarkStart w:id="7" w:name="_h7"/>
      <w:r>
        <w:rPr/>
        <w:t xml:space="preserve">2.1 El premio es convexo</w:t>
      </w:r>
      <w:bookmarkEnd w:id="7"/>
    </w:p>
    <w:p>
      <w:pPr/>
      <w:r>
        <w:rPr/>
        <w:t xml:space="preserve">Solo los primeros lugares reciben premio. Quedar en el lugar 500 o en el 5.000 da lo mismo. Matemáticamente, el pago se parece a una </w:t>
      </w:r>
      <w:r>
        <w:rPr>
          <w:b/>
        </w:rPr>
        <w:t xml:space="preserve">opción de compra</w:t>
      </w:r>
      <w:r>
        <w:rPr/>
        <w:t xml:space="preserve"> sobre tu rentabilidad: tiene un piso (no pierdes dinero real) y una ganancia grande si superas cierto umbral. Y como saben por la tesina de opciones reales, </w:t>
      </w:r>
      <w:r>
        <w:rPr>
          <w:b/>
        </w:rPr>
        <w:t xml:space="preserve">el valor de una opción sube con la volatilidad</w:t>
      </w:r>
      <w:r>
        <w:rPr/>
        <w:t xml:space="preserve">. Por eso los concursos de este tipo empujan a tomar más riesgo que el que tomaría un inversionista racional con su propio dinero.</w:t>
      </w:r>
    </w:p>
    <w:tbl>
      <w:tblPr>
        <w:tblW w:w="9600" w:type="dxa"/>
        <w:tblBorders>
          <w:left w:val="single" w:sz="36" w:space="0" w:color="7030A0"/>
        </w:tblBorders>
        <w:tblCellMar>
          <w:top w:w="100" w:type="dxa"/>
          <w:left w:w="160" w:type="dxa"/>
          <w:bottom w:w="80" w:type="dxa"/>
          <w:right w:w="160" w:type="dxa"/>
        </w:tblCellMar>
      </w:tblPr>
      <w:tblGrid>
        <w:gridCol w:w="9600"/>
      </w:tblGrid>
      <w:tr>
        <w:trPr>
          <w:cantSplit/>
        </w:trPr>
        <w:tc>
          <w:tcPr>
            <w:tcW w:w="9600" w:type="dxa"/>
            <w:shd w:val="clear" w:color="auto" w:fill="EDE2F6"/>
          </w:tcPr>
          <w:p>
            <w:pPr>
              <w:spacing w:after="40"/>
            </w:pPr>
            <w:r>
              <w:rPr>
                <w:b/>
                <w:color w:val="7030A0"/>
                <w:sz w:val="21"/>
                <w:szCs w:val="21"/>
              </w:rPr>
              <w:t xml:space="preserve">Conexión con la literatura</w:t>
            </w:r>
          </w:p>
          <w:p>
            <w:pPr>
              <w:spacing w:after="40"/>
            </w:pPr>
            <w:r>
              <w:rPr>
                <w:sz w:val="20"/>
                <w:szCs w:val="20"/>
              </w:rPr>
              <w:t xml:space="preserve">Brown, Harlow y Starks (1996) mostraron que los administradores de fondos mutuos que van perdiendo a mitad de año tienden a aumentar el riesgo de sus carteras en la segunda mitad, porque los flujos de clientes premian a los primeros del ranking. Es la misma lógica que verán en el CCI.</w:t>
            </w:r>
          </w:p>
        </w:tc>
      </w:tr>
    </w:tbl>
    <w:p>
      <w:pPr>
        <w:spacing w:after="40"/>
      </w:pPr>
    </w:p>
    <w:p>
      <w:pPr>
        <w:pStyle w:val="Heading2"/>
      </w:pPr>
      <w:bookmarkStart w:id="8" w:name="_h8"/>
      <w:r>
        <w:rPr/>
        <w:t xml:space="preserve">2.2 Volatilidad y probabilidad de llegar a la meta</w:t>
      </w:r>
      <w:bookmarkEnd w:id="8"/>
    </w:p>
    <w:p>
      <w:pPr/>
      <w:r>
        <w:rPr/>
        <w:t xml:space="preserve">Supongan una cartera con retorno esperado de 10% anual y distintos niveles de volatilidad, en un concurso de 8 semanas. La probabilidad de superar +30% (lo que suele necesitarse para pelear el primer lugar) cambia radicalmente (modelo lognormal, hoja 10_Torneo del Excel):</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909"/>
        <w:gridCol w:w="2230"/>
        <w:gridCol w:w="2230"/>
        <w:gridCol w:w="2230"/>
      </w:tblGrid>
      <w:tr>
        <w:trPr>
          <w:tblHeader/>
        </w:trPr>
        <w:tc>
          <w:tcPr>
            <w:tcW w:w="2909" w:type="dxa"/>
            <w:shd w:val="clear" w:color="auto" w:fill="1F3864"/>
            <w:tcMar>
              <w:top w:w="50" w:type="dxa"/>
              <w:bottom w:w="50" w:type="dxa"/>
            </w:tcMar>
          </w:tcPr>
          <w:p>
            <w:pPr>
              <w:spacing w:before="20" w:after="20"/>
            </w:pPr>
            <w:r>
              <w:rPr>
                <w:b/>
                <w:color w:val="FFFFFF"/>
                <w:sz w:val="19"/>
                <w:szCs w:val="19"/>
              </w:rPr>
              <w:t xml:space="preserve">Volatilidad anual</w:t>
            </w:r>
          </w:p>
        </w:tc>
        <w:tc>
          <w:tcPr>
            <w:tcW w:w="2230" w:type="dxa"/>
            <w:shd w:val="clear" w:color="auto" w:fill="1F3864"/>
            <w:tcMar>
              <w:top w:w="50" w:type="dxa"/>
              <w:bottom w:w="50" w:type="dxa"/>
            </w:tcMar>
          </w:tcPr>
          <w:p>
            <w:pPr>
              <w:spacing w:before="20" w:after="20"/>
            </w:pPr>
            <w:r>
              <w:rPr>
                <w:b/>
                <w:color w:val="FFFFFF"/>
                <w:sz w:val="19"/>
                <w:szCs w:val="19"/>
              </w:rPr>
              <w:t xml:space="preserve">P(retorno &gt; 10%)</w:t>
            </w:r>
          </w:p>
        </w:tc>
        <w:tc>
          <w:tcPr>
            <w:tcW w:w="2230" w:type="dxa"/>
            <w:shd w:val="clear" w:color="auto" w:fill="1F3864"/>
            <w:tcMar>
              <w:top w:w="50" w:type="dxa"/>
              <w:bottom w:w="50" w:type="dxa"/>
            </w:tcMar>
          </w:tcPr>
          <w:p>
            <w:pPr>
              <w:spacing w:before="20" w:after="20"/>
            </w:pPr>
            <w:r>
              <w:rPr>
                <w:b/>
                <w:color w:val="FFFFFF"/>
                <w:sz w:val="19"/>
                <w:szCs w:val="19"/>
              </w:rPr>
              <w:t xml:space="preserve">P(retorno &gt; 30%)</w:t>
            </w:r>
          </w:p>
        </w:tc>
        <w:tc>
          <w:tcPr>
            <w:tcW w:w="2230" w:type="dxa"/>
            <w:shd w:val="clear" w:color="auto" w:fill="1F3864"/>
            <w:tcMar>
              <w:top w:w="50" w:type="dxa"/>
              <w:bottom w:w="50" w:type="dxa"/>
            </w:tcMar>
          </w:tcPr>
          <w:p>
            <w:pPr>
              <w:spacing w:before="20" w:after="20"/>
            </w:pPr>
            <w:r>
              <w:rPr>
                <w:b/>
                <w:color w:val="FFFFFF"/>
                <w:sz w:val="19"/>
                <w:szCs w:val="19"/>
              </w:rPr>
              <w:t xml:space="preserve">P(retorno &lt; −10%)</w:t>
            </w:r>
          </w:p>
        </w:tc>
      </w:tr>
      <w:tr>
        <w:trPr>
          <w:cantSplit/>
        </w:trPr>
        <w:tc>
          <w:tcPr>
            <w:tcW w:w="2909" w:type="dxa"/>
            <w:tcMar>
              <w:top w:w="50" w:type="dxa"/>
              <w:bottom w:w="50" w:type="dxa"/>
            </w:tcMar>
          </w:tcPr>
          <w:p>
            <w:pPr>
              <w:spacing w:before="20" w:after="20"/>
            </w:pPr>
            <w:r>
              <w:rPr>
                <w:sz w:val="19"/>
                <w:szCs w:val="19"/>
              </w:rPr>
              <w:t xml:space="preserve">15% (≈ IPSA diversificado)</w:t>
            </w:r>
          </w:p>
        </w:tc>
        <w:tc>
          <w:tcPr>
            <w:tcW w:w="2230" w:type="dxa"/>
            <w:tcMar>
              <w:top w:w="50" w:type="dxa"/>
              <w:bottom w:w="50" w:type="dxa"/>
            </w:tcMar>
          </w:tcPr>
          <w:p>
            <w:pPr>
              <w:spacing w:before="20" w:after="20"/>
            </w:pPr>
            <w:r>
              <w:rPr>
                <w:sz w:val="19"/>
                <w:szCs w:val="19"/>
              </w:rPr>
              <w:t xml:space="preserve">8,3%</w:t>
            </w:r>
          </w:p>
        </w:tc>
        <w:tc>
          <w:tcPr>
            <w:tcW w:w="2230" w:type="dxa"/>
            <w:tcMar>
              <w:top w:w="50" w:type="dxa"/>
              <w:bottom w:w="50" w:type="dxa"/>
            </w:tcMar>
          </w:tcPr>
          <w:p>
            <w:pPr>
              <w:spacing w:before="20" w:after="20"/>
            </w:pPr>
            <w:r>
              <w:rPr>
                <w:sz w:val="19"/>
                <w:szCs w:val="19"/>
              </w:rPr>
              <w:t xml:space="preserve">~0%</w:t>
            </w:r>
          </w:p>
        </w:tc>
        <w:tc>
          <w:tcPr>
            <w:tcW w:w="2230" w:type="dxa"/>
            <w:tcMar>
              <w:top w:w="50" w:type="dxa"/>
              <w:bottom w:w="50" w:type="dxa"/>
            </w:tcMar>
          </w:tcPr>
          <w:p>
            <w:pPr>
              <w:spacing w:before="20" w:after="20"/>
            </w:pPr>
            <w:r>
              <w:rPr>
                <w:sz w:val="19"/>
                <w:szCs w:val="19"/>
              </w:rPr>
              <w:t xml:space="preserve">2,2%</w:t>
            </w:r>
          </w:p>
        </w:tc>
      </w:tr>
      <w:tr>
        <w:trPr>
          <w:cantSplit/>
        </w:trPr>
        <w:tc>
          <w:tcPr>
            <w:tcW w:w="2909" w:type="dxa"/>
            <w:shd w:val="clear" w:color="auto" w:fill="EEF3FA"/>
            <w:tcMar>
              <w:top w:w="50" w:type="dxa"/>
              <w:bottom w:w="50" w:type="dxa"/>
            </w:tcMar>
          </w:tcPr>
          <w:p>
            <w:pPr>
              <w:spacing w:before="20" w:after="20"/>
            </w:pPr>
            <w:r>
              <w:rPr>
                <w:sz w:val="19"/>
                <w:szCs w:val="19"/>
              </w:rPr>
              <w:t xml:space="preserve">20%</w:t>
            </w:r>
          </w:p>
        </w:tc>
        <w:tc>
          <w:tcPr>
            <w:tcW w:w="2230" w:type="dxa"/>
            <w:shd w:val="clear" w:color="auto" w:fill="EEF3FA"/>
            <w:tcMar>
              <w:top w:w="50" w:type="dxa"/>
              <w:bottom w:w="50" w:type="dxa"/>
            </w:tcMar>
          </w:tcPr>
          <w:p>
            <w:pPr>
              <w:spacing w:before="20" w:after="20"/>
            </w:pPr>
            <w:r>
              <w:rPr>
                <w:sz w:val="19"/>
                <w:szCs w:val="19"/>
              </w:rPr>
              <w:t xml:space="preserve">14,5%</w:t>
            </w:r>
          </w:p>
        </w:tc>
        <w:tc>
          <w:tcPr>
            <w:tcW w:w="2230" w:type="dxa"/>
            <w:shd w:val="clear" w:color="auto" w:fill="EEF3FA"/>
            <w:tcMar>
              <w:top w:w="50" w:type="dxa"/>
              <w:bottom w:w="50" w:type="dxa"/>
            </w:tcMar>
          </w:tcPr>
          <w:p>
            <w:pPr>
              <w:spacing w:before="20" w:after="20"/>
            </w:pPr>
            <w:r>
              <w:rPr>
                <w:sz w:val="19"/>
                <w:szCs w:val="19"/>
              </w:rPr>
              <w:t xml:space="preserve">0,07%</w:t>
            </w:r>
          </w:p>
        </w:tc>
        <w:tc>
          <w:tcPr>
            <w:tcW w:w="2230" w:type="dxa"/>
            <w:shd w:val="clear" w:color="auto" w:fill="EEF3FA"/>
            <w:tcMar>
              <w:top w:w="50" w:type="dxa"/>
              <w:bottom w:w="50" w:type="dxa"/>
            </w:tcMar>
          </w:tcPr>
          <w:p>
            <w:pPr>
              <w:spacing w:before="20" w:after="20"/>
            </w:pPr>
            <w:r>
              <w:rPr>
                <w:sz w:val="19"/>
                <w:szCs w:val="19"/>
              </w:rPr>
              <w:t xml:space="preserve">6,7%</w:t>
            </w:r>
          </w:p>
        </w:tc>
      </w:tr>
      <w:tr>
        <w:trPr>
          <w:cantSplit/>
        </w:trPr>
        <w:tc>
          <w:tcPr>
            <w:tcW w:w="2909" w:type="dxa"/>
            <w:tcMar>
              <w:top w:w="50" w:type="dxa"/>
              <w:bottom w:w="50" w:type="dxa"/>
            </w:tcMar>
          </w:tcPr>
          <w:p>
            <w:pPr>
              <w:spacing w:before="20" w:after="20"/>
            </w:pPr>
            <w:r>
              <w:rPr>
                <w:sz w:val="19"/>
                <w:szCs w:val="19"/>
              </w:rPr>
              <w:t xml:space="preserve">40% (cartera concentrada)</w:t>
            </w:r>
          </w:p>
        </w:tc>
        <w:tc>
          <w:tcPr>
            <w:tcW w:w="2230" w:type="dxa"/>
            <w:tcMar>
              <w:top w:w="50" w:type="dxa"/>
              <w:bottom w:w="50" w:type="dxa"/>
            </w:tcMar>
          </w:tcPr>
          <w:p>
            <w:pPr>
              <w:spacing w:before="20" w:after="20"/>
            </w:pPr>
            <w:r>
              <w:rPr>
                <w:sz w:val="19"/>
                <w:szCs w:val="19"/>
              </w:rPr>
              <w:t xml:space="preserve">27,8%</w:t>
            </w:r>
          </w:p>
        </w:tc>
        <w:tc>
          <w:tcPr>
            <w:tcW w:w="2230" w:type="dxa"/>
            <w:tcMar>
              <w:top w:w="50" w:type="dxa"/>
              <w:bottom w:w="50" w:type="dxa"/>
            </w:tcMar>
          </w:tcPr>
          <w:p>
            <w:pPr>
              <w:spacing w:before="20" w:after="20"/>
            </w:pPr>
            <w:r>
              <w:rPr>
                <w:sz w:val="19"/>
                <w:szCs w:val="19"/>
              </w:rPr>
              <w:t xml:space="preserve">4,9%</w:t>
            </w:r>
          </w:p>
        </w:tc>
        <w:tc>
          <w:tcPr>
            <w:tcW w:w="2230" w:type="dxa"/>
            <w:tcMar>
              <w:top w:w="50" w:type="dxa"/>
              <w:bottom w:w="50" w:type="dxa"/>
            </w:tcMar>
          </w:tcPr>
          <w:p>
            <w:pPr>
              <w:spacing w:before="20" w:after="20"/>
            </w:pPr>
            <w:r>
              <w:rPr>
                <w:sz w:val="19"/>
                <w:szCs w:val="19"/>
              </w:rPr>
              <w:t xml:space="preserve">24,5%</w:t>
            </w:r>
          </w:p>
        </w:tc>
      </w:tr>
      <w:tr>
        <w:trPr>
          <w:cantSplit/>
        </w:trPr>
        <w:tc>
          <w:tcPr>
            <w:tcW w:w="2909" w:type="dxa"/>
            <w:shd w:val="clear" w:color="auto" w:fill="EEF3FA"/>
            <w:tcMar>
              <w:top w:w="50" w:type="dxa"/>
              <w:bottom w:w="50" w:type="dxa"/>
            </w:tcMar>
          </w:tcPr>
          <w:p>
            <w:pPr>
              <w:spacing w:before="20" w:after="20"/>
            </w:pPr>
            <w:r>
              <w:rPr>
                <w:sz w:val="19"/>
                <w:szCs w:val="19"/>
              </w:rPr>
              <w:t xml:space="preserve">60% (muy concentrada, betas altas)</w:t>
            </w:r>
          </w:p>
        </w:tc>
        <w:tc>
          <w:tcPr>
            <w:tcW w:w="2230" w:type="dxa"/>
            <w:shd w:val="clear" w:color="auto" w:fill="EEF3FA"/>
            <w:tcMar>
              <w:top w:w="50" w:type="dxa"/>
              <w:bottom w:w="50" w:type="dxa"/>
            </w:tcMar>
          </w:tcPr>
          <w:p>
            <w:pPr>
              <w:spacing w:before="20" w:after="20"/>
            </w:pPr>
            <w:r>
              <w:rPr>
                <w:sz w:val="19"/>
                <w:szCs w:val="19"/>
              </w:rPr>
              <w:t xml:space="preserve">32,4%</w:t>
            </w:r>
          </w:p>
        </w:tc>
        <w:tc>
          <w:tcPr>
            <w:tcW w:w="2230" w:type="dxa"/>
            <w:shd w:val="clear" w:color="auto" w:fill="EEF3FA"/>
            <w:tcMar>
              <w:top w:w="50" w:type="dxa"/>
              <w:bottom w:w="50" w:type="dxa"/>
            </w:tcMar>
          </w:tcPr>
          <w:p>
            <w:pPr>
              <w:spacing w:before="20" w:after="20"/>
            </w:pPr>
            <w:r>
              <w:rPr>
                <w:sz w:val="19"/>
                <w:szCs w:val="19"/>
              </w:rPr>
              <w:t xml:space="preserve">12,2%</w:t>
            </w:r>
          </w:p>
        </w:tc>
        <w:tc>
          <w:tcPr>
            <w:tcW w:w="2230" w:type="dxa"/>
            <w:shd w:val="clear" w:color="auto" w:fill="EEF3FA"/>
            <w:tcMar>
              <w:top w:w="50" w:type="dxa"/>
              <w:bottom w:w="50" w:type="dxa"/>
            </w:tcMar>
          </w:tcPr>
          <w:p>
            <w:pPr>
              <w:spacing w:before="20" w:after="20"/>
            </w:pPr>
            <w:r>
              <w:rPr>
                <w:sz w:val="19"/>
                <w:szCs w:val="19"/>
              </w:rPr>
              <w:t xml:space="preserve">34,6%</w:t>
            </w:r>
          </w:p>
        </w:tc>
      </w:tr>
    </w:tbl>
    <w:p>
      <w:pPr>
        <w:spacing w:after="60"/>
      </w:pPr>
    </w:p>
    <w:p>
      <w:pPr/>
      <w:r>
        <w:rPr>
          <w:b/>
        </w:rPr>
        <w:t xml:space="preserve">Lectura:</w:t>
      </w:r>
      <w:r>
        <w:rPr/>
        <w:t xml:space="preserve"> con una cartera parecida al IPSA es casi imposible ganar; con una cartera concentrada la probabilidad de ganar sube, pero también la de terminar muy abajo. El trabajo de análisis (capítulos 8 y 9) sirve para que esa volatilidad extra venga acompañada de un retorno esperado mayor, es decir, para mover la distribución completa hacia la derecha.</w:t>
      </w:r>
    </w:p>
    <w:p>
      <w:pPr>
        <w:pStyle w:val="Heading2"/>
      </w:pPr>
      <w:bookmarkStart w:id="9" w:name="_h9"/>
      <w:r>
        <w:rPr/>
        <w:t xml:space="preserve">2.3 El costo de operar</w:t>
      </w:r>
      <w:bookmarkEnd w:id="9"/>
    </w:p>
    <w:p>
      <w:pPr/>
      <w:r>
        <w:rPr/>
        <w:t xml:space="preserve">Con una comisión de 0,5% por lado, cada compra y venta posterior cuesta cerca de 1%. Para no perder, la acción debe subir:</w:t>
      </w:r>
    </w:p>
    <w:p>
      <w:pPr>
        <w:pStyle w:val="Formula"/>
      </w:pPr>
      <w:r>
        <w:rPr>
          <w:rFonts w:ascii="Cambria Math" w:hAnsi="Cambria Math" w:cs="Cambria Math"/>
        </w:rPr>
        <w:t xml:space="preserve">Alza de empate = (1 + c) / (1 − c) − 1 = 1,005 / 0,995 − 1 ≈ 1,005%</w:t>
      </w:r>
    </w:p>
    <w:p>
      <w:pPr/>
      <w:r>
        <w:rPr/>
        <w:t xml:space="preserve">Rotar toda la cartera 10 veces durante el concurso cuesta aproximadamente </w:t>
      </w:r>
      <w:r>
        <w:rPr>
          <w:b/>
        </w:rPr>
        <w:t xml:space="preserve">9,5%</w:t>
      </w:r>
      <w:r>
        <w:rPr/>
        <w:t xml:space="preserve"> del capital; 20 veces, cerca de </w:t>
      </w:r>
      <w:r>
        <w:rPr>
          <w:b/>
        </w:rPr>
        <w:t xml:space="preserve">18%</w:t>
      </w:r>
      <w:r>
        <w:rPr/>
        <w:t xml:space="preserve">. En un torneo donde gana quien obtiene 30–60%, regalar 10–18% en comisiones es muy caro. Regla práctica: </w:t>
      </w:r>
      <w:r>
        <w:rPr>
          <w:b/>
        </w:rPr>
        <w:t xml:space="preserve">operar solo cuando el movimiento esperado sea al menos 3 veces el costo</w:t>
      </w:r>
      <w:r>
        <w:rPr/>
        <w:t xml:space="preserve"> (≈3%).</w:t>
      </w:r>
    </w:p>
    <w:p>
      <w:pPr>
        <w:pStyle w:val="Heading2"/>
      </w:pPr>
      <w:bookmarkStart w:id="10" w:name="_h10"/>
      <w:r>
        <w:rPr/>
        <w:t xml:space="preserve">2.4 Riesgo de ruina</w:t>
      </w:r>
      <w:bookmarkEnd w:id="10"/>
    </w:p>
    <w:p>
      <w:pPr/>
      <w:r>
        <w:rPr/>
        <w:t xml:space="preserve">La asimetría de las pérdidas es brutal: si caes 25% necesitas +33% para volver a cero; si caes 50%, necesitas +100%. Una mala apuesta en la primera semana puede dejarlos fuera del torneo antes de que sus buenas ideas maduren. Por eso la estrategia correcta no es "máximo riesgo siempre", sino </w:t>
      </w:r>
      <w:r>
        <w:rPr>
          <w:b/>
        </w:rPr>
        <w:t xml:space="preserve">riesgo alto pero controlado, con reglas de salida</w:t>
      </w:r>
      <w:r>
        <w:rPr/>
        <w:t xml:space="preserve">.</w:t>
      </w:r>
    </w:p>
    <w:p>
      <w:pPr>
        <w:pStyle w:val="Formula"/>
      </w:pPr>
      <w:r>
        <w:rPr>
          <w:rFonts w:ascii="Cambria Math" w:hAnsi="Cambria Math" w:cs="Cambria Math"/>
        </w:rPr>
        <w:t xml:space="preserve">Alza necesaria para recuperar una caída d = 1 / (1 − d) − 1</w:t>
      </w:r>
    </w:p>
    <w:p>
      <w:pPr>
        <w:pStyle w:val="Heading1"/>
      </w:pPr>
      <w:bookmarkStart w:id="11" w:name="_h11"/>
      <w:r>
        <w:rPr/>
        <w:t xml:space="preserve">3. El mercado de acciones chileno</w:t>
      </w:r>
      <w:bookmarkEnd w:id="11"/>
    </w:p>
    <w:p>
      <w:pPr>
        <w:pStyle w:val="Heading2"/>
      </w:pPr>
      <w:bookmarkStart w:id="12" w:name="_h12"/>
      <w:r>
        <w:rPr/>
        <w:t xml:space="preserve">3.1 Bolsa de Santiago y nuam</w:t>
      </w:r>
      <w:bookmarkEnd w:id="12"/>
    </w:p>
    <w:p>
      <w:pPr/>
      <w:r>
        <w:rPr/>
        <w:t xml:space="preserve">La Bolsa de Comercio de Santiago es la principal bolsa de Chile. Desde 2023 forma parte de </w:t>
      </w:r>
      <w:r>
        <w:rPr>
          <w:b/>
        </w:rPr>
        <w:t xml:space="preserve">nuam</w:t>
      </w:r>
      <w:r>
        <w:rPr/>
        <w:t xml:space="preserve">, que integra las bolsas de Santiago, Lima y Colombia con el objetivo de construir un mercado único regional. La regulación y supervisión corresponden a la </w:t>
      </w:r>
      <w:r>
        <w:rPr>
          <w:b/>
        </w:rPr>
        <w:t xml:space="preserve">Comisión para el Mercado Financiero (CMF)</w:t>
      </w:r>
      <w:r>
        <w:rPr/>
        <w:t xml:space="preserve">, donde las empresas publican sus estados financieros y </w:t>
      </w:r>
      <w:r>
        <w:rPr>
          <w:b/>
        </w:rPr>
        <w:t xml:space="preserve">hechos esenciales</w:t>
      </w:r>
      <w:r>
        <w:rPr/>
        <w:t xml:space="preserve"> (información relevante que debe divulgarse de inmediato: fusiones, resultados extraordinarios, cambios de directorio, etc.).</w:t>
      </w:r>
    </w:p>
    <w:p>
      <w:pPr>
        <w:pStyle w:val="Heading2"/>
      </w:pPr>
      <w:bookmarkStart w:id="13" w:name="_h13"/>
      <w:r>
        <w:rPr/>
        <w:t xml:space="preserve">3.2 El índice S&amp;P IPSA</w:t>
      </w:r>
      <w:bookmarkEnd w:id="13"/>
    </w:p>
    <w:p>
      <w:pPr>
        <w:pStyle w:val="ListParagraph"/>
        <w:numPr>
          <w:ilvl w:val="0"/>
          <w:numId w:val="1"/>
        </w:numPr>
        <w:spacing w:after="60"/>
      </w:pPr>
      <w:r>
        <w:rPr>
          <w:b/>
        </w:rPr>
        <w:t xml:space="preserve">Qué es:</w:t>
      </w:r>
      <w:r>
        <w:rPr/>
        <w:t xml:space="preserve"> el principal índice accionario chileno, calculado por S&amp;P Dow Jones Indices en conjunto con la Bolsa de Santiago.</w:t>
      </w:r>
    </w:p>
    <w:p>
      <w:pPr>
        <w:pStyle w:val="ListParagraph"/>
        <w:numPr>
          <w:ilvl w:val="0"/>
          <w:numId w:val="1"/>
        </w:numPr>
        <w:spacing w:after="60"/>
      </w:pPr>
      <w:r>
        <w:rPr>
          <w:b/>
        </w:rPr>
        <w:t xml:space="preserve">Composición:</w:t>
      </w:r>
      <w:r>
        <w:rPr/>
        <w:t xml:space="preserve"> desde 2019 tiene 30 acciones (antes eran 40). La composición se revisa periódicamente, así que verifiquen la lista vigente.</w:t>
      </w:r>
    </w:p>
    <w:p>
      <w:pPr>
        <w:pStyle w:val="ListParagraph"/>
        <w:numPr>
          <w:ilvl w:val="0"/>
          <w:numId w:val="1"/>
        </w:numPr>
        <w:spacing w:after="60"/>
      </w:pPr>
      <w:r>
        <w:rPr>
          <w:b/>
        </w:rPr>
        <w:t xml:space="preserve">Ponderación:</w:t>
      </w:r>
      <w:r>
        <w:rPr/>
        <w:t xml:space="preserve"> por capitalización bursátil ajustada por capital flotante (free float), con límites de peso por acción.</w:t>
      </w:r>
    </w:p>
    <w:p>
      <w:pPr>
        <w:pStyle w:val="ListParagraph"/>
        <w:numPr>
          <w:ilvl w:val="0"/>
          <w:numId w:val="1"/>
        </w:numPr>
        <w:spacing w:after="60"/>
      </w:pPr>
      <w:r>
        <w:rPr>
          <w:b/>
        </w:rPr>
        <w:t xml:space="preserve">Hito reciente:</w:t>
      </w:r>
      <w:r>
        <w:rPr/>
        <w:t xml:space="preserve"> en noviembre de 2025 superó por primera vez los 10.000 puntos (La Tercera).</w:t>
      </w:r>
    </w:p>
    <w:p>
      <w:pPr>
        <w:pStyle w:val="ListParagraph"/>
        <w:numPr>
          <w:ilvl w:val="0"/>
          <w:numId w:val="1"/>
        </w:numPr>
        <w:spacing w:after="60"/>
      </w:pPr>
      <w:r>
        <w:rPr>
          <w:b/>
        </w:rPr>
        <w:t xml:space="preserve">Por qué importa:</w:t>
      </w:r>
      <w:r>
        <w:rPr/>
        <w:t xml:space="preserve"> históricamente es el universo del CCI y es el </w:t>
      </w:r>
      <w:r>
        <w:rPr>
          <w:b/>
        </w:rPr>
        <w:t xml:space="preserve">benchmark</w:t>
      </w:r>
      <w:r>
        <w:rPr/>
        <w:t xml:space="preserve"> natural para evaluar si su cartera "le gana al mercado".</w:t>
      </w:r>
    </w:p>
    <w:p>
      <w:pPr>
        <w:pStyle w:val="Heading2"/>
      </w:pPr>
      <w:bookmarkStart w:id="14" w:name="_h14"/>
      <w:r>
        <w:rPr/>
        <w:t xml:space="preserve">3.3 Sectores típicos del IPSA</w:t>
      </w:r>
      <w:bookmarkEnd w:id="14"/>
    </w:p>
    <w:p>
      <w:pPr/>
      <w:r>
        <w:rPr/>
        <w:t xml:space="preserve">La composición cambia, pero el IPSA suele incluir empresas de estos sectores (los ejemplos son referenciales; confirmen la lista vigente):</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43"/>
        <w:gridCol w:w="3728"/>
        <w:gridCol w:w="3728"/>
      </w:tblGrid>
      <w:tr>
        <w:trPr>
          <w:tblHeader/>
        </w:trPr>
        <w:tc>
          <w:tcPr>
            <w:tcW w:w="2143" w:type="dxa"/>
            <w:shd w:val="clear" w:color="auto" w:fill="1F3864"/>
            <w:tcMar>
              <w:top w:w="50" w:type="dxa"/>
              <w:bottom w:w="50" w:type="dxa"/>
            </w:tcMar>
          </w:tcPr>
          <w:p>
            <w:pPr>
              <w:spacing w:before="20" w:after="20"/>
            </w:pPr>
            <w:r>
              <w:rPr>
                <w:b/>
                <w:color w:val="FFFFFF"/>
                <w:sz w:val="19"/>
                <w:szCs w:val="19"/>
              </w:rPr>
              <w:t xml:space="preserve">Sector</w:t>
            </w:r>
          </w:p>
        </w:tc>
        <w:tc>
          <w:tcPr>
            <w:tcW w:w="3728" w:type="dxa"/>
            <w:shd w:val="clear" w:color="auto" w:fill="1F3864"/>
            <w:tcMar>
              <w:top w:w="50" w:type="dxa"/>
              <w:bottom w:w="50" w:type="dxa"/>
            </w:tcMar>
          </w:tcPr>
          <w:p>
            <w:pPr>
              <w:spacing w:before="20" w:after="20"/>
            </w:pPr>
            <w:r>
              <w:rPr>
                <w:b/>
                <w:color w:val="FFFFFF"/>
                <w:sz w:val="19"/>
                <w:szCs w:val="19"/>
              </w:rPr>
              <w:t xml:space="preserve">Ejemplos habituales</w:t>
            </w:r>
          </w:p>
        </w:tc>
        <w:tc>
          <w:tcPr>
            <w:tcW w:w="3728" w:type="dxa"/>
            <w:shd w:val="clear" w:color="auto" w:fill="1F3864"/>
            <w:tcMar>
              <w:top w:w="50" w:type="dxa"/>
              <w:bottom w:w="50" w:type="dxa"/>
            </w:tcMar>
          </w:tcPr>
          <w:p>
            <w:pPr>
              <w:spacing w:before="20" w:after="20"/>
            </w:pPr>
            <w:r>
              <w:rPr>
                <w:b/>
                <w:color w:val="FFFFFF"/>
                <w:sz w:val="19"/>
                <w:szCs w:val="19"/>
              </w:rPr>
              <w:t xml:space="preserve">Qué los mueve</w:t>
            </w:r>
          </w:p>
        </w:tc>
      </w:tr>
      <w:tr>
        <w:trPr>
          <w:cantSplit/>
        </w:trPr>
        <w:tc>
          <w:tcPr>
            <w:tcW w:w="2143" w:type="dxa"/>
            <w:tcMar>
              <w:top w:w="50" w:type="dxa"/>
              <w:bottom w:w="50" w:type="dxa"/>
            </w:tcMar>
          </w:tcPr>
          <w:p>
            <w:pPr>
              <w:spacing w:before="20" w:after="20"/>
            </w:pPr>
            <w:r>
              <w:rPr>
                <w:sz w:val="19"/>
                <w:szCs w:val="19"/>
              </w:rPr>
              <w:t xml:space="preserve">Bancos</w:t>
            </w:r>
          </w:p>
        </w:tc>
        <w:tc>
          <w:tcPr>
            <w:tcW w:w="3728" w:type="dxa"/>
            <w:tcMar>
              <w:top w:w="50" w:type="dxa"/>
              <w:bottom w:w="50" w:type="dxa"/>
            </w:tcMar>
          </w:tcPr>
          <w:p>
            <w:pPr>
              <w:spacing w:before="20" w:after="20"/>
            </w:pPr>
            <w:r>
              <w:rPr>
                <w:sz w:val="19"/>
                <w:szCs w:val="19"/>
              </w:rPr>
              <w:t xml:space="preserve">Banco de Chile, BCI, Santander Chile, Itaú Chile</w:t>
            </w:r>
          </w:p>
        </w:tc>
        <w:tc>
          <w:tcPr>
            <w:tcW w:w="3728" w:type="dxa"/>
            <w:tcMar>
              <w:top w:w="50" w:type="dxa"/>
              <w:bottom w:w="50" w:type="dxa"/>
            </w:tcMar>
          </w:tcPr>
          <w:p>
            <w:pPr>
              <w:spacing w:before="20" w:after="20"/>
            </w:pPr>
            <w:r>
              <w:rPr>
                <w:sz w:val="19"/>
                <w:szCs w:val="19"/>
              </w:rPr>
              <w:t xml:space="preserve">Tasas (TPM), inflación/UF, crecimiento del crédito, morosidad</w:t>
            </w:r>
          </w:p>
        </w:tc>
      </w:tr>
      <w:tr>
        <w:trPr>
          <w:cantSplit/>
        </w:trPr>
        <w:tc>
          <w:tcPr>
            <w:tcW w:w="2143" w:type="dxa"/>
            <w:shd w:val="clear" w:color="auto" w:fill="EEF3FA"/>
            <w:tcMar>
              <w:top w:w="50" w:type="dxa"/>
              <w:bottom w:w="50" w:type="dxa"/>
            </w:tcMar>
          </w:tcPr>
          <w:p>
            <w:pPr>
              <w:spacing w:before="20" w:after="20"/>
            </w:pPr>
            <w:r>
              <w:rPr>
                <w:sz w:val="19"/>
                <w:szCs w:val="19"/>
              </w:rPr>
              <w:t xml:space="preserve">Retail y centros comerciales</w:t>
            </w:r>
          </w:p>
        </w:tc>
        <w:tc>
          <w:tcPr>
            <w:tcW w:w="3728" w:type="dxa"/>
            <w:shd w:val="clear" w:color="auto" w:fill="EEF3FA"/>
            <w:tcMar>
              <w:top w:w="50" w:type="dxa"/>
              <w:bottom w:w="50" w:type="dxa"/>
            </w:tcMar>
          </w:tcPr>
          <w:p>
            <w:pPr>
              <w:spacing w:before="20" w:after="20"/>
            </w:pPr>
            <w:r>
              <w:rPr>
                <w:sz w:val="19"/>
                <w:szCs w:val="19"/>
              </w:rPr>
              <w:t xml:space="preserve">Falabella, Cencosud, Ripley, Parque Arauco, Mallplaza</w:t>
            </w:r>
          </w:p>
        </w:tc>
        <w:tc>
          <w:tcPr>
            <w:tcW w:w="3728" w:type="dxa"/>
            <w:shd w:val="clear" w:color="auto" w:fill="EEF3FA"/>
            <w:tcMar>
              <w:top w:w="50" w:type="dxa"/>
              <w:bottom w:w="50" w:type="dxa"/>
            </w:tcMar>
          </w:tcPr>
          <w:p>
            <w:pPr>
              <w:spacing w:before="20" w:after="20"/>
            </w:pPr>
            <w:r>
              <w:rPr>
                <w:sz w:val="19"/>
                <w:szCs w:val="19"/>
              </w:rPr>
              <w:t xml:space="preserve">Consumo, empleo, tasas, tipo de cambio, Perú/Colombia/Argentina</w:t>
            </w:r>
          </w:p>
        </w:tc>
      </w:tr>
      <w:tr>
        <w:trPr>
          <w:cantSplit/>
        </w:trPr>
        <w:tc>
          <w:tcPr>
            <w:tcW w:w="2143" w:type="dxa"/>
            <w:tcMar>
              <w:top w:w="50" w:type="dxa"/>
              <w:bottom w:w="50" w:type="dxa"/>
            </w:tcMar>
          </w:tcPr>
          <w:p>
            <w:pPr>
              <w:spacing w:before="20" w:after="20"/>
            </w:pPr>
            <w:r>
              <w:rPr>
                <w:sz w:val="19"/>
                <w:szCs w:val="19"/>
              </w:rPr>
              <w:t xml:space="preserve">Minería y química</w:t>
            </w:r>
          </w:p>
        </w:tc>
        <w:tc>
          <w:tcPr>
            <w:tcW w:w="3728" w:type="dxa"/>
            <w:tcMar>
              <w:top w:w="50" w:type="dxa"/>
              <w:bottom w:w="50" w:type="dxa"/>
            </w:tcMar>
          </w:tcPr>
          <w:p>
            <w:pPr>
              <w:spacing w:before="20" w:after="20"/>
            </w:pPr>
            <w:r>
              <w:rPr>
                <w:sz w:val="19"/>
                <w:szCs w:val="19"/>
              </w:rPr>
              <w:t xml:space="preserve">SQM-B, CAP</w:t>
            </w:r>
          </w:p>
        </w:tc>
        <w:tc>
          <w:tcPr>
            <w:tcW w:w="3728" w:type="dxa"/>
            <w:tcMar>
              <w:top w:w="50" w:type="dxa"/>
              <w:bottom w:w="50" w:type="dxa"/>
            </w:tcMar>
          </w:tcPr>
          <w:p>
            <w:pPr>
              <w:spacing w:before="20" w:after="20"/>
            </w:pPr>
            <w:r>
              <w:rPr>
                <w:sz w:val="19"/>
                <w:szCs w:val="19"/>
              </w:rPr>
              <w:t xml:space="preserve">Litio, hierro, cobre, China, regulación</w:t>
            </w:r>
          </w:p>
        </w:tc>
      </w:tr>
      <w:tr>
        <w:trPr>
          <w:cantSplit/>
        </w:trPr>
        <w:tc>
          <w:tcPr>
            <w:tcW w:w="2143" w:type="dxa"/>
            <w:shd w:val="clear" w:color="auto" w:fill="EEF3FA"/>
            <w:tcMar>
              <w:top w:w="50" w:type="dxa"/>
              <w:bottom w:w="50" w:type="dxa"/>
            </w:tcMar>
          </w:tcPr>
          <w:p>
            <w:pPr>
              <w:spacing w:before="20" w:after="20"/>
            </w:pPr>
            <w:r>
              <w:rPr>
                <w:sz w:val="19"/>
                <w:szCs w:val="19"/>
              </w:rPr>
              <w:t xml:space="preserve">Forestal / holdings</w:t>
            </w:r>
          </w:p>
        </w:tc>
        <w:tc>
          <w:tcPr>
            <w:tcW w:w="3728" w:type="dxa"/>
            <w:shd w:val="clear" w:color="auto" w:fill="EEF3FA"/>
            <w:tcMar>
              <w:top w:w="50" w:type="dxa"/>
              <w:bottom w:w="50" w:type="dxa"/>
            </w:tcMar>
          </w:tcPr>
          <w:p>
            <w:pPr>
              <w:spacing w:before="20" w:after="20"/>
            </w:pPr>
            <w:r>
              <w:rPr>
                <w:sz w:val="19"/>
                <w:szCs w:val="19"/>
              </w:rPr>
              <w:t xml:space="preserve">CMPC, Empresas Copec</w:t>
            </w:r>
          </w:p>
        </w:tc>
        <w:tc>
          <w:tcPr>
            <w:tcW w:w="3728" w:type="dxa"/>
            <w:shd w:val="clear" w:color="auto" w:fill="EEF3FA"/>
            <w:tcMar>
              <w:top w:w="50" w:type="dxa"/>
              <w:bottom w:w="50" w:type="dxa"/>
            </w:tcMar>
          </w:tcPr>
          <w:p>
            <w:pPr>
              <w:spacing w:before="20" w:after="20"/>
            </w:pPr>
            <w:r>
              <w:rPr>
                <w:sz w:val="19"/>
                <w:szCs w:val="19"/>
              </w:rPr>
              <w:t xml:space="preserve">Precio de la celulosa, combustibles, dólar</w:t>
            </w:r>
          </w:p>
        </w:tc>
      </w:tr>
      <w:tr>
        <w:trPr>
          <w:cantSplit/>
        </w:trPr>
        <w:tc>
          <w:tcPr>
            <w:tcW w:w="2143" w:type="dxa"/>
            <w:tcMar>
              <w:top w:w="50" w:type="dxa"/>
              <w:bottom w:w="50" w:type="dxa"/>
            </w:tcMar>
          </w:tcPr>
          <w:p>
            <w:pPr>
              <w:spacing w:before="20" w:after="20"/>
            </w:pPr>
            <w:r>
              <w:rPr>
                <w:sz w:val="19"/>
                <w:szCs w:val="19"/>
              </w:rPr>
              <w:t xml:space="preserve">Energía y utilities</w:t>
            </w:r>
          </w:p>
        </w:tc>
        <w:tc>
          <w:tcPr>
            <w:tcW w:w="3728" w:type="dxa"/>
            <w:tcMar>
              <w:top w:w="50" w:type="dxa"/>
              <w:bottom w:w="50" w:type="dxa"/>
            </w:tcMar>
          </w:tcPr>
          <w:p>
            <w:pPr>
              <w:spacing w:before="20" w:after="20"/>
            </w:pPr>
            <w:r>
              <w:rPr>
                <w:sz w:val="19"/>
                <w:szCs w:val="19"/>
              </w:rPr>
              <w:t xml:space="preserve">Enel Chile, Colbún, Engie Chile, AES Andes</w:t>
            </w:r>
          </w:p>
        </w:tc>
        <w:tc>
          <w:tcPr>
            <w:tcW w:w="3728" w:type="dxa"/>
            <w:tcMar>
              <w:top w:w="50" w:type="dxa"/>
              <w:bottom w:w="50" w:type="dxa"/>
            </w:tcMar>
          </w:tcPr>
          <w:p>
            <w:pPr>
              <w:spacing w:before="20" w:after="20"/>
            </w:pPr>
            <w:r>
              <w:rPr>
                <w:sz w:val="19"/>
                <w:szCs w:val="19"/>
              </w:rPr>
              <w:t xml:space="preserve">Tasas (descuento de flujos estables), hidrología, regulación</w:t>
            </w:r>
          </w:p>
        </w:tc>
      </w:tr>
      <w:tr>
        <w:trPr>
          <w:cantSplit/>
        </w:trPr>
        <w:tc>
          <w:tcPr>
            <w:tcW w:w="2143" w:type="dxa"/>
            <w:shd w:val="clear" w:color="auto" w:fill="EEF3FA"/>
            <w:tcMar>
              <w:top w:w="50" w:type="dxa"/>
              <w:bottom w:w="50" w:type="dxa"/>
            </w:tcMar>
          </w:tcPr>
          <w:p>
            <w:pPr>
              <w:spacing w:before="20" w:after="20"/>
            </w:pPr>
            <w:r>
              <w:rPr>
                <w:sz w:val="19"/>
                <w:szCs w:val="19"/>
              </w:rPr>
              <w:t xml:space="preserve">Consumo básico</w:t>
            </w:r>
          </w:p>
        </w:tc>
        <w:tc>
          <w:tcPr>
            <w:tcW w:w="3728" w:type="dxa"/>
            <w:shd w:val="clear" w:color="auto" w:fill="EEF3FA"/>
            <w:tcMar>
              <w:top w:w="50" w:type="dxa"/>
              <w:bottom w:w="50" w:type="dxa"/>
            </w:tcMar>
          </w:tcPr>
          <w:p>
            <w:pPr>
              <w:spacing w:before="20" w:after="20"/>
            </w:pPr>
            <w:r>
              <w:rPr>
                <w:sz w:val="19"/>
                <w:szCs w:val="19"/>
              </w:rPr>
              <w:t xml:space="preserve">CCU, Embotelladora Andina, Concha y Toro, SMU</w:t>
            </w:r>
          </w:p>
        </w:tc>
        <w:tc>
          <w:tcPr>
            <w:tcW w:w="3728" w:type="dxa"/>
            <w:shd w:val="clear" w:color="auto" w:fill="EEF3FA"/>
            <w:tcMar>
              <w:top w:w="50" w:type="dxa"/>
              <w:bottom w:w="50" w:type="dxa"/>
            </w:tcMar>
          </w:tcPr>
          <w:p>
            <w:pPr>
              <w:spacing w:before="20" w:after="20"/>
            </w:pPr>
            <w:r>
              <w:rPr>
                <w:sz w:val="19"/>
                <w:szCs w:val="19"/>
              </w:rPr>
              <w:t xml:space="preserve">Costos de insumos, consumo, tipo de cambio</w:t>
            </w:r>
          </w:p>
        </w:tc>
      </w:tr>
      <w:tr>
        <w:trPr>
          <w:cantSplit/>
        </w:trPr>
        <w:tc>
          <w:tcPr>
            <w:tcW w:w="2143" w:type="dxa"/>
            <w:tcMar>
              <w:top w:w="50" w:type="dxa"/>
              <w:bottom w:w="50" w:type="dxa"/>
            </w:tcMar>
          </w:tcPr>
          <w:p>
            <w:pPr>
              <w:spacing w:before="20" w:after="20"/>
            </w:pPr>
            <w:r>
              <w:rPr>
                <w:sz w:val="19"/>
                <w:szCs w:val="19"/>
              </w:rPr>
              <w:t xml:space="preserve">Transporte</w:t>
            </w:r>
          </w:p>
        </w:tc>
        <w:tc>
          <w:tcPr>
            <w:tcW w:w="3728" w:type="dxa"/>
            <w:tcMar>
              <w:top w:w="50" w:type="dxa"/>
              <w:bottom w:w="50" w:type="dxa"/>
            </w:tcMar>
          </w:tcPr>
          <w:p>
            <w:pPr>
              <w:spacing w:before="20" w:after="20"/>
            </w:pPr>
            <w:r>
              <w:rPr>
                <w:sz w:val="19"/>
                <w:szCs w:val="19"/>
              </w:rPr>
              <w:t xml:space="preserve">LATAM Airlines, Vapores</w:t>
            </w:r>
          </w:p>
        </w:tc>
        <w:tc>
          <w:tcPr>
            <w:tcW w:w="3728" w:type="dxa"/>
            <w:tcMar>
              <w:top w:w="50" w:type="dxa"/>
              <w:bottom w:w="50" w:type="dxa"/>
            </w:tcMar>
          </w:tcPr>
          <w:p>
            <w:pPr>
              <w:spacing w:before="20" w:after="20"/>
            </w:pPr>
            <w:r>
              <w:rPr>
                <w:sz w:val="19"/>
                <w:szCs w:val="19"/>
              </w:rPr>
              <w:t xml:space="preserve">Petróleo, demanda de viajes, fletes, dólar</w:t>
            </w:r>
          </w:p>
        </w:tc>
      </w:tr>
      <w:tr>
        <w:trPr>
          <w:cantSplit/>
        </w:trPr>
        <w:tc>
          <w:tcPr>
            <w:tcW w:w="2143" w:type="dxa"/>
            <w:shd w:val="clear" w:color="auto" w:fill="EEF3FA"/>
            <w:tcMar>
              <w:top w:w="50" w:type="dxa"/>
              <w:bottom w:w="50" w:type="dxa"/>
            </w:tcMar>
          </w:tcPr>
          <w:p>
            <w:pPr>
              <w:spacing w:before="20" w:after="20"/>
            </w:pPr>
            <w:r>
              <w:rPr>
                <w:sz w:val="19"/>
                <w:szCs w:val="19"/>
              </w:rPr>
              <w:t xml:space="preserve">Otros</w:t>
            </w:r>
          </w:p>
        </w:tc>
        <w:tc>
          <w:tcPr>
            <w:tcW w:w="3728" w:type="dxa"/>
            <w:shd w:val="clear" w:color="auto" w:fill="EEF3FA"/>
            <w:tcMar>
              <w:top w:w="50" w:type="dxa"/>
              <w:bottom w:w="50" w:type="dxa"/>
            </w:tcMar>
          </w:tcPr>
          <w:p>
            <w:pPr>
              <w:spacing w:before="20" w:after="20"/>
            </w:pPr>
            <w:r>
              <w:rPr>
                <w:sz w:val="19"/>
                <w:szCs w:val="19"/>
              </w:rPr>
              <w:t xml:space="preserve">Entel, Quiñenco, Aguas Andinas, Sonda</w:t>
            </w:r>
          </w:p>
        </w:tc>
        <w:tc>
          <w:tcPr>
            <w:tcW w:w="3728" w:type="dxa"/>
            <w:shd w:val="clear" w:color="auto" w:fill="EEF3FA"/>
            <w:tcMar>
              <w:top w:w="50" w:type="dxa"/>
              <w:bottom w:w="50" w:type="dxa"/>
            </w:tcMar>
          </w:tcPr>
          <w:p>
            <w:pPr>
              <w:spacing w:before="20" w:after="20"/>
            </w:pPr>
            <w:r>
              <w:rPr>
                <w:sz w:val="19"/>
                <w:szCs w:val="19"/>
              </w:rPr>
              <w:t xml:space="preserve">Competencia, regulación, inversiones</w:t>
            </w:r>
          </w:p>
        </w:tc>
      </w:tr>
    </w:tbl>
    <w:p>
      <w:pPr>
        <w:spacing w:after="60"/>
      </w:pPr>
    </w:p>
    <w:p>
      <w:pPr>
        <w:pStyle w:val="Heading2"/>
      </w:pPr>
      <w:bookmarkStart w:id="15" w:name="_h15"/>
      <w:r>
        <w:rPr/>
        <w:t xml:space="preserve">3.4 Conceptos operativos</w:t>
      </w:r>
      <w:bookmarkEnd w:id="15"/>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86"/>
        <w:gridCol w:w="3611"/>
        <w:gridCol w:w="3801"/>
      </w:tblGrid>
      <w:tr>
        <w:trPr>
          <w:tblHeader/>
        </w:trPr>
        <w:tc>
          <w:tcPr>
            <w:tcW w:w="2186" w:type="dxa"/>
            <w:shd w:val="clear" w:color="auto" w:fill="1F3864"/>
            <w:tcMar>
              <w:top w:w="50" w:type="dxa"/>
              <w:bottom w:w="50" w:type="dxa"/>
            </w:tcMar>
          </w:tcPr>
          <w:p>
            <w:pPr>
              <w:spacing w:before="20" w:after="20"/>
            </w:pPr>
            <w:r>
              <w:rPr>
                <w:b/>
                <w:color w:val="FFFFFF"/>
                <w:sz w:val="19"/>
                <w:szCs w:val="19"/>
              </w:rPr>
              <w:t xml:space="preserve">Concepto</w:t>
            </w:r>
          </w:p>
        </w:tc>
        <w:tc>
          <w:tcPr>
            <w:tcW w:w="3611" w:type="dxa"/>
            <w:shd w:val="clear" w:color="auto" w:fill="1F3864"/>
            <w:tcMar>
              <w:top w:w="50" w:type="dxa"/>
              <w:bottom w:w="50" w:type="dxa"/>
            </w:tcMar>
          </w:tcPr>
          <w:p>
            <w:pPr>
              <w:spacing w:before="20" w:after="20"/>
            </w:pPr>
            <w:r>
              <w:rPr>
                <w:b/>
                <w:color w:val="FFFFFF"/>
                <w:sz w:val="19"/>
                <w:szCs w:val="19"/>
              </w:rPr>
              <w:t xml:space="preserve">Qué significa</w:t>
            </w:r>
          </w:p>
        </w:tc>
        <w:tc>
          <w:tcPr>
            <w:tcW w:w="3801" w:type="dxa"/>
            <w:shd w:val="clear" w:color="auto" w:fill="1F3864"/>
            <w:tcMar>
              <w:top w:w="50" w:type="dxa"/>
              <w:bottom w:w="50" w:type="dxa"/>
            </w:tcMar>
          </w:tcPr>
          <w:p>
            <w:pPr>
              <w:spacing w:before="20" w:after="20"/>
            </w:pPr>
            <w:r>
              <w:rPr>
                <w:b/>
                <w:color w:val="FFFFFF"/>
                <w:sz w:val="19"/>
                <w:szCs w:val="19"/>
              </w:rPr>
              <w:t xml:space="preserve">Implicancia en el concurso</w:t>
            </w:r>
          </w:p>
        </w:tc>
      </w:tr>
      <w:tr>
        <w:trPr>
          <w:cantSplit/>
        </w:trPr>
        <w:tc>
          <w:tcPr>
            <w:tcW w:w="2186" w:type="dxa"/>
            <w:tcMar>
              <w:top w:w="50" w:type="dxa"/>
              <w:bottom w:w="50" w:type="dxa"/>
            </w:tcMar>
          </w:tcPr>
          <w:p>
            <w:pPr>
              <w:spacing w:before="20" w:after="20"/>
            </w:pPr>
            <w:r>
              <w:rPr>
                <w:sz w:val="19"/>
                <w:szCs w:val="19"/>
              </w:rPr>
              <w:t xml:space="preserve">Orden a mercado</w:t>
            </w:r>
          </w:p>
        </w:tc>
        <w:tc>
          <w:tcPr>
            <w:tcW w:w="3611" w:type="dxa"/>
            <w:tcMar>
              <w:top w:w="50" w:type="dxa"/>
              <w:bottom w:w="50" w:type="dxa"/>
            </w:tcMar>
          </w:tcPr>
          <w:p>
            <w:pPr>
              <w:spacing w:before="20" w:after="20"/>
            </w:pPr>
            <w:r>
              <w:rPr>
                <w:sz w:val="19"/>
                <w:szCs w:val="19"/>
              </w:rPr>
              <w:t xml:space="preserve">Se ejecuta al mejor precio disponible</w:t>
            </w:r>
          </w:p>
        </w:tc>
        <w:tc>
          <w:tcPr>
            <w:tcW w:w="3801" w:type="dxa"/>
            <w:tcMar>
              <w:top w:w="50" w:type="dxa"/>
              <w:bottom w:w="50" w:type="dxa"/>
            </w:tcMar>
          </w:tcPr>
          <w:p>
            <w:pPr>
              <w:spacing w:before="20" w:after="20"/>
            </w:pPr>
            <w:r>
              <w:rPr>
                <w:sz w:val="19"/>
                <w:szCs w:val="19"/>
              </w:rPr>
              <w:t xml:space="preserve">Rápida, pero el precio puede ser peor en acciones poco líquidas</w:t>
            </w:r>
          </w:p>
        </w:tc>
      </w:tr>
      <w:tr>
        <w:trPr>
          <w:cantSplit/>
        </w:trPr>
        <w:tc>
          <w:tcPr>
            <w:tcW w:w="2186" w:type="dxa"/>
            <w:shd w:val="clear" w:color="auto" w:fill="EEF3FA"/>
            <w:tcMar>
              <w:top w:w="50" w:type="dxa"/>
              <w:bottom w:w="50" w:type="dxa"/>
            </w:tcMar>
          </w:tcPr>
          <w:p>
            <w:pPr>
              <w:spacing w:before="20" w:after="20"/>
            </w:pPr>
            <w:r>
              <w:rPr>
                <w:sz w:val="19"/>
                <w:szCs w:val="19"/>
              </w:rPr>
              <w:t xml:space="preserve">Orden límite</w:t>
            </w:r>
          </w:p>
        </w:tc>
        <w:tc>
          <w:tcPr>
            <w:tcW w:w="3611" w:type="dxa"/>
            <w:shd w:val="clear" w:color="auto" w:fill="EEF3FA"/>
            <w:tcMar>
              <w:top w:w="50" w:type="dxa"/>
              <w:bottom w:w="50" w:type="dxa"/>
            </w:tcMar>
          </w:tcPr>
          <w:p>
            <w:pPr>
              <w:spacing w:before="20" w:after="20"/>
            </w:pPr>
            <w:r>
              <w:rPr>
                <w:sz w:val="19"/>
                <w:szCs w:val="19"/>
              </w:rPr>
              <w:t xml:space="preserve">Se ejecuta solo a tu precio o uno mejor</w:t>
            </w:r>
          </w:p>
        </w:tc>
        <w:tc>
          <w:tcPr>
            <w:tcW w:w="3801" w:type="dxa"/>
            <w:shd w:val="clear" w:color="auto" w:fill="EEF3FA"/>
            <w:tcMar>
              <w:top w:w="50" w:type="dxa"/>
              <w:bottom w:w="50" w:type="dxa"/>
            </w:tcMar>
          </w:tcPr>
          <w:p>
            <w:pPr>
              <w:spacing w:before="20" w:after="20"/>
            </w:pPr>
            <w:r>
              <w:rPr>
                <w:sz w:val="19"/>
                <w:szCs w:val="19"/>
              </w:rPr>
              <w:t xml:space="preserve">Controla el precio; puede no ejecutarse</w:t>
            </w:r>
          </w:p>
        </w:tc>
      </w:tr>
      <w:tr>
        <w:trPr>
          <w:cantSplit/>
        </w:trPr>
        <w:tc>
          <w:tcPr>
            <w:tcW w:w="2186" w:type="dxa"/>
            <w:tcMar>
              <w:top w:w="50" w:type="dxa"/>
              <w:bottom w:w="50" w:type="dxa"/>
            </w:tcMar>
          </w:tcPr>
          <w:p>
            <w:pPr>
              <w:spacing w:before="20" w:after="20"/>
            </w:pPr>
            <w:r>
              <w:rPr>
                <w:sz w:val="19"/>
                <w:szCs w:val="19"/>
              </w:rPr>
              <w:t xml:space="preserve">Spread</w:t>
            </w:r>
          </w:p>
        </w:tc>
        <w:tc>
          <w:tcPr>
            <w:tcW w:w="3611" w:type="dxa"/>
            <w:tcMar>
              <w:top w:w="50" w:type="dxa"/>
              <w:bottom w:w="50" w:type="dxa"/>
            </w:tcMar>
          </w:tcPr>
          <w:p>
            <w:pPr>
              <w:spacing w:before="20" w:after="20"/>
            </w:pPr>
            <w:r>
              <w:rPr>
                <w:sz w:val="19"/>
                <w:szCs w:val="19"/>
              </w:rPr>
              <w:t xml:space="preserve">Diferencia entre precio de compra (oferta) y venta (demanda)</w:t>
            </w:r>
          </w:p>
        </w:tc>
        <w:tc>
          <w:tcPr>
            <w:tcW w:w="3801" w:type="dxa"/>
            <w:tcMar>
              <w:top w:w="50" w:type="dxa"/>
              <w:bottom w:w="50" w:type="dxa"/>
            </w:tcMar>
          </w:tcPr>
          <w:p>
            <w:pPr>
              <w:spacing w:before="20" w:after="20"/>
            </w:pPr>
            <w:r>
              <w:rPr>
                <w:sz w:val="19"/>
                <w:szCs w:val="19"/>
              </w:rPr>
              <w:t xml:space="preserve">Costo oculto adicional a la comisión</w:t>
            </w:r>
          </w:p>
        </w:tc>
      </w:tr>
      <w:tr>
        <w:trPr>
          <w:cantSplit/>
        </w:trPr>
        <w:tc>
          <w:tcPr>
            <w:tcW w:w="2186" w:type="dxa"/>
            <w:shd w:val="clear" w:color="auto" w:fill="EEF3FA"/>
            <w:tcMar>
              <w:top w:w="50" w:type="dxa"/>
              <w:bottom w:w="50" w:type="dxa"/>
            </w:tcMar>
          </w:tcPr>
          <w:p>
            <w:pPr>
              <w:spacing w:before="20" w:after="20"/>
            </w:pPr>
            <w:r>
              <w:rPr>
                <w:sz w:val="19"/>
                <w:szCs w:val="19"/>
              </w:rPr>
              <w:t xml:space="preserve">Liquidez / presencia bursátil</w:t>
            </w:r>
          </w:p>
        </w:tc>
        <w:tc>
          <w:tcPr>
            <w:tcW w:w="3611" w:type="dxa"/>
            <w:shd w:val="clear" w:color="auto" w:fill="EEF3FA"/>
            <w:tcMar>
              <w:top w:w="50" w:type="dxa"/>
              <w:bottom w:w="50" w:type="dxa"/>
            </w:tcMar>
          </w:tcPr>
          <w:p>
            <w:pPr>
              <w:spacing w:before="20" w:after="20"/>
            </w:pPr>
            <w:r>
              <w:rPr>
                <w:sz w:val="19"/>
                <w:szCs w:val="19"/>
              </w:rPr>
              <w:t xml:space="preserve">Cuánto y qué tan seguido se transa</w:t>
            </w:r>
          </w:p>
        </w:tc>
        <w:tc>
          <w:tcPr>
            <w:tcW w:w="3801" w:type="dxa"/>
            <w:shd w:val="clear" w:color="auto" w:fill="EEF3FA"/>
            <w:tcMar>
              <w:top w:w="50" w:type="dxa"/>
              <w:bottom w:w="50" w:type="dxa"/>
            </w:tcMar>
          </w:tcPr>
          <w:p>
            <w:pPr>
              <w:spacing w:before="20" w:after="20"/>
            </w:pPr>
            <w:r>
              <w:rPr>
                <w:sz w:val="19"/>
                <w:szCs w:val="19"/>
              </w:rPr>
              <w:t xml:space="preserve">En el simulador puede importar menos, pero define la confiabilidad del precio</w:t>
            </w:r>
          </w:p>
        </w:tc>
      </w:tr>
      <w:tr>
        <w:trPr>
          <w:cantSplit/>
        </w:trPr>
        <w:tc>
          <w:tcPr>
            <w:tcW w:w="2186" w:type="dxa"/>
            <w:tcMar>
              <w:top w:w="50" w:type="dxa"/>
              <w:bottom w:w="50" w:type="dxa"/>
            </w:tcMar>
          </w:tcPr>
          <w:p>
            <w:pPr>
              <w:spacing w:before="20" w:after="20"/>
            </w:pPr>
            <w:r>
              <w:rPr>
                <w:sz w:val="19"/>
                <w:szCs w:val="19"/>
              </w:rPr>
              <w:t xml:space="preserve">Liquidación</w:t>
            </w:r>
          </w:p>
        </w:tc>
        <w:tc>
          <w:tcPr>
            <w:tcW w:w="3611" w:type="dxa"/>
            <w:tcMar>
              <w:top w:w="50" w:type="dxa"/>
              <w:bottom w:w="50" w:type="dxa"/>
            </w:tcMar>
          </w:tcPr>
          <w:p>
            <w:pPr>
              <w:spacing w:before="20" w:after="20"/>
            </w:pPr>
            <w:r>
              <w:rPr>
                <w:sz w:val="19"/>
                <w:szCs w:val="19"/>
              </w:rPr>
              <w:t xml:space="preserve">Contado normal: habitualmente T+2</w:t>
            </w:r>
          </w:p>
        </w:tc>
        <w:tc>
          <w:tcPr>
            <w:tcW w:w="3801" w:type="dxa"/>
            <w:tcMar>
              <w:top w:w="50" w:type="dxa"/>
              <w:bottom w:w="50" w:type="dxa"/>
            </w:tcMar>
          </w:tcPr>
          <w:p>
            <w:pPr>
              <w:spacing w:before="20" w:after="20"/>
            </w:pPr>
            <w:r>
              <w:rPr>
                <w:sz w:val="19"/>
                <w:szCs w:val="19"/>
              </w:rPr>
              <w:t xml:space="preserve">En el simulador normalmente no aplica; confirmar</w:t>
            </w:r>
          </w:p>
        </w:tc>
      </w:tr>
      <w:tr>
        <w:trPr>
          <w:cantSplit/>
        </w:trPr>
        <w:tc>
          <w:tcPr>
            <w:tcW w:w="2186" w:type="dxa"/>
            <w:shd w:val="clear" w:color="auto" w:fill="EEF3FA"/>
            <w:tcMar>
              <w:top w:w="50" w:type="dxa"/>
              <w:bottom w:w="50" w:type="dxa"/>
            </w:tcMar>
          </w:tcPr>
          <w:p>
            <w:pPr>
              <w:spacing w:before="20" w:after="20"/>
            </w:pPr>
            <w:r>
              <w:rPr>
                <w:sz w:val="19"/>
                <w:szCs w:val="19"/>
              </w:rPr>
              <w:t xml:space="preserve">Series de acciones</w:t>
            </w:r>
          </w:p>
        </w:tc>
        <w:tc>
          <w:tcPr>
            <w:tcW w:w="3611" w:type="dxa"/>
            <w:shd w:val="clear" w:color="auto" w:fill="EEF3FA"/>
            <w:tcMar>
              <w:top w:w="50" w:type="dxa"/>
              <w:bottom w:w="50" w:type="dxa"/>
            </w:tcMar>
          </w:tcPr>
          <w:p>
            <w:pPr>
              <w:spacing w:before="20" w:after="20"/>
            </w:pPr>
            <w:r>
              <w:rPr>
                <w:sz w:val="19"/>
                <w:szCs w:val="19"/>
              </w:rPr>
              <w:t xml:space="preserve">Ej.: SQM-A y SQM-B, ANDINA-A y ANDINA-B</w:t>
            </w:r>
          </w:p>
        </w:tc>
        <w:tc>
          <w:tcPr>
            <w:tcW w:w="3801" w:type="dxa"/>
            <w:shd w:val="clear" w:color="auto" w:fill="EEF3FA"/>
            <w:tcMar>
              <w:top w:w="50" w:type="dxa"/>
              <w:bottom w:w="50" w:type="dxa"/>
            </w:tcMar>
          </w:tcPr>
          <w:p>
            <w:pPr>
              <w:spacing w:before="20" w:after="20"/>
            </w:pPr>
            <w:r>
              <w:rPr>
                <w:sz w:val="19"/>
                <w:szCs w:val="19"/>
              </w:rPr>
              <w:t xml:space="preserve">Distintos derechos de voto y dividendos; elegir la serie correcta</w:t>
            </w:r>
          </w:p>
        </w:tc>
      </w:tr>
      <w:tr>
        <w:trPr>
          <w:cantSplit/>
        </w:trPr>
        <w:tc>
          <w:tcPr>
            <w:tcW w:w="2186" w:type="dxa"/>
            <w:tcMar>
              <w:top w:w="50" w:type="dxa"/>
              <w:bottom w:w="50" w:type="dxa"/>
            </w:tcMar>
          </w:tcPr>
          <w:p>
            <w:pPr>
              <w:spacing w:before="20" w:after="20"/>
            </w:pPr>
            <w:r>
              <w:rPr>
                <w:sz w:val="19"/>
                <w:szCs w:val="19"/>
              </w:rPr>
              <w:t xml:space="preserve">ADR</w:t>
            </w:r>
          </w:p>
        </w:tc>
        <w:tc>
          <w:tcPr>
            <w:tcW w:w="3611" w:type="dxa"/>
            <w:tcMar>
              <w:top w:w="50" w:type="dxa"/>
              <w:bottom w:w="50" w:type="dxa"/>
            </w:tcMar>
          </w:tcPr>
          <w:p>
            <w:pPr>
              <w:spacing w:before="20" w:after="20"/>
            </w:pPr>
            <w:r>
              <w:rPr>
                <w:sz w:val="19"/>
                <w:szCs w:val="19"/>
              </w:rPr>
              <w:t xml:space="preserve">Acción chilena transada en EE.UU. (ej. SQM, LATAM)</w:t>
            </w:r>
          </w:p>
        </w:tc>
        <w:tc>
          <w:tcPr>
            <w:tcW w:w="3801" w:type="dxa"/>
            <w:tcMar>
              <w:top w:w="50" w:type="dxa"/>
              <w:bottom w:w="50" w:type="dxa"/>
            </w:tcMar>
          </w:tcPr>
          <w:p>
            <w:pPr>
              <w:spacing w:before="20" w:after="20"/>
            </w:pPr>
            <w:r>
              <w:rPr>
                <w:sz w:val="19"/>
                <w:szCs w:val="19"/>
              </w:rPr>
              <w:t xml:space="preserve">Señal del día anterior y de la madrugada chilena</w:t>
            </w:r>
          </w:p>
        </w:tc>
      </w:tr>
      <w:tr>
        <w:trPr>
          <w:cantSplit/>
        </w:trPr>
        <w:tc>
          <w:tcPr>
            <w:tcW w:w="2186" w:type="dxa"/>
            <w:shd w:val="clear" w:color="auto" w:fill="EEF3FA"/>
            <w:tcMar>
              <w:top w:w="50" w:type="dxa"/>
              <w:bottom w:w="50" w:type="dxa"/>
            </w:tcMar>
          </w:tcPr>
          <w:p>
            <w:pPr>
              <w:spacing w:before="20" w:after="20"/>
            </w:pPr>
            <w:r>
              <w:rPr>
                <w:sz w:val="19"/>
                <w:szCs w:val="19"/>
              </w:rPr>
              <w:t xml:space="preserve">Fecha ex-dividendo</w:t>
            </w:r>
          </w:p>
        </w:tc>
        <w:tc>
          <w:tcPr>
            <w:tcW w:w="3611" w:type="dxa"/>
            <w:shd w:val="clear" w:color="auto" w:fill="EEF3FA"/>
            <w:tcMar>
              <w:top w:w="50" w:type="dxa"/>
              <w:bottom w:w="50" w:type="dxa"/>
            </w:tcMar>
          </w:tcPr>
          <w:p>
            <w:pPr>
              <w:spacing w:before="20" w:after="20"/>
            </w:pPr>
            <w:r>
              <w:rPr>
                <w:sz w:val="19"/>
                <w:szCs w:val="19"/>
              </w:rPr>
              <w:t xml:space="preserve">Desde ese día el comprador ya no recibe el dividendo</w:t>
            </w:r>
          </w:p>
        </w:tc>
        <w:tc>
          <w:tcPr>
            <w:tcW w:w="3801" w:type="dxa"/>
            <w:shd w:val="clear" w:color="auto" w:fill="EEF3FA"/>
            <w:tcMar>
              <w:top w:w="50" w:type="dxa"/>
              <w:bottom w:w="50" w:type="dxa"/>
            </w:tcMar>
          </w:tcPr>
          <w:p>
            <w:pPr>
              <w:spacing w:before="20" w:after="20"/>
            </w:pPr>
            <w:r>
              <w:rPr>
                <w:sz w:val="19"/>
                <w:szCs w:val="19"/>
              </w:rPr>
              <w:t xml:space="preserve">El precio cae por el monto del dividendo; ver si el simulador lo compensa</w:t>
            </w:r>
          </w:p>
        </w:tc>
      </w:tr>
      <w:tr>
        <w:trPr>
          <w:cantSplit/>
        </w:trPr>
        <w:tc>
          <w:tcPr>
            <w:tcW w:w="2186" w:type="dxa"/>
            <w:tcMar>
              <w:top w:w="50" w:type="dxa"/>
              <w:bottom w:w="50" w:type="dxa"/>
            </w:tcMar>
          </w:tcPr>
          <w:p>
            <w:pPr>
              <w:spacing w:before="20" w:after="20"/>
            </w:pPr>
            <w:r>
              <w:rPr>
                <w:sz w:val="19"/>
                <w:szCs w:val="19"/>
              </w:rPr>
              <w:t xml:space="preserve">Horario</w:t>
            </w:r>
          </w:p>
        </w:tc>
        <w:tc>
          <w:tcPr>
            <w:tcW w:w="3611" w:type="dxa"/>
            <w:tcMar>
              <w:top w:w="50" w:type="dxa"/>
              <w:bottom w:w="50" w:type="dxa"/>
            </w:tcMar>
          </w:tcPr>
          <w:p>
            <w:pPr>
              <w:spacing w:before="20" w:after="20"/>
            </w:pPr>
            <w:r>
              <w:rPr>
                <w:sz w:val="19"/>
                <w:szCs w:val="19"/>
              </w:rPr>
              <w:t xml:space="preserve">Rueda principal aprox. 9:30–16:00 (hora de Chile)</w:t>
            </w:r>
          </w:p>
        </w:tc>
        <w:tc>
          <w:tcPr>
            <w:tcW w:w="3801" w:type="dxa"/>
            <w:tcMar>
              <w:top w:w="50" w:type="dxa"/>
              <w:bottom w:w="50" w:type="dxa"/>
            </w:tcMar>
          </w:tcPr>
          <w:p>
            <w:pPr>
              <w:spacing w:before="20" w:after="20"/>
            </w:pPr>
            <w:r>
              <w:rPr>
                <w:sz w:val="19"/>
                <w:szCs w:val="19"/>
              </w:rPr>
              <w:t xml:space="preserve">Confirmar el horario del simulador y la hora de corte de órdenes</w:t>
            </w:r>
          </w:p>
        </w:tc>
      </w:tr>
    </w:tbl>
    <w:p>
      <w:pPr>
        <w:spacing w:after="60"/>
      </w:pPr>
    </w:p>
    <w:p>
      <w:pPr>
        <w:pStyle w:val="Heading2"/>
      </w:pPr>
      <w:bookmarkStart w:id="16" w:name="_h16"/>
      <w:r>
        <w:rPr/>
        <w:t xml:space="preserve">3.5 Dónde obtener información</w:t>
      </w:r>
      <w:bookmarkEnd w:id="16"/>
    </w:p>
    <w:p>
      <w:pPr>
        <w:pStyle w:val="ListParagraph"/>
        <w:numPr>
          <w:ilvl w:val="0"/>
          <w:numId w:val="1"/>
        </w:numPr>
        <w:spacing w:after="60"/>
      </w:pPr>
      <w:r>
        <w:rPr>
          <w:b/>
        </w:rPr>
        <w:t xml:space="preserve">CMF (cmfchile.cl):</w:t>
      </w:r>
      <w:r>
        <w:rPr/>
        <w:t xml:space="preserve"> estados financieros, hechos esenciales, juntas y dividendos.</w:t>
      </w:r>
    </w:p>
    <w:p>
      <w:pPr>
        <w:pStyle w:val="ListParagraph"/>
        <w:numPr>
          <w:ilvl w:val="0"/>
          <w:numId w:val="1"/>
        </w:numPr>
        <w:spacing w:after="60"/>
      </w:pPr>
      <w:r>
        <w:rPr>
          <w:b/>
        </w:rPr>
        <w:t xml:space="preserve">Bolsa de Santiago / nuam:</w:t>
      </w:r>
      <w:r>
        <w:rPr/>
        <w:t xml:space="preserve"> precios, índices, composición del IPSA, calendario.</w:t>
      </w:r>
    </w:p>
    <w:p>
      <w:pPr>
        <w:pStyle w:val="ListParagraph"/>
        <w:numPr>
          <w:ilvl w:val="0"/>
          <w:numId w:val="1"/>
        </w:numPr>
        <w:spacing w:after="60"/>
      </w:pPr>
      <w:r>
        <w:rPr>
          <w:b/>
        </w:rPr>
        <w:t xml:space="preserve">Banco Central de Chile (bcentral.cl):</w:t>
      </w:r>
      <w:r>
        <w:rPr/>
        <w:t xml:space="preserve"> TPM, comunicados de Reunión de Política Monetaria (RPM), Informe de Política Monetaria (IPoM), dólar observado.</w:t>
      </w:r>
    </w:p>
    <w:p>
      <w:pPr>
        <w:pStyle w:val="ListParagraph"/>
        <w:numPr>
          <w:ilvl w:val="0"/>
          <w:numId w:val="1"/>
        </w:numPr>
        <w:spacing w:after="60"/>
      </w:pPr>
      <w:r>
        <w:rPr>
          <w:b/>
        </w:rPr>
        <w:t xml:space="preserve">INE:</w:t>
      </w:r>
      <w:r>
        <w:rPr/>
        <w:t xml:space="preserve"> IPC (se publica alrededor del día 8 de cada mes).</w:t>
      </w:r>
    </w:p>
    <w:p>
      <w:pPr>
        <w:pStyle w:val="ListParagraph"/>
        <w:numPr>
          <w:ilvl w:val="0"/>
          <w:numId w:val="1"/>
        </w:numPr>
        <w:spacing w:after="60"/>
      </w:pPr>
      <w:r>
        <w:rPr>
          <w:b/>
        </w:rPr>
        <w:t xml:space="preserve">Prensa:</w:t>
      </w:r>
      <w:r>
        <w:rPr/>
        <w:t xml:space="preserve"> Diario Financiero, La Tercera Pulso, El Mercurio Inversiones, Ex-Ante.</w:t>
      </w:r>
    </w:p>
    <w:p>
      <w:pPr>
        <w:pStyle w:val="ListParagraph"/>
        <w:numPr>
          <w:ilvl w:val="0"/>
          <w:numId w:val="1"/>
        </w:numPr>
        <w:spacing w:after="60"/>
      </w:pPr>
      <w:r>
        <w:rPr>
          <w:b/>
        </w:rPr>
        <w:t xml:space="preserve">Datos de precios:</w:t>
      </w:r>
      <w:r>
        <w:rPr/>
        <w:t xml:space="preserve"> Yahoo Finance (tickers con sufijo .SN, índice ^IPSA), Investing.com, TradingView.</w:t>
      </w:r>
    </w:p>
    <w:p>
      <w:pPr>
        <w:pStyle w:val="ListParagraph"/>
        <w:numPr>
          <w:ilvl w:val="0"/>
          <w:numId w:val="1"/>
        </w:numPr>
        <w:spacing w:after="60"/>
      </w:pPr>
      <w:r>
        <w:rPr>
          <w:b/>
        </w:rPr>
        <w:t xml:space="preserve">Informes de corredoras:</w:t>
      </w:r>
      <w:r>
        <w:rPr/>
        <w:t xml:space="preserve"> muchas publican recomendaciones y "carteras recomendadas" semanales; sirven como fuente de ideas (no como verdad).</w:t>
      </w:r>
    </w:p>
    <w:p>
      <w:pPr>
        <w:pStyle w:val="ListParagraph"/>
        <w:numPr>
          <w:ilvl w:val="0"/>
          <w:numId w:val="1"/>
        </w:numPr>
        <w:spacing w:after="60"/>
      </w:pPr>
      <w:r>
        <w:rPr>
          <w:b/>
        </w:rPr>
        <w:t xml:space="preserve">Damodaran (NYU):</w:t>
      </w:r>
      <w:r>
        <w:rPr/>
        <w:t xml:space="preserve"> primas de riesgo por país, betas sectoriales (ya los usaron en la tesina).</w:t>
      </w:r>
    </w:p>
    <w:p>
      <w:pPr>
        <w:pStyle w:val="Heading1"/>
      </w:pPr>
      <w:bookmarkStart w:id="17" w:name="_h17"/>
      <w:r>
        <w:rPr/>
        <w:t xml:space="preserve">4. Macroeconomía para invertir en Chile</w:t>
      </w:r>
      <w:bookmarkEnd w:id="17"/>
    </w:p>
    <w:p>
      <w:pPr/>
      <w:r>
        <w:rPr/>
        <w:t xml:space="preserve">Chile es una economía pequeña y abierta, muy dependiente del cobre y con un banco central independiente con meta de inflación de 3%. Para un concurso de pocas semanas, las variables macro importan sobre todo como </w:t>
      </w:r>
      <w:r>
        <w:rPr>
          <w:b/>
        </w:rPr>
        <w:t xml:space="preserve">catalizadores</w:t>
      </w:r>
      <w:r>
        <w:rPr/>
        <w:t xml:space="preserve">: sorpresas que mueven sectores completos.</w:t>
      </w:r>
    </w:p>
    <w:p>
      <w:pPr>
        <w:spacing w:after="60"/>
        <w:jc w:val="center"/>
      </w:pPr>
      <w:r>
        <w:drawing>
          <wp:inline distT="0" distB="0" distL="0" distR="0">
            <wp:extent cx="5940000" cy="3144705"/>
            <wp:docPr id="1" name="Imagen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40000" cy="3144705"/>
                    </a:xfrm>
                    <a:prstGeom prst="rect">
                      <a:avLst/>
                    </a:prstGeom>
                  </pic:spPr>
                </pic:pic>
              </a:graphicData>
            </a:graphic>
          </wp:inline>
        </w:drawing>
      </w:r>
    </w:p>
    <w:p>
      <w:pPr>
        <w:jc w:val="center"/>
      </w:pPr>
      <w:r>
        <w:rPr>
          <w:i/>
          <w:color w:val="595959"/>
          <w:sz w:val="18"/>
          <w:szCs w:val="18"/>
        </w:rPr>
        <w:t xml:space="preserve">Figura 4.1 – Cadena de transmisión de las variables macro a los sectores (relaciones típicas).</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304"/>
        <w:gridCol w:w="2496"/>
        <w:gridCol w:w="4800"/>
      </w:tblGrid>
      <w:tr>
        <w:trPr>
          <w:tblHeader/>
        </w:trPr>
        <w:tc>
          <w:tcPr>
            <w:tcW w:w="2304" w:type="dxa"/>
            <w:shd w:val="clear" w:color="auto" w:fill="1F3864"/>
            <w:tcMar>
              <w:top w:w="50" w:type="dxa"/>
              <w:bottom w:w="50" w:type="dxa"/>
            </w:tcMar>
          </w:tcPr>
          <w:p>
            <w:pPr>
              <w:spacing w:before="20" w:after="20"/>
            </w:pPr>
            <w:r>
              <w:rPr>
                <w:b/>
                <w:color w:val="FFFFFF"/>
                <w:sz w:val="19"/>
                <w:szCs w:val="19"/>
              </w:rPr>
              <w:t xml:space="preserve">Variable</w:t>
            </w:r>
          </w:p>
        </w:tc>
        <w:tc>
          <w:tcPr>
            <w:tcW w:w="2496" w:type="dxa"/>
            <w:shd w:val="clear" w:color="auto" w:fill="1F3864"/>
            <w:tcMar>
              <w:top w:w="50" w:type="dxa"/>
              <w:bottom w:w="50" w:type="dxa"/>
            </w:tcMar>
          </w:tcPr>
          <w:p>
            <w:pPr>
              <w:spacing w:before="20" w:after="20"/>
            </w:pPr>
            <w:r>
              <w:rPr>
                <w:b/>
                <w:color w:val="FFFFFF"/>
                <w:sz w:val="19"/>
                <w:szCs w:val="19"/>
              </w:rPr>
              <w:t xml:space="preserve">Fuente y frecuencia</w:t>
            </w:r>
          </w:p>
        </w:tc>
        <w:tc>
          <w:tcPr>
            <w:tcW w:w="4800" w:type="dxa"/>
            <w:shd w:val="clear" w:color="auto" w:fill="1F3864"/>
            <w:tcMar>
              <w:top w:w="50" w:type="dxa"/>
              <w:bottom w:w="50" w:type="dxa"/>
            </w:tcMar>
          </w:tcPr>
          <w:p>
            <w:pPr>
              <w:spacing w:before="20" w:after="20"/>
            </w:pPr>
            <w:r>
              <w:rPr>
                <w:b/>
                <w:color w:val="FFFFFF"/>
                <w:sz w:val="19"/>
                <w:szCs w:val="19"/>
              </w:rPr>
              <w:t xml:space="preserve">Efecto típico</w:t>
            </w:r>
          </w:p>
        </w:tc>
      </w:tr>
      <w:tr>
        <w:trPr>
          <w:cantSplit/>
        </w:trPr>
        <w:tc>
          <w:tcPr>
            <w:tcW w:w="2304" w:type="dxa"/>
            <w:tcMar>
              <w:top w:w="50" w:type="dxa"/>
              <w:bottom w:w="50" w:type="dxa"/>
            </w:tcMar>
          </w:tcPr>
          <w:p>
            <w:pPr>
              <w:spacing w:before="20" w:after="20"/>
            </w:pPr>
            <w:r>
              <w:rPr>
                <w:sz w:val="19"/>
                <w:szCs w:val="19"/>
              </w:rPr>
              <w:t xml:space="preserve">Precio del cobre</w:t>
            </w:r>
          </w:p>
        </w:tc>
        <w:tc>
          <w:tcPr>
            <w:tcW w:w="2496" w:type="dxa"/>
            <w:tcMar>
              <w:top w:w="50" w:type="dxa"/>
              <w:bottom w:w="50" w:type="dxa"/>
            </w:tcMar>
          </w:tcPr>
          <w:p>
            <w:pPr>
              <w:spacing w:before="20" w:after="20"/>
            </w:pPr>
            <w:r>
              <w:rPr>
                <w:sz w:val="19"/>
                <w:szCs w:val="19"/>
              </w:rPr>
              <w:t xml:space="preserve">LME / COMEX, diario</w:t>
            </w:r>
          </w:p>
        </w:tc>
        <w:tc>
          <w:tcPr>
            <w:tcW w:w="4800" w:type="dxa"/>
            <w:tcMar>
              <w:top w:w="50" w:type="dxa"/>
              <w:bottom w:w="50" w:type="dxa"/>
            </w:tcMar>
          </w:tcPr>
          <w:p>
            <w:pPr>
              <w:spacing w:before="20" w:after="20"/>
            </w:pPr>
            <w:r>
              <w:rPr>
                <w:sz w:val="19"/>
                <w:szCs w:val="19"/>
              </w:rPr>
              <w:t xml:space="preserve">Sube: mejora términos de intercambio, aprecia el peso, ayuda a mineras y al sentimiento general</w:t>
            </w:r>
          </w:p>
        </w:tc>
      </w:tr>
      <w:tr>
        <w:trPr>
          <w:cantSplit/>
        </w:trPr>
        <w:tc>
          <w:tcPr>
            <w:tcW w:w="2304" w:type="dxa"/>
            <w:shd w:val="clear" w:color="auto" w:fill="EEF3FA"/>
            <w:tcMar>
              <w:top w:w="50" w:type="dxa"/>
              <w:bottom w:w="50" w:type="dxa"/>
            </w:tcMar>
          </w:tcPr>
          <w:p>
            <w:pPr>
              <w:spacing w:before="20" w:after="20"/>
            </w:pPr>
            <w:r>
              <w:rPr>
                <w:sz w:val="19"/>
                <w:szCs w:val="19"/>
              </w:rPr>
              <w:t xml:space="preserve">Tipo de cambio (dólar/peso)</w:t>
            </w:r>
          </w:p>
        </w:tc>
        <w:tc>
          <w:tcPr>
            <w:tcW w:w="2496" w:type="dxa"/>
            <w:shd w:val="clear" w:color="auto" w:fill="EEF3FA"/>
            <w:tcMar>
              <w:top w:w="50" w:type="dxa"/>
              <w:bottom w:w="50" w:type="dxa"/>
            </w:tcMar>
          </w:tcPr>
          <w:p>
            <w:pPr>
              <w:spacing w:before="20" w:after="20"/>
            </w:pPr>
            <w:r>
              <w:rPr>
                <w:sz w:val="19"/>
                <w:szCs w:val="19"/>
              </w:rPr>
              <w:t xml:space="preserve">Banco Central, diario</w:t>
            </w:r>
          </w:p>
        </w:tc>
        <w:tc>
          <w:tcPr>
            <w:tcW w:w="4800" w:type="dxa"/>
            <w:shd w:val="clear" w:color="auto" w:fill="EEF3FA"/>
            <w:tcMar>
              <w:top w:w="50" w:type="dxa"/>
              <w:bottom w:w="50" w:type="dxa"/>
            </w:tcMar>
          </w:tcPr>
          <w:p>
            <w:pPr>
              <w:spacing w:before="20" w:after="20"/>
            </w:pPr>
            <w:r>
              <w:rPr>
                <w:sz w:val="19"/>
                <w:szCs w:val="19"/>
              </w:rPr>
              <w:t xml:space="preserve">Dólar alto favorece a exportadores que reportan en USD y perjudica a importadores, retail y aerolíneas con costos en USD</w:t>
            </w:r>
          </w:p>
        </w:tc>
      </w:tr>
      <w:tr>
        <w:trPr>
          <w:cantSplit/>
        </w:trPr>
        <w:tc>
          <w:tcPr>
            <w:tcW w:w="2304" w:type="dxa"/>
            <w:tcMar>
              <w:top w:w="50" w:type="dxa"/>
              <w:bottom w:w="50" w:type="dxa"/>
            </w:tcMar>
          </w:tcPr>
          <w:p>
            <w:pPr>
              <w:spacing w:before="20" w:after="20"/>
            </w:pPr>
            <w:r>
              <w:rPr>
                <w:sz w:val="19"/>
                <w:szCs w:val="19"/>
              </w:rPr>
              <w:t xml:space="preserve">TPM (Tasa de Política Monetaria)</w:t>
            </w:r>
          </w:p>
        </w:tc>
        <w:tc>
          <w:tcPr>
            <w:tcW w:w="2496" w:type="dxa"/>
            <w:tcMar>
              <w:top w:w="50" w:type="dxa"/>
              <w:bottom w:w="50" w:type="dxa"/>
            </w:tcMar>
          </w:tcPr>
          <w:p>
            <w:pPr>
              <w:spacing w:before="20" w:after="20"/>
            </w:pPr>
            <w:r>
              <w:rPr>
                <w:sz w:val="19"/>
                <w:szCs w:val="19"/>
              </w:rPr>
              <w:t xml:space="preserve">RPM del Banco Central, 8 veces al año</w:t>
            </w:r>
          </w:p>
        </w:tc>
        <w:tc>
          <w:tcPr>
            <w:tcW w:w="4800" w:type="dxa"/>
            <w:tcMar>
              <w:top w:w="50" w:type="dxa"/>
              <w:bottom w:w="50" w:type="dxa"/>
            </w:tcMar>
          </w:tcPr>
          <w:p>
            <w:pPr>
              <w:spacing w:before="20" w:after="20"/>
            </w:pPr>
            <w:r>
              <w:rPr>
                <w:sz w:val="19"/>
                <w:szCs w:val="19"/>
              </w:rPr>
              <w:t xml:space="preserve">Recortes favorecen consumo, inmobiliario y utilities; en bancos el efecto es mixto</w:t>
            </w:r>
          </w:p>
        </w:tc>
      </w:tr>
      <w:tr>
        <w:trPr>
          <w:cantSplit/>
        </w:trPr>
        <w:tc>
          <w:tcPr>
            <w:tcW w:w="2304" w:type="dxa"/>
            <w:shd w:val="clear" w:color="auto" w:fill="EEF3FA"/>
            <w:tcMar>
              <w:top w:w="50" w:type="dxa"/>
              <w:bottom w:w="50" w:type="dxa"/>
            </w:tcMar>
          </w:tcPr>
          <w:p>
            <w:pPr>
              <w:spacing w:before="20" w:after="20"/>
            </w:pPr>
            <w:r>
              <w:rPr>
                <w:sz w:val="19"/>
                <w:szCs w:val="19"/>
              </w:rPr>
              <w:t xml:space="preserve">Inflación (IPC) y UF</w:t>
            </w:r>
          </w:p>
        </w:tc>
        <w:tc>
          <w:tcPr>
            <w:tcW w:w="2496" w:type="dxa"/>
            <w:shd w:val="clear" w:color="auto" w:fill="EEF3FA"/>
            <w:tcMar>
              <w:top w:w="50" w:type="dxa"/>
              <w:bottom w:w="50" w:type="dxa"/>
            </w:tcMar>
          </w:tcPr>
          <w:p>
            <w:pPr>
              <w:spacing w:before="20" w:after="20"/>
            </w:pPr>
            <w:r>
              <w:rPr>
                <w:sz w:val="19"/>
                <w:szCs w:val="19"/>
              </w:rPr>
              <w:t xml:space="preserve">INE, mensual</w:t>
            </w:r>
          </w:p>
        </w:tc>
        <w:tc>
          <w:tcPr>
            <w:tcW w:w="4800" w:type="dxa"/>
            <w:shd w:val="clear" w:color="auto" w:fill="EEF3FA"/>
            <w:tcMar>
              <w:top w:w="50" w:type="dxa"/>
              <w:bottom w:w="50" w:type="dxa"/>
            </w:tcMar>
          </w:tcPr>
          <w:p>
            <w:pPr>
              <w:spacing w:before="20" w:after="20"/>
            </w:pPr>
            <w:r>
              <w:rPr>
                <w:sz w:val="19"/>
                <w:szCs w:val="19"/>
              </w:rPr>
              <w:t xml:space="preserve">Inflación alta ayuda a bancos con activos en UF y a negocios indexados; perjudica consumo</w:t>
            </w:r>
          </w:p>
        </w:tc>
      </w:tr>
      <w:tr>
        <w:trPr>
          <w:cantSplit/>
        </w:trPr>
        <w:tc>
          <w:tcPr>
            <w:tcW w:w="2304" w:type="dxa"/>
            <w:tcMar>
              <w:top w:w="50" w:type="dxa"/>
              <w:bottom w:w="50" w:type="dxa"/>
            </w:tcMar>
          </w:tcPr>
          <w:p>
            <w:pPr>
              <w:spacing w:before="20" w:after="20"/>
            </w:pPr>
            <w:r>
              <w:rPr>
                <w:sz w:val="19"/>
                <w:szCs w:val="19"/>
              </w:rPr>
              <w:t xml:space="preserve">China</w:t>
            </w:r>
          </w:p>
        </w:tc>
        <w:tc>
          <w:tcPr>
            <w:tcW w:w="2496" w:type="dxa"/>
            <w:tcMar>
              <w:top w:w="50" w:type="dxa"/>
              <w:bottom w:w="50" w:type="dxa"/>
            </w:tcMar>
          </w:tcPr>
          <w:p>
            <w:pPr>
              <w:spacing w:before="20" w:after="20"/>
            </w:pPr>
            <w:r>
              <w:rPr>
                <w:sz w:val="19"/>
                <w:szCs w:val="19"/>
              </w:rPr>
              <w:t xml:space="preserve">PMI, datos de crecimiento</w:t>
            </w:r>
          </w:p>
        </w:tc>
        <w:tc>
          <w:tcPr>
            <w:tcW w:w="4800" w:type="dxa"/>
            <w:tcMar>
              <w:top w:w="50" w:type="dxa"/>
              <w:bottom w:w="50" w:type="dxa"/>
            </w:tcMar>
          </w:tcPr>
          <w:p>
            <w:pPr>
              <w:spacing w:before="20" w:after="20"/>
            </w:pPr>
            <w:r>
              <w:rPr>
                <w:sz w:val="19"/>
                <w:szCs w:val="19"/>
              </w:rPr>
              <w:t xml:space="preserve">Demanda de cobre, litio y celulosa</w:t>
            </w:r>
          </w:p>
        </w:tc>
      </w:tr>
      <w:tr>
        <w:trPr>
          <w:cantSplit/>
        </w:trPr>
        <w:tc>
          <w:tcPr>
            <w:tcW w:w="2304" w:type="dxa"/>
            <w:shd w:val="clear" w:color="auto" w:fill="EEF3FA"/>
            <w:tcMar>
              <w:top w:w="50" w:type="dxa"/>
              <w:bottom w:w="50" w:type="dxa"/>
            </w:tcMar>
          </w:tcPr>
          <w:p>
            <w:pPr>
              <w:spacing w:before="20" w:after="20"/>
            </w:pPr>
            <w:r>
              <w:rPr>
                <w:sz w:val="19"/>
                <w:szCs w:val="19"/>
              </w:rPr>
              <w:t xml:space="preserve">Tasas en EE.UU. (Fed)</w:t>
            </w:r>
          </w:p>
        </w:tc>
        <w:tc>
          <w:tcPr>
            <w:tcW w:w="2496" w:type="dxa"/>
            <w:shd w:val="clear" w:color="auto" w:fill="EEF3FA"/>
            <w:tcMar>
              <w:top w:w="50" w:type="dxa"/>
              <w:bottom w:w="50" w:type="dxa"/>
            </w:tcMar>
          </w:tcPr>
          <w:p>
            <w:pPr>
              <w:spacing w:before="20" w:after="20"/>
            </w:pPr>
            <w:r>
              <w:rPr>
                <w:sz w:val="19"/>
                <w:szCs w:val="19"/>
              </w:rPr>
              <w:t xml:space="preserve">FOMC, 8 veces al año</w:t>
            </w:r>
          </w:p>
        </w:tc>
        <w:tc>
          <w:tcPr>
            <w:tcW w:w="4800" w:type="dxa"/>
            <w:shd w:val="clear" w:color="auto" w:fill="EEF3FA"/>
            <w:tcMar>
              <w:top w:w="50" w:type="dxa"/>
              <w:bottom w:w="50" w:type="dxa"/>
            </w:tcMar>
          </w:tcPr>
          <w:p>
            <w:pPr>
              <w:spacing w:before="20" w:after="20"/>
            </w:pPr>
            <w:r>
              <w:rPr>
                <w:sz w:val="19"/>
                <w:szCs w:val="19"/>
              </w:rPr>
              <w:t xml:space="preserve">Tasas altas encarecen el capital, fortalecen el dólar y castigan a emergentes</w:t>
            </w:r>
          </w:p>
        </w:tc>
      </w:tr>
      <w:tr>
        <w:trPr>
          <w:cantSplit/>
        </w:trPr>
        <w:tc>
          <w:tcPr>
            <w:tcW w:w="2304" w:type="dxa"/>
            <w:tcMar>
              <w:top w:w="50" w:type="dxa"/>
              <w:bottom w:w="50" w:type="dxa"/>
            </w:tcMar>
          </w:tcPr>
          <w:p>
            <w:pPr>
              <w:spacing w:before="20" w:after="20"/>
            </w:pPr>
            <w:r>
              <w:rPr>
                <w:sz w:val="19"/>
                <w:szCs w:val="19"/>
              </w:rPr>
              <w:t xml:space="preserve">Política local</w:t>
            </w:r>
          </w:p>
        </w:tc>
        <w:tc>
          <w:tcPr>
            <w:tcW w:w="2496" w:type="dxa"/>
            <w:tcMar>
              <w:top w:w="50" w:type="dxa"/>
              <w:bottom w:w="50" w:type="dxa"/>
            </w:tcMar>
          </w:tcPr>
          <w:p>
            <w:pPr>
              <w:spacing w:before="20" w:after="20"/>
            </w:pPr>
            <w:r>
              <w:rPr>
                <w:sz w:val="19"/>
                <w:szCs w:val="19"/>
              </w:rPr>
              <w:t xml:space="preserve">Elecciones, reformas</w:t>
            </w:r>
          </w:p>
        </w:tc>
        <w:tc>
          <w:tcPr>
            <w:tcW w:w="4800" w:type="dxa"/>
            <w:tcMar>
              <w:top w:w="50" w:type="dxa"/>
              <w:bottom w:w="50" w:type="dxa"/>
            </w:tcMar>
          </w:tcPr>
          <w:p>
            <w:pPr>
              <w:spacing w:before="20" w:after="20"/>
            </w:pPr>
            <w:r>
              <w:rPr>
                <w:sz w:val="19"/>
                <w:szCs w:val="19"/>
              </w:rPr>
              <w:t xml:space="preserve">Cambios en la prima de riesgo país (pensiones, impuestos, regulación del litio)</w:t>
            </w:r>
          </w:p>
        </w:tc>
      </w:tr>
    </w:tbl>
    <w:p>
      <w:pPr>
        <w:spacing w:after="60"/>
      </w:pPr>
    </w:p>
    <w:tbl>
      <w:tblPr>
        <w:tblW w:w="9600" w:type="dxa"/>
        <w:tblBorders>
          <w:left w:val="single" w:sz="36" w:space="0" w:color="BF8F00"/>
        </w:tblBorders>
        <w:tblCellMar>
          <w:top w:w="100" w:type="dxa"/>
          <w:left w:w="160" w:type="dxa"/>
          <w:bottom w:w="80" w:type="dxa"/>
          <w:right w:w="160" w:type="dxa"/>
        </w:tblCellMar>
      </w:tblPr>
      <w:tblGrid>
        <w:gridCol w:w="9600"/>
      </w:tblGrid>
      <w:tr>
        <w:trPr>
          <w:cantSplit/>
        </w:trPr>
        <w:tc>
          <w:tcPr>
            <w:tcW w:w="9600" w:type="dxa"/>
            <w:shd w:val="clear" w:color="auto" w:fill="FFF2CC"/>
          </w:tcPr>
          <w:p>
            <w:pPr>
              <w:spacing w:after="40"/>
            </w:pPr>
            <w:r>
              <w:rPr>
                <w:b/>
                <w:color w:val="BF8F00"/>
                <w:sz w:val="21"/>
                <w:szCs w:val="21"/>
              </w:rPr>
              <w:t xml:space="preserve">Calendario que suele coincidir con el CCI (octubre – diciembre)</w:t>
            </w:r>
          </w:p>
          <w:p>
            <w:pPr>
              <w:spacing w:after="40"/>
            </w:pPr>
            <w:r>
              <w:rPr>
                <w:sz w:val="20"/>
                <w:szCs w:val="20"/>
              </w:rPr>
              <w:t xml:space="preserve">• </w:t>
            </w:r>
            <w:r>
              <w:rPr>
                <w:b/>
                <w:sz w:val="20"/>
                <w:szCs w:val="20"/>
              </w:rPr>
              <w:t xml:space="preserve">Temporada de resultados del tercer trimestre:</w:t>
            </w:r>
            <w:r>
              <w:rPr>
                <w:sz w:val="20"/>
                <w:szCs w:val="20"/>
              </w:rPr>
              <w:t xml:space="preserve"> las empresas chilenas suelen publicar sus estados financieros a fines de octubre y en noviembre. Es el principal catalizador del concurso.</w:t>
            </w:r>
          </w:p>
          <w:p>
            <w:pPr>
              <w:spacing w:after="40"/>
            </w:pPr>
            <w:r>
              <w:rPr>
                <w:sz w:val="20"/>
                <w:szCs w:val="20"/>
              </w:rPr>
              <w:t xml:space="preserve">• </w:t>
            </w:r>
            <w:r>
              <w:rPr>
                <w:b/>
                <w:sz w:val="20"/>
                <w:szCs w:val="20"/>
              </w:rPr>
              <w:t xml:space="preserve">Reuniones de Política Monetaria</w:t>
            </w:r>
            <w:r>
              <w:rPr>
                <w:sz w:val="20"/>
                <w:szCs w:val="20"/>
              </w:rPr>
              <w:t xml:space="preserve"> del Banco Central (revisen el calendario anual en bcentral.cl).</w:t>
            </w:r>
          </w:p>
          <w:p>
            <w:pPr>
              <w:spacing w:after="40"/>
            </w:pPr>
            <w:r>
              <w:rPr>
                <w:sz w:val="20"/>
                <w:szCs w:val="20"/>
              </w:rPr>
              <w:t xml:space="preserve">• </w:t>
            </w:r>
            <w:r>
              <w:rPr>
                <w:b/>
                <w:sz w:val="20"/>
                <w:szCs w:val="20"/>
              </w:rPr>
              <w:t xml:space="preserve">IPC</w:t>
            </w:r>
            <w:r>
              <w:rPr>
                <w:sz w:val="20"/>
                <w:szCs w:val="20"/>
              </w:rPr>
              <w:t xml:space="preserve"> de octubre y noviembre (INE, alrededor del día 8).</w:t>
            </w:r>
          </w:p>
          <w:p>
            <w:pPr>
              <w:spacing w:after="40"/>
            </w:pPr>
            <w:r>
              <w:rPr>
                <w:sz w:val="20"/>
                <w:szCs w:val="20"/>
              </w:rPr>
              <w:t xml:space="preserve">• </w:t>
            </w:r>
            <w:r>
              <w:rPr>
                <w:b/>
                <w:sz w:val="20"/>
                <w:szCs w:val="20"/>
              </w:rPr>
              <w:t xml:space="preserve">Reunión de la Fed</w:t>
            </w:r>
            <w:r>
              <w:rPr>
                <w:sz w:val="20"/>
                <w:szCs w:val="20"/>
              </w:rPr>
              <w:t xml:space="preserve"> de diciembre y datos de empleo de EE.UU.</w:t>
            </w:r>
          </w:p>
          <w:p>
            <w:pPr>
              <w:spacing w:after="40"/>
            </w:pPr>
            <w:r>
              <w:rPr>
                <w:sz w:val="20"/>
                <w:szCs w:val="20"/>
              </w:rPr>
              <w:t xml:space="preserve">• </w:t>
            </w:r>
            <w:r>
              <w:rPr>
                <w:b/>
                <w:sz w:val="20"/>
                <w:szCs w:val="20"/>
              </w:rPr>
              <w:t xml:space="preserve">Anuncios de dividendos provisorios</w:t>
            </w:r>
            <w:r>
              <w:rPr>
                <w:sz w:val="20"/>
                <w:szCs w:val="20"/>
              </w:rPr>
              <w:t xml:space="preserve"> de algunas empresas.</w:t>
            </w:r>
          </w:p>
        </w:tc>
      </w:tr>
    </w:tbl>
    <w:p>
      <w:pPr>
        <w:spacing w:after="40"/>
      </w:pPr>
    </w:p>
    <w:p>
      <w:pPr>
        <w:pStyle w:val="Heading1"/>
      </w:pPr>
      <w:bookmarkStart w:id="18" w:name="_h18"/>
      <w:r>
        <w:rPr/>
        <w:t xml:space="preserve">5. Retorno y riesgo</w:t>
      </w:r>
      <w:bookmarkEnd w:id="18"/>
    </w:p>
    <w:p>
      <w:pPr>
        <w:pStyle w:val="Heading2"/>
      </w:pPr>
      <w:bookmarkStart w:id="19" w:name="_h19"/>
      <w:r>
        <w:rPr/>
        <w:t xml:space="preserve">5.1 Medir el retorno</w:t>
      </w:r>
      <w:bookmarkEnd w:id="19"/>
    </w:p>
    <w:p>
      <w:pPr>
        <w:pStyle w:val="Formula"/>
      </w:pPr>
      <w:r>
        <w:rPr>
          <w:rFonts w:ascii="Cambria Math" w:hAnsi="Cambria Math" w:cs="Cambria Math"/>
        </w:rPr>
        <w:t xml:space="preserve">Retorno simple: R = (P₁ + D − P₀) / P₀</w:t>
      </w:r>
    </w:p>
    <w:p>
      <w:pPr>
        <w:jc w:val="center"/>
      </w:pPr>
      <w:r>
        <w:rPr>
          <w:i/>
          <w:color w:val="595959"/>
          <w:sz w:val="18"/>
          <w:szCs w:val="18"/>
        </w:rPr>
        <w:t xml:space="preserve">D = dividendo recibido en el período</w:t>
      </w:r>
    </w:p>
    <w:p>
      <w:pPr>
        <w:pStyle w:val="Formula"/>
      </w:pPr>
      <w:r>
        <w:rPr>
          <w:rFonts w:ascii="Cambria Math" w:hAnsi="Cambria Math" w:cs="Cambria Math"/>
        </w:rPr>
        <w:t xml:space="preserve">Retorno logarítmico: r = ln(P₁ / P₀)</w:t>
      </w:r>
    </w:p>
    <w:p>
      <w:pPr>
        <w:jc w:val="center"/>
      </w:pPr>
      <w:r>
        <w:rPr>
          <w:i/>
          <w:color w:val="595959"/>
          <w:sz w:val="18"/>
          <w:szCs w:val="18"/>
        </w:rPr>
        <w:t xml:space="preserve">Se suman en el tiempo; útil para modelos y para series largas</w:t>
      </w:r>
    </w:p>
    <w:p>
      <w:pPr/>
      <w:r>
        <w:rPr/>
        <w:t xml:space="preserve">Los retornos simples se agregan entre activos (el retorno de la cartera es el promedio ponderado), mientras que los logarítmicos se agregan en el tiempo (el retorno de varios días es la suma). Para el concurso, lo que cuenta es el </w:t>
      </w:r>
      <w:r>
        <w:rPr>
          <w:b/>
        </w:rPr>
        <w:t xml:space="preserve">retorno simple acumulado</w:t>
      </w:r>
      <w:r>
        <w:rPr/>
        <w:t xml:space="preserve"> de la cartera.</w:t>
      </w:r>
    </w:p>
    <w:p>
      <w:pPr>
        <w:pStyle w:val="Heading2"/>
      </w:pPr>
      <w:bookmarkStart w:id="20" w:name="_h20"/>
      <w:r>
        <w:rPr/>
        <w:t xml:space="preserve">5.2 Anualizar</w:t>
      </w:r>
      <w:bookmarkEnd w:id="20"/>
    </w:p>
    <w:p>
      <w:pPr>
        <w:pStyle w:val="Formula"/>
      </w:pPr>
      <w:r>
        <w:rPr>
          <w:rFonts w:ascii="Cambria Math" w:hAnsi="Cambria Math" w:cs="Cambria Math"/>
        </w:rPr>
        <w:t xml:space="preserve">Retorno anual ≈ (1 + r̄ diario)^252 − 1        Volatilidad anual = σ diaria × √252</w:t>
      </w:r>
    </w:p>
    <w:p>
      <w:pPr/>
      <w:r>
        <w:rPr/>
        <w:t xml:space="preserve">Se usan 252 días hábiles al año. Si una acción tiene volatilidad diaria de 1,2%, su volatilidad anual es 1,2% × √252 ≈ 19%. Para un concurso de 8 semanas (≈40 días hábiles), la volatilidad del período es σ anual × √(40/252) ≈ 0,40 × σ anual.</w:t>
      </w:r>
    </w:p>
    <w:p>
      <w:pPr>
        <w:pStyle w:val="Heading2"/>
      </w:pPr>
      <w:bookmarkStart w:id="21" w:name="_h21"/>
      <w:r>
        <w:rPr/>
        <w:t xml:space="preserve">5.3 Volatilidad, drawdown y colas gordas</w:t>
      </w:r>
      <w:bookmarkEnd w:id="21"/>
    </w:p>
    <w:p>
      <w:pPr>
        <w:pStyle w:val="ListParagraph"/>
        <w:numPr>
          <w:ilvl w:val="0"/>
          <w:numId w:val="1"/>
        </w:numPr>
        <w:spacing w:after="60"/>
      </w:pPr>
      <w:r>
        <w:rPr>
          <w:b/>
        </w:rPr>
        <w:t xml:space="preserve">Volatilidad (σ):</w:t>
      </w:r>
      <w:r>
        <w:rPr/>
        <w:t xml:space="preserve"> desviación estándar de los retornos. Mide dispersión total, al alza y a la baja.</w:t>
      </w:r>
    </w:p>
    <w:p>
      <w:pPr>
        <w:pStyle w:val="ListParagraph"/>
        <w:numPr>
          <w:ilvl w:val="0"/>
          <w:numId w:val="1"/>
        </w:numPr>
        <w:spacing w:after="60"/>
      </w:pPr>
      <w:r>
        <w:rPr>
          <w:b/>
        </w:rPr>
        <w:t xml:space="preserve">Máximo drawdown:</w:t>
      </w:r>
      <w:r>
        <w:rPr/>
        <w:t xml:space="preserve"> mayor caída desde un peak. Es la métrica que "se siente": cuánto podrías estar perdiendo en el peor momento.</w:t>
      </w:r>
    </w:p>
    <w:p>
      <w:pPr>
        <w:pStyle w:val="ListParagraph"/>
        <w:numPr>
          <w:ilvl w:val="0"/>
          <w:numId w:val="1"/>
        </w:numPr>
        <w:spacing w:after="60"/>
      </w:pPr>
      <w:r>
        <w:rPr>
          <w:b/>
        </w:rPr>
        <w:t xml:space="preserve">Colas gordas:</w:t>
      </w:r>
      <w:r>
        <w:rPr/>
        <w:t xml:space="preserve"> los retornos reales tienen más días extremos que una distribución normal (curtosis &gt; 0). Los eventos "imposibles" pasan más seguido de lo que dice la campana.</w:t>
      </w:r>
    </w:p>
    <w:p>
      <w:pPr>
        <w:pStyle w:val="ListParagraph"/>
        <w:numPr>
          <w:ilvl w:val="0"/>
          <w:numId w:val="1"/>
        </w:numPr>
        <w:spacing w:after="60"/>
      </w:pPr>
      <w:r>
        <w:rPr>
          <w:b/>
        </w:rPr>
        <w:t xml:space="preserve">Asimetría:</w:t>
      </w:r>
      <w:r>
        <w:rPr/>
        <w:t xml:space="preserve"> muchas acciones tienen asimetría negativa (caídas bruscas, alzas graduales). Las acciones con asimetría positiva (posibles alzas explosivas) son atractivas en un torneo.</w:t>
      </w:r>
    </w:p>
    <w:tbl>
      <w:tblPr>
        <w:tblW w:w="9600" w:type="dxa"/>
        <w:tblBorders>
          <w:left w:val="single" w:sz="36" w:space="0" w:color="548235"/>
        </w:tblBorders>
        <w:tblCellMar>
          <w:top w:w="100" w:type="dxa"/>
          <w:left w:w="160" w:type="dxa"/>
          <w:bottom w:w="80" w:type="dxa"/>
          <w:right w:w="160" w:type="dxa"/>
        </w:tblCellMar>
      </w:tblPr>
      <w:tblGrid>
        <w:gridCol w:w="9600"/>
      </w:tblGrid>
      <w:tr>
        <w:trPr>
          <w:cantSplit/>
        </w:trPr>
        <w:tc>
          <w:tcPr>
            <w:tcW w:w="9600" w:type="dxa"/>
            <w:shd w:val="clear" w:color="auto" w:fill="E2EFDA"/>
          </w:tcPr>
          <w:p>
            <w:pPr>
              <w:spacing w:after="40"/>
            </w:pPr>
            <w:r>
              <w:rPr>
                <w:b/>
                <w:color w:val="548235"/>
                <w:sz w:val="21"/>
                <w:szCs w:val="21"/>
              </w:rPr>
              <w:t xml:space="preserve">En el Excel</w:t>
            </w:r>
          </w:p>
          <w:p>
            <w:pPr>
              <w:spacing w:after="40"/>
            </w:pPr>
            <w:r>
              <w:rPr>
                <w:sz w:val="20"/>
                <w:szCs w:val="20"/>
              </w:rPr>
              <w:t xml:space="preserve">Hojas 2_Retornos (estadísticos de cada acción, incluida curtosis y asimetría) y 8_Drawdown (caída desde el máximo).</w:t>
            </w:r>
          </w:p>
        </w:tc>
      </w:tr>
    </w:tbl>
    <w:p>
      <w:pPr>
        <w:spacing w:after="40"/>
      </w:pPr>
    </w:p>
    <w:p>
      <w:pPr>
        <w:pStyle w:val="Heading1"/>
      </w:pPr>
      <w:bookmarkStart w:id="22" w:name="_h22"/>
      <w:r>
        <w:rPr/>
        <w:t xml:space="preserve">6. Diversificación y teoría de Markowitz</w:t>
      </w:r>
      <w:bookmarkEnd w:id="22"/>
    </w:p>
    <w:p>
      <w:pPr>
        <w:pStyle w:val="Heading2"/>
      </w:pPr>
      <w:bookmarkStart w:id="23" w:name="_h23"/>
      <w:r>
        <w:rPr/>
        <w:t xml:space="preserve">6.1 Covarianza y correlación</w:t>
      </w:r>
      <w:bookmarkEnd w:id="23"/>
    </w:p>
    <w:p>
      <w:pPr>
        <w:pStyle w:val="Formula"/>
      </w:pPr>
      <w:r>
        <w:rPr>
          <w:rFonts w:ascii="Cambria Math" w:hAnsi="Cambria Math" w:cs="Cambria Math"/>
        </w:rPr>
        <w:t xml:space="preserve">ρ₁₂ = σ₁₂ / (σ₁ · σ₂)        con −1 ≤ ρ ≤ 1</w:t>
      </w:r>
    </w:p>
    <w:p>
      <w:pPr/>
      <w:r>
        <w:rPr/>
        <w:t xml:space="preserve">La correlación mide si dos activos se mueven juntos. Es la clave de la diversificación: combinar activos que </w:t>
      </w:r>
      <w:r>
        <w:rPr>
          <w:b/>
        </w:rPr>
        <w:t xml:space="preserve">no</w:t>
      </w:r>
      <w:r>
        <w:rPr/>
        <w:t xml:space="preserve"> se mueven perfectamente juntos reduce el riesgo de la cartera sin reducir su retorno esperado. En Chile las correlaciones entre acciones son en general positivas, porque todas dependen del ciclo local, el cobre y el dólar.</w:t>
      </w:r>
    </w:p>
    <w:p>
      <w:pPr>
        <w:pStyle w:val="Heading2"/>
      </w:pPr>
      <w:bookmarkStart w:id="24" w:name="_h24"/>
      <w:r>
        <w:rPr/>
        <w:t xml:space="preserve">6.2 Cartera de dos activos</w:t>
      </w:r>
      <w:bookmarkEnd w:id="24"/>
    </w:p>
    <w:p>
      <w:pPr>
        <w:pStyle w:val="Formula"/>
      </w:pPr>
      <w:r>
        <w:rPr>
          <w:rFonts w:ascii="Cambria Math" w:hAnsi="Cambria Math" w:cs="Cambria Math"/>
        </w:rPr>
        <w:t xml:space="preserve">E(Rp) = w₁E(R₁) + w₂E(R₂)</w:t>
      </w:r>
    </w:p>
    <w:p>
      <w:pPr>
        <w:pStyle w:val="Formula"/>
      </w:pPr>
      <w:r>
        <w:rPr>
          <w:rFonts w:ascii="Cambria Math" w:hAnsi="Cambria Math" w:cs="Cambria Math"/>
        </w:rPr>
        <w:t xml:space="preserve">σp² = w₁²σ₁² + w₂²σ₂² + 2w₁w₂ρ₁₂σ₁σ₂</w:t>
      </w:r>
    </w:p>
    <w:p>
      <w:pPr>
        <w:pStyle w:val="Formula"/>
      </w:pPr>
      <w:r>
        <w:rPr>
          <w:rFonts w:ascii="Cambria Math" w:hAnsi="Cambria Math" w:cs="Cambria Math"/>
        </w:rPr>
        <w:t xml:space="preserve">Peso de mínima varianza: w₁* = (σ₂² − ρσ₁σ₂) / (σ₁² + σ₂² − 2ρσ₁σ₂)</w:t>
      </w:r>
    </w:p>
    <w:p>
      <w:pPr/>
      <w:r>
        <w:rPr/>
        <w:t xml:space="preserve">Casos extremos: con ρ = 1 no hay beneficio de diversificación (el riesgo es el promedio ponderado de las volatilidades); con ρ = −1 se puede construir una cartera de riesgo cero con w₁ = σ₂ / (σ₁ + σ₂).</w:t>
      </w:r>
    </w:p>
    <w:p>
      <w:pPr>
        <w:pStyle w:val="Heading2"/>
      </w:pPr>
      <w:bookmarkStart w:id="25" w:name="_h25"/>
      <w:r>
        <w:rPr/>
        <w:t xml:space="preserve">6.3 N activos y número de acciones</w:t>
      </w:r>
      <w:bookmarkEnd w:id="25"/>
    </w:p>
    <w:p>
      <w:pPr>
        <w:pStyle w:val="Formula"/>
      </w:pPr>
      <w:r>
        <w:rPr>
          <w:rFonts w:ascii="Cambria Math" w:hAnsi="Cambria Math" w:cs="Cambria Math"/>
        </w:rPr>
        <w:t xml:space="preserve">σp² = Σᵢ Σⱼ wᵢ wⱼ σᵢⱼ</w:t>
      </w:r>
    </w:p>
    <w:p>
      <w:pPr>
        <w:spacing w:after="60"/>
        <w:jc w:val="center"/>
      </w:pPr>
      <w:r>
        <w:drawing>
          <wp:inline distT="0" distB="0" distL="0" distR="0">
            <wp:extent cx="5760000" cy="2918400"/>
            <wp:docPr id="2" name="Imagen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000" cy="2918400"/>
                    </a:xfrm>
                    <a:prstGeom prst="rect">
                      <a:avLst/>
                    </a:prstGeom>
                  </pic:spPr>
                </pic:pic>
              </a:graphicData>
            </a:graphic>
          </wp:inline>
        </w:drawing>
      </w:r>
    </w:p>
    <w:p>
      <w:pPr>
        <w:jc w:val="center"/>
      </w:pPr>
      <w:r>
        <w:rPr>
          <w:i/>
          <w:color w:val="595959"/>
          <w:sz w:val="18"/>
          <w:szCs w:val="18"/>
        </w:rPr>
        <w:t xml:space="preserve">Figura 6.1 – El riesgo idiosincrático desaparece al diversificar; el sistemático no.</w:t>
      </w:r>
    </w:p>
    <w:p>
      <w:pPr/>
      <w:r>
        <w:rPr/>
        <w:t xml:space="preserve">Con pesos iguales, volatilidad individual σ y correlación promedio ρ: σp² = σ²/n + (1 − 1/n)ρσ². Al aumentar n, el primer término desaparece y queda el </w:t>
      </w:r>
      <w:r>
        <w:rPr>
          <w:b/>
        </w:rPr>
        <w:t xml:space="preserve">riesgo sistemático</w:t>
      </w:r>
      <w:r>
        <w:rPr/>
        <w:t xml:space="preserve"> ρσ². Con 8–10 acciones ya se captura casi todo el beneficio. </w:t>
      </w:r>
      <w:r>
        <w:rPr>
          <w:b/>
        </w:rPr>
        <w:t xml:space="preserve">Implicancia para el concurso:</w:t>
      </w:r>
      <w:r>
        <w:rPr/>
        <w:t xml:space="preserve"> pasar de 10 a 4 acciones no aumenta tanto el riesgo como parece, pero sí aumenta la exposición a sus mejores ideas.</w:t>
      </w:r>
    </w:p>
    <w:p>
      <w:pPr>
        <w:pStyle w:val="Heading2"/>
      </w:pPr>
      <w:bookmarkStart w:id="26" w:name="_h26"/>
      <w:r>
        <w:rPr/>
        <w:t xml:space="preserve">6.4 Frontera eficiente</w:t>
      </w:r>
      <w:bookmarkEnd w:id="26"/>
    </w:p>
    <w:p>
      <w:pPr/>
      <w:r>
        <w:rPr/>
        <w:t xml:space="preserve">El conjunto de carteras que entregan el </w:t>
      </w:r>
      <w:r>
        <w:rPr>
          <w:b/>
        </w:rPr>
        <w:t xml:space="preserve">máximo retorno esperado para cada nivel de riesgo</w:t>
      </w:r>
      <w:r>
        <w:rPr/>
        <w:t xml:space="preserve"> es la frontera eficiente (Markowitz, 1952). Todo inversionista racional debería elegir una cartera sobre ella. La cartera de </w:t>
      </w:r>
      <w:r>
        <w:rPr>
          <w:b/>
        </w:rPr>
        <w:t xml:space="preserve">mínima varianza</w:t>
      </w:r>
      <w:r>
        <w:rPr/>
        <w:t xml:space="preserve"> es su punto más a la izquierda.</w:t>
      </w:r>
    </w:p>
    <w:tbl>
      <w:tblPr>
        <w:tblW w:w="9600" w:type="dxa"/>
        <w:tblBorders>
          <w:left w:val="single" w:sz="36" w:space="0" w:color="548235"/>
        </w:tblBorders>
        <w:tblCellMar>
          <w:top w:w="100" w:type="dxa"/>
          <w:left w:w="160" w:type="dxa"/>
          <w:bottom w:w="80" w:type="dxa"/>
          <w:right w:w="160" w:type="dxa"/>
        </w:tblCellMar>
      </w:tblPr>
      <w:tblGrid>
        <w:gridCol w:w="9600"/>
      </w:tblGrid>
      <w:tr>
        <w:trPr>
          <w:cantSplit/>
        </w:trPr>
        <w:tc>
          <w:tcPr>
            <w:tcW w:w="9600" w:type="dxa"/>
            <w:shd w:val="clear" w:color="auto" w:fill="E2EFDA"/>
          </w:tcPr>
          <w:p>
            <w:pPr>
              <w:spacing w:after="40"/>
            </w:pPr>
            <w:r>
              <w:rPr>
                <w:b/>
                <w:color w:val="548235"/>
                <w:sz w:val="21"/>
                <w:szCs w:val="21"/>
              </w:rPr>
              <w:t xml:space="preserve">En el Excel</w:t>
            </w:r>
          </w:p>
          <w:p>
            <w:pPr>
              <w:spacing w:after="40"/>
            </w:pPr>
            <w:r>
              <w:rPr>
                <w:sz w:val="20"/>
                <w:szCs w:val="20"/>
              </w:rPr>
              <w:t xml:space="preserve">Hoja 4_Frontera_2A: cambien la correlación entre −1 y 1 y miren cómo se curva la frontera. Hoja 5_Cartera: usen Solver para encontrar la cartera de máximo Sharpe y la de mínima varianza.</w:t>
            </w:r>
          </w:p>
        </w:tc>
      </w:tr>
    </w:tbl>
    <w:p>
      <w:pPr>
        <w:spacing w:after="40"/>
      </w:pPr>
    </w:p>
    <w:tbl>
      <w:tblPr>
        <w:tblW w:w="9600" w:type="dxa"/>
        <w:tblBorders>
          <w:left w:val="single" w:sz="36" w:space="0" w:color="C00000"/>
        </w:tblBorders>
        <w:tblCellMar>
          <w:top w:w="100" w:type="dxa"/>
          <w:left w:w="160" w:type="dxa"/>
          <w:bottom w:w="80" w:type="dxa"/>
          <w:right w:w="160" w:type="dxa"/>
        </w:tblCellMar>
      </w:tblPr>
      <w:tblGrid>
        <w:gridCol w:w="9600"/>
      </w:tblGrid>
      <w:tr>
        <w:trPr>
          <w:cantSplit/>
        </w:trPr>
        <w:tc>
          <w:tcPr>
            <w:tcW w:w="9600" w:type="dxa"/>
            <w:shd w:val="clear" w:color="auto" w:fill="FCE4D6"/>
          </w:tcPr>
          <w:p>
            <w:pPr>
              <w:spacing w:after="40"/>
            </w:pPr>
            <w:r>
              <w:rPr>
                <w:b/>
                <w:color w:val="C00000"/>
                <w:sz w:val="21"/>
                <w:szCs w:val="21"/>
              </w:rPr>
              <w:t xml:space="preserve">Límite práctico</w:t>
            </w:r>
          </w:p>
          <w:p>
            <w:pPr>
              <w:spacing w:after="40"/>
            </w:pPr>
            <w:r>
              <w:rPr>
                <w:sz w:val="20"/>
                <w:szCs w:val="20"/>
              </w:rPr>
              <w:t xml:space="preserve">Markowitz necesita retornos esperados, que son muy difíciles de estimar: pequeños errores producen carteras extremas. Por eso en la práctica se usan restricciones (pesos máximos, sin ventas cortas) y se combinan con juicio.</w:t>
            </w:r>
          </w:p>
        </w:tc>
      </w:tr>
    </w:tbl>
    <w:p>
      <w:pPr>
        <w:spacing w:after="40"/>
      </w:pPr>
    </w:p>
    <w:p>
      <w:pPr>
        <w:pStyle w:val="Heading1"/>
      </w:pPr>
      <w:bookmarkStart w:id="27" w:name="_h27"/>
      <w:r>
        <w:rPr/>
        <w:t xml:space="preserve">7. CAPM, beta y medidas de desempeño</w:t>
      </w:r>
      <w:bookmarkEnd w:id="27"/>
    </w:p>
    <w:p>
      <w:pPr>
        <w:pStyle w:val="Heading2"/>
      </w:pPr>
      <w:bookmarkStart w:id="28" w:name="_h28"/>
      <w:r>
        <w:rPr/>
        <w:t xml:space="preserve">7.1 CAPM</w:t>
      </w:r>
      <w:bookmarkEnd w:id="28"/>
    </w:p>
    <w:p>
      <w:pPr>
        <w:pStyle w:val="Formula"/>
      </w:pPr>
      <w:r>
        <w:rPr>
          <w:rFonts w:ascii="Cambria Math" w:hAnsi="Cambria Math" w:cs="Cambria Math"/>
        </w:rPr>
        <w:t xml:space="preserve">E(Rᵢ) = rf + βᵢ · [E(Rm) − rf]</w:t>
      </w:r>
    </w:p>
    <w:p>
      <w:pPr>
        <w:pStyle w:val="Formula"/>
      </w:pPr>
      <w:r>
        <w:rPr>
          <w:rFonts w:ascii="Cambria Math" w:hAnsi="Cambria Math" w:cs="Cambria Math"/>
        </w:rPr>
        <w:t xml:space="preserve">βᵢ = Cov(Rᵢ, Rm) / Var(Rm)</w:t>
      </w:r>
    </w:p>
    <w:p>
      <w:pPr/>
      <w:r>
        <w:rPr/>
        <w:t xml:space="preserve">El CAPM (Sharpe, 1964; Lintner, 1965) dice que el mercado solo paga por el </w:t>
      </w:r>
      <w:r>
        <w:rPr>
          <w:b/>
        </w:rPr>
        <w:t xml:space="preserve">riesgo sistemático</w:t>
      </w:r>
      <w:r>
        <w:rPr/>
        <w:t xml:space="preserve">, medido por la beta, porque el idiosincrático se puede eliminar diversificando. La </w:t>
      </w:r>
      <w:r>
        <w:rPr>
          <w:b/>
        </w:rPr>
        <w:t xml:space="preserve">SML</w:t>
      </w:r>
      <w:r>
        <w:rPr/>
        <w:t xml:space="preserve"> (Security Market Line) grafica el retorno exigido contra la beta; un activo sobre la SML tiene alfa positivo.</w:t>
      </w:r>
    </w:p>
    <w:p>
      <w:pPr>
        <w:spacing w:after="60"/>
        <w:jc w:val="center"/>
      </w:pPr>
      <w:r>
        <w:drawing>
          <wp:inline distT="0" distB="0" distL="0" distR="0">
            <wp:extent cx="5940000" cy="2851200"/>
            <wp:docPr id="3" name="Imagen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40000" cy="2851200"/>
                    </a:xfrm>
                    <a:prstGeom prst="rect">
                      <a:avLst/>
                    </a:prstGeom>
                  </pic:spPr>
                </pic:pic>
              </a:graphicData>
            </a:graphic>
          </wp:inline>
        </w:drawing>
      </w:r>
    </w:p>
    <w:p>
      <w:pPr>
        <w:jc w:val="center"/>
      </w:pPr>
      <w:r>
        <w:rPr>
          <w:i/>
          <w:color w:val="595959"/>
          <w:sz w:val="18"/>
          <w:szCs w:val="18"/>
        </w:rPr>
        <w:t xml:space="preserve">Figura 7.1 – SML (izquierda) y frontera eficiente con la CML (derecha).</w:t>
      </w:r>
    </w:p>
    <w:tbl>
      <w:tblPr>
        <w:tblW w:w="9600" w:type="dxa"/>
        <w:tblBorders>
          <w:left w:val="single" w:sz="36" w:space="0" w:color="7030A0"/>
        </w:tblBorders>
        <w:tblCellMar>
          <w:top w:w="100" w:type="dxa"/>
          <w:left w:w="160" w:type="dxa"/>
          <w:bottom w:w="80" w:type="dxa"/>
          <w:right w:w="160" w:type="dxa"/>
        </w:tblCellMar>
      </w:tblPr>
      <w:tblGrid>
        <w:gridCol w:w="9600"/>
      </w:tblGrid>
      <w:tr>
        <w:trPr>
          <w:cantSplit/>
        </w:trPr>
        <w:tc>
          <w:tcPr>
            <w:tcW w:w="9600" w:type="dxa"/>
            <w:shd w:val="clear" w:color="auto" w:fill="EDE2F6"/>
          </w:tcPr>
          <w:p>
            <w:pPr>
              <w:spacing w:after="40"/>
            </w:pPr>
            <w:r>
              <w:rPr>
                <w:b/>
                <w:color w:val="7030A0"/>
                <w:sz w:val="21"/>
                <w:szCs w:val="21"/>
              </w:rPr>
              <w:t xml:space="preserve">Conexión con su tesina</w:t>
            </w:r>
          </w:p>
          <w:p>
            <w:pPr>
              <w:spacing w:after="40"/>
            </w:pPr>
            <w:r>
              <w:rPr>
                <w:sz w:val="20"/>
                <w:szCs w:val="20"/>
              </w:rPr>
              <w:t xml:space="preserve">En la tesina ya calcularon Ke = rf + β × prima de riesgo con datos de Damodaran (prima total de Chile) y betas reapalancadas con Hamada (βL = βU × [1 + (1 − t) × D/E]). Es exactamente el mismo CAPM. Una diferencia: allí usaron una beta sectorial fija; en el concurso conviene estimar la beta de cada acción contra el IPSA (hoja 6_Beta_CAPM), porque lo que les importa es cuánto amplifica cada acción los movimientos del mercado en el corto plazo.</w:t>
            </w:r>
          </w:p>
        </w:tc>
      </w:tr>
    </w:tbl>
    <w:p>
      <w:pPr>
        <w:spacing w:after="40"/>
      </w:pPr>
    </w:p>
    <w:p>
      <w:pPr>
        <w:pStyle w:val="Heading2"/>
      </w:pPr>
      <w:bookmarkStart w:id="29" w:name="_h29"/>
      <w:r>
        <w:rPr/>
        <w:t xml:space="preserve">7.2 Beta en la práctica</w:t>
      </w:r>
      <w:bookmarkEnd w:id="29"/>
    </w:p>
    <w:p>
      <w:pPr>
        <w:pStyle w:val="ListParagraph"/>
        <w:numPr>
          <w:ilvl w:val="0"/>
          <w:numId w:val="1"/>
        </w:numPr>
        <w:spacing w:after="60"/>
      </w:pPr>
      <w:r>
        <w:rPr/>
        <w:t xml:space="preserve">Se estima con una regresión de los retornos de la acción contra los del índice (función PENDIENTE / SLOPE en Excel).</w:t>
      </w:r>
    </w:p>
    <w:p>
      <w:pPr>
        <w:pStyle w:val="ListParagraph"/>
        <w:numPr>
          <w:ilvl w:val="0"/>
          <w:numId w:val="1"/>
        </w:numPr>
        <w:spacing w:after="60"/>
      </w:pPr>
      <w:r>
        <w:rPr/>
        <w:t xml:space="preserve">La beta de la cartera es el promedio ponderado de las betas: βp = Σ wᵢβᵢ.</w:t>
      </w:r>
    </w:p>
    <w:p>
      <w:pPr>
        <w:pStyle w:val="ListParagraph"/>
        <w:numPr>
          <w:ilvl w:val="0"/>
          <w:numId w:val="1"/>
        </w:numPr>
        <w:spacing w:after="60"/>
      </w:pPr>
      <w:r>
        <w:rPr/>
        <w:t xml:space="preserve">β &gt; 1: acción agresiva (amplifica el mercado). β &lt; 1: defensiva. En un mercado alcista, las betas altas ganan más; en uno bajista, pierden más.</w:t>
      </w:r>
    </w:p>
    <w:p>
      <w:pPr>
        <w:pStyle w:val="ListParagraph"/>
        <w:numPr>
          <w:ilvl w:val="0"/>
          <w:numId w:val="1"/>
        </w:numPr>
        <w:spacing w:after="60"/>
      </w:pPr>
      <w:r>
        <w:rPr/>
        <w:t xml:space="preserve">El R² de la regresión indica qué parte del riesgo es de mercado; el resto (1 − R²) es idiosincrático.</w:t>
      </w:r>
    </w:p>
    <w:p>
      <w:pPr>
        <w:pStyle w:val="Heading2"/>
      </w:pPr>
      <w:bookmarkStart w:id="30" w:name="_h30"/>
      <w:r>
        <w:rPr/>
        <w:t xml:space="preserve">7.3 Medidas de desempeño</w:t>
      </w:r>
      <w:bookmarkEnd w:id="30"/>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536"/>
        <w:gridCol w:w="2496"/>
        <w:gridCol w:w="3072"/>
        <w:gridCol w:w="2496"/>
      </w:tblGrid>
      <w:tr>
        <w:trPr>
          <w:tblHeader/>
        </w:trPr>
        <w:tc>
          <w:tcPr>
            <w:tcW w:w="1536" w:type="dxa"/>
            <w:shd w:val="clear" w:color="auto" w:fill="1F3864"/>
            <w:tcMar>
              <w:top w:w="50" w:type="dxa"/>
              <w:bottom w:w="50" w:type="dxa"/>
            </w:tcMar>
          </w:tcPr>
          <w:p>
            <w:pPr>
              <w:spacing w:before="20" w:after="20"/>
            </w:pPr>
            <w:r>
              <w:rPr>
                <w:b/>
                <w:color w:val="FFFFFF"/>
                <w:sz w:val="19"/>
                <w:szCs w:val="19"/>
              </w:rPr>
              <w:t xml:space="preserve">Medida</w:t>
            </w:r>
          </w:p>
        </w:tc>
        <w:tc>
          <w:tcPr>
            <w:tcW w:w="2496" w:type="dxa"/>
            <w:shd w:val="clear" w:color="auto" w:fill="1F3864"/>
            <w:tcMar>
              <w:top w:w="50" w:type="dxa"/>
              <w:bottom w:w="50" w:type="dxa"/>
            </w:tcMar>
          </w:tcPr>
          <w:p>
            <w:pPr>
              <w:spacing w:before="20" w:after="20"/>
            </w:pPr>
            <w:r>
              <w:rPr>
                <w:b/>
                <w:color w:val="FFFFFF"/>
                <w:sz w:val="19"/>
                <w:szCs w:val="19"/>
              </w:rPr>
              <w:t xml:space="preserve">Fórmula</w:t>
            </w:r>
          </w:p>
        </w:tc>
        <w:tc>
          <w:tcPr>
            <w:tcW w:w="3072" w:type="dxa"/>
            <w:shd w:val="clear" w:color="auto" w:fill="1F3864"/>
            <w:tcMar>
              <w:top w:w="50" w:type="dxa"/>
              <w:bottom w:w="50" w:type="dxa"/>
            </w:tcMar>
          </w:tcPr>
          <w:p>
            <w:pPr>
              <w:spacing w:before="20" w:after="20"/>
            </w:pPr>
            <w:r>
              <w:rPr>
                <w:b/>
                <w:color w:val="FFFFFF"/>
                <w:sz w:val="19"/>
                <w:szCs w:val="19"/>
              </w:rPr>
              <w:t xml:space="preserve">Qué mide</w:t>
            </w:r>
          </w:p>
        </w:tc>
        <w:tc>
          <w:tcPr>
            <w:tcW w:w="2496" w:type="dxa"/>
            <w:shd w:val="clear" w:color="auto" w:fill="1F3864"/>
            <w:tcMar>
              <w:top w:w="50" w:type="dxa"/>
              <w:bottom w:w="50" w:type="dxa"/>
            </w:tcMar>
          </w:tcPr>
          <w:p>
            <w:pPr>
              <w:spacing w:before="20" w:after="20"/>
            </w:pPr>
            <w:r>
              <w:rPr>
                <w:b/>
                <w:color w:val="FFFFFF"/>
                <w:sz w:val="19"/>
                <w:szCs w:val="19"/>
              </w:rPr>
              <w:t xml:space="preserve">Cuándo usarla</w:t>
            </w:r>
          </w:p>
        </w:tc>
      </w:tr>
      <w:tr>
        <w:trPr>
          <w:cantSplit/>
        </w:trPr>
        <w:tc>
          <w:tcPr>
            <w:tcW w:w="1536" w:type="dxa"/>
            <w:tcMar>
              <w:top w:w="50" w:type="dxa"/>
              <w:bottom w:w="50" w:type="dxa"/>
            </w:tcMar>
          </w:tcPr>
          <w:p>
            <w:pPr>
              <w:spacing w:before="20" w:after="20"/>
            </w:pPr>
            <w:r>
              <w:rPr>
                <w:sz w:val="19"/>
                <w:szCs w:val="19"/>
              </w:rPr>
              <w:t xml:space="preserve">Sharpe</w:t>
            </w:r>
          </w:p>
        </w:tc>
        <w:tc>
          <w:tcPr>
            <w:tcW w:w="2496" w:type="dxa"/>
            <w:tcMar>
              <w:top w:w="50" w:type="dxa"/>
              <w:bottom w:w="50" w:type="dxa"/>
            </w:tcMar>
          </w:tcPr>
          <w:p>
            <w:pPr>
              <w:spacing w:before="20" w:after="20"/>
            </w:pPr>
            <w:r>
              <w:rPr>
                <w:sz w:val="19"/>
                <w:szCs w:val="19"/>
              </w:rPr>
              <w:t xml:space="preserve">(Rp − rf) / σp</w:t>
            </w:r>
          </w:p>
        </w:tc>
        <w:tc>
          <w:tcPr>
            <w:tcW w:w="3072" w:type="dxa"/>
            <w:tcMar>
              <w:top w:w="50" w:type="dxa"/>
              <w:bottom w:w="50" w:type="dxa"/>
            </w:tcMar>
          </w:tcPr>
          <w:p>
            <w:pPr>
              <w:spacing w:before="20" w:after="20"/>
            </w:pPr>
            <w:r>
              <w:rPr>
                <w:sz w:val="19"/>
                <w:szCs w:val="19"/>
              </w:rPr>
              <w:t xml:space="preserve">Retorno extra por unidad de riesgo total</w:t>
            </w:r>
          </w:p>
        </w:tc>
        <w:tc>
          <w:tcPr>
            <w:tcW w:w="2496" w:type="dxa"/>
            <w:tcMar>
              <w:top w:w="50" w:type="dxa"/>
              <w:bottom w:w="50" w:type="dxa"/>
            </w:tcMar>
          </w:tcPr>
          <w:p>
            <w:pPr>
              <w:spacing w:before="20" w:after="20"/>
            </w:pPr>
            <w:r>
              <w:rPr>
                <w:sz w:val="19"/>
                <w:szCs w:val="19"/>
              </w:rPr>
              <w:t xml:space="preserve">Comparar carteras completas</w:t>
            </w:r>
          </w:p>
        </w:tc>
      </w:tr>
      <w:tr>
        <w:trPr>
          <w:cantSplit/>
        </w:trPr>
        <w:tc>
          <w:tcPr>
            <w:tcW w:w="1536" w:type="dxa"/>
            <w:shd w:val="clear" w:color="auto" w:fill="EEF3FA"/>
            <w:tcMar>
              <w:top w:w="50" w:type="dxa"/>
              <w:bottom w:w="50" w:type="dxa"/>
            </w:tcMar>
          </w:tcPr>
          <w:p>
            <w:pPr>
              <w:spacing w:before="20" w:after="20"/>
            </w:pPr>
            <w:r>
              <w:rPr>
                <w:sz w:val="19"/>
                <w:szCs w:val="19"/>
              </w:rPr>
              <w:t xml:space="preserve">Treynor</w:t>
            </w:r>
          </w:p>
        </w:tc>
        <w:tc>
          <w:tcPr>
            <w:tcW w:w="2496" w:type="dxa"/>
            <w:shd w:val="clear" w:color="auto" w:fill="EEF3FA"/>
            <w:tcMar>
              <w:top w:w="50" w:type="dxa"/>
              <w:bottom w:w="50" w:type="dxa"/>
            </w:tcMar>
          </w:tcPr>
          <w:p>
            <w:pPr>
              <w:spacing w:before="20" w:after="20"/>
            </w:pPr>
            <w:r>
              <w:rPr>
                <w:sz w:val="19"/>
                <w:szCs w:val="19"/>
              </w:rPr>
              <w:t xml:space="preserve">(Rp − rf) / βp</w:t>
            </w:r>
          </w:p>
        </w:tc>
        <w:tc>
          <w:tcPr>
            <w:tcW w:w="3072" w:type="dxa"/>
            <w:shd w:val="clear" w:color="auto" w:fill="EEF3FA"/>
            <w:tcMar>
              <w:top w:w="50" w:type="dxa"/>
              <w:bottom w:w="50" w:type="dxa"/>
            </w:tcMar>
          </w:tcPr>
          <w:p>
            <w:pPr>
              <w:spacing w:before="20" w:after="20"/>
            </w:pPr>
            <w:r>
              <w:rPr>
                <w:sz w:val="19"/>
                <w:szCs w:val="19"/>
              </w:rPr>
              <w:t xml:space="preserve">Retorno extra por unidad de riesgo sistemático</w:t>
            </w:r>
          </w:p>
        </w:tc>
        <w:tc>
          <w:tcPr>
            <w:tcW w:w="2496" w:type="dxa"/>
            <w:shd w:val="clear" w:color="auto" w:fill="EEF3FA"/>
            <w:tcMar>
              <w:top w:w="50" w:type="dxa"/>
              <w:bottom w:w="50" w:type="dxa"/>
            </w:tcMar>
          </w:tcPr>
          <w:p>
            <w:pPr>
              <w:spacing w:before="20" w:after="20"/>
            </w:pPr>
            <w:r>
              <w:rPr>
                <w:sz w:val="19"/>
                <w:szCs w:val="19"/>
              </w:rPr>
              <w:t xml:space="preserve">Cartera dentro de un portafolio diversificado</w:t>
            </w:r>
          </w:p>
        </w:tc>
      </w:tr>
      <w:tr>
        <w:trPr>
          <w:cantSplit/>
        </w:trPr>
        <w:tc>
          <w:tcPr>
            <w:tcW w:w="1536" w:type="dxa"/>
            <w:tcMar>
              <w:top w:w="50" w:type="dxa"/>
              <w:bottom w:w="50" w:type="dxa"/>
            </w:tcMar>
          </w:tcPr>
          <w:p>
            <w:pPr>
              <w:spacing w:before="20" w:after="20"/>
            </w:pPr>
            <w:r>
              <w:rPr>
                <w:sz w:val="19"/>
                <w:szCs w:val="19"/>
              </w:rPr>
              <w:t xml:space="preserve">Alfa de Jensen</w:t>
            </w:r>
          </w:p>
        </w:tc>
        <w:tc>
          <w:tcPr>
            <w:tcW w:w="2496" w:type="dxa"/>
            <w:tcMar>
              <w:top w:w="50" w:type="dxa"/>
              <w:bottom w:w="50" w:type="dxa"/>
            </w:tcMar>
          </w:tcPr>
          <w:p>
            <w:pPr>
              <w:spacing w:before="20" w:after="20"/>
            </w:pPr>
            <w:r>
              <w:rPr>
                <w:sz w:val="19"/>
                <w:szCs w:val="19"/>
              </w:rPr>
              <w:t xml:space="preserve">Rp − [rf + βp(Rm − rf)]</w:t>
            </w:r>
          </w:p>
        </w:tc>
        <w:tc>
          <w:tcPr>
            <w:tcW w:w="3072" w:type="dxa"/>
            <w:tcMar>
              <w:top w:w="50" w:type="dxa"/>
              <w:bottom w:w="50" w:type="dxa"/>
            </w:tcMar>
          </w:tcPr>
          <w:p>
            <w:pPr>
              <w:spacing w:before="20" w:after="20"/>
            </w:pPr>
            <w:r>
              <w:rPr>
                <w:sz w:val="19"/>
                <w:szCs w:val="19"/>
              </w:rPr>
              <w:t xml:space="preserve">Retorno sobre lo que exige el CAPM</w:t>
            </w:r>
          </w:p>
        </w:tc>
        <w:tc>
          <w:tcPr>
            <w:tcW w:w="2496" w:type="dxa"/>
            <w:tcMar>
              <w:top w:w="50" w:type="dxa"/>
              <w:bottom w:w="50" w:type="dxa"/>
            </w:tcMar>
          </w:tcPr>
          <w:p>
            <w:pPr>
              <w:spacing w:before="20" w:after="20"/>
            </w:pPr>
            <w:r>
              <w:rPr>
                <w:sz w:val="19"/>
                <w:szCs w:val="19"/>
              </w:rPr>
              <w:t xml:space="preserve">Saber si hubo habilidad</w:t>
            </w:r>
          </w:p>
        </w:tc>
      </w:tr>
      <w:tr>
        <w:trPr>
          <w:cantSplit/>
        </w:trPr>
        <w:tc>
          <w:tcPr>
            <w:tcW w:w="1536" w:type="dxa"/>
            <w:shd w:val="clear" w:color="auto" w:fill="EEF3FA"/>
            <w:tcMar>
              <w:top w:w="50" w:type="dxa"/>
              <w:bottom w:w="50" w:type="dxa"/>
            </w:tcMar>
          </w:tcPr>
          <w:p>
            <w:pPr>
              <w:spacing w:before="20" w:after="20"/>
            </w:pPr>
            <w:r>
              <w:rPr>
                <w:sz w:val="19"/>
                <w:szCs w:val="19"/>
              </w:rPr>
              <w:t xml:space="preserve">Tracking error</w:t>
            </w:r>
          </w:p>
        </w:tc>
        <w:tc>
          <w:tcPr>
            <w:tcW w:w="2496" w:type="dxa"/>
            <w:shd w:val="clear" w:color="auto" w:fill="EEF3FA"/>
            <w:tcMar>
              <w:top w:w="50" w:type="dxa"/>
              <w:bottom w:w="50" w:type="dxa"/>
            </w:tcMar>
          </w:tcPr>
          <w:p>
            <w:pPr>
              <w:spacing w:before="20" w:after="20"/>
            </w:pPr>
            <w:r>
              <w:rPr>
                <w:sz w:val="19"/>
                <w:szCs w:val="19"/>
              </w:rPr>
              <w:t xml:space="preserve">σ(Rp − Rb)</w:t>
            </w:r>
          </w:p>
        </w:tc>
        <w:tc>
          <w:tcPr>
            <w:tcW w:w="3072" w:type="dxa"/>
            <w:shd w:val="clear" w:color="auto" w:fill="EEF3FA"/>
            <w:tcMar>
              <w:top w:w="50" w:type="dxa"/>
              <w:bottom w:w="50" w:type="dxa"/>
            </w:tcMar>
          </w:tcPr>
          <w:p>
            <w:pPr>
              <w:spacing w:before="20" w:after="20"/>
            </w:pPr>
            <w:r>
              <w:rPr>
                <w:sz w:val="19"/>
                <w:szCs w:val="19"/>
              </w:rPr>
              <w:t xml:space="preserve">Cuánto se aleja la cartera del benchmark</w:t>
            </w:r>
          </w:p>
        </w:tc>
        <w:tc>
          <w:tcPr>
            <w:tcW w:w="2496" w:type="dxa"/>
            <w:shd w:val="clear" w:color="auto" w:fill="EEF3FA"/>
            <w:tcMar>
              <w:top w:w="50" w:type="dxa"/>
              <w:bottom w:w="50" w:type="dxa"/>
            </w:tcMar>
          </w:tcPr>
          <w:p>
            <w:pPr>
              <w:spacing w:before="20" w:after="20"/>
            </w:pPr>
            <w:r>
              <w:rPr>
                <w:sz w:val="19"/>
                <w:szCs w:val="19"/>
              </w:rPr>
              <w:t xml:space="preserve">Medir el "riesgo activo"</w:t>
            </w:r>
          </w:p>
        </w:tc>
      </w:tr>
      <w:tr>
        <w:trPr>
          <w:cantSplit/>
        </w:trPr>
        <w:tc>
          <w:tcPr>
            <w:tcW w:w="1536" w:type="dxa"/>
            <w:tcMar>
              <w:top w:w="50" w:type="dxa"/>
              <w:bottom w:w="50" w:type="dxa"/>
            </w:tcMar>
          </w:tcPr>
          <w:p>
            <w:pPr>
              <w:spacing w:before="20" w:after="20"/>
            </w:pPr>
            <w:r>
              <w:rPr>
                <w:sz w:val="19"/>
                <w:szCs w:val="19"/>
              </w:rPr>
              <w:t xml:space="preserve">Information ratio</w:t>
            </w:r>
          </w:p>
        </w:tc>
        <w:tc>
          <w:tcPr>
            <w:tcW w:w="2496" w:type="dxa"/>
            <w:tcMar>
              <w:top w:w="50" w:type="dxa"/>
              <w:bottom w:w="50" w:type="dxa"/>
            </w:tcMar>
          </w:tcPr>
          <w:p>
            <w:pPr>
              <w:spacing w:before="20" w:after="20"/>
            </w:pPr>
            <w:r>
              <w:rPr>
                <w:sz w:val="19"/>
                <w:szCs w:val="19"/>
              </w:rPr>
              <w:t xml:space="preserve">(Rp − Rb) / TE</w:t>
            </w:r>
          </w:p>
        </w:tc>
        <w:tc>
          <w:tcPr>
            <w:tcW w:w="3072" w:type="dxa"/>
            <w:tcMar>
              <w:top w:w="50" w:type="dxa"/>
              <w:bottom w:w="50" w:type="dxa"/>
            </w:tcMar>
          </w:tcPr>
          <w:p>
            <w:pPr>
              <w:spacing w:before="20" w:after="20"/>
            </w:pPr>
            <w:r>
              <w:rPr>
                <w:sz w:val="19"/>
                <w:szCs w:val="19"/>
              </w:rPr>
              <w:t xml:space="preserve">Exceso de retorno por unidad de riesgo activo</w:t>
            </w:r>
          </w:p>
        </w:tc>
        <w:tc>
          <w:tcPr>
            <w:tcW w:w="2496" w:type="dxa"/>
            <w:tcMar>
              <w:top w:w="50" w:type="dxa"/>
              <w:bottom w:w="50" w:type="dxa"/>
            </w:tcMar>
          </w:tcPr>
          <w:p>
            <w:pPr>
              <w:spacing w:before="20" w:after="20"/>
            </w:pPr>
            <w:r>
              <w:rPr>
                <w:sz w:val="19"/>
                <w:szCs w:val="19"/>
              </w:rPr>
              <w:t xml:space="preserve">Evaluar gestión activa</w:t>
            </w:r>
          </w:p>
        </w:tc>
      </w:tr>
      <w:tr>
        <w:trPr>
          <w:cantSplit/>
        </w:trPr>
        <w:tc>
          <w:tcPr>
            <w:tcW w:w="1536" w:type="dxa"/>
            <w:shd w:val="clear" w:color="auto" w:fill="EEF3FA"/>
            <w:tcMar>
              <w:top w:w="50" w:type="dxa"/>
              <w:bottom w:w="50" w:type="dxa"/>
            </w:tcMar>
          </w:tcPr>
          <w:p>
            <w:pPr>
              <w:spacing w:before="20" w:after="20"/>
            </w:pPr>
            <w:r>
              <w:rPr>
                <w:sz w:val="19"/>
                <w:szCs w:val="19"/>
              </w:rPr>
              <w:t xml:space="preserve">Sortino</w:t>
            </w:r>
          </w:p>
        </w:tc>
        <w:tc>
          <w:tcPr>
            <w:tcW w:w="2496" w:type="dxa"/>
            <w:shd w:val="clear" w:color="auto" w:fill="EEF3FA"/>
            <w:tcMar>
              <w:top w:w="50" w:type="dxa"/>
              <w:bottom w:w="50" w:type="dxa"/>
            </w:tcMar>
          </w:tcPr>
          <w:p>
            <w:pPr>
              <w:spacing w:before="20" w:after="20"/>
            </w:pPr>
            <w:r>
              <w:rPr>
                <w:sz w:val="19"/>
                <w:szCs w:val="19"/>
              </w:rPr>
              <w:t xml:space="preserve">(Rp − rf) / σ a la baja</w:t>
            </w:r>
          </w:p>
        </w:tc>
        <w:tc>
          <w:tcPr>
            <w:tcW w:w="3072" w:type="dxa"/>
            <w:shd w:val="clear" w:color="auto" w:fill="EEF3FA"/>
            <w:tcMar>
              <w:top w:w="50" w:type="dxa"/>
              <w:bottom w:w="50" w:type="dxa"/>
            </w:tcMar>
          </w:tcPr>
          <w:p>
            <w:pPr>
              <w:spacing w:before="20" w:after="20"/>
            </w:pPr>
            <w:r>
              <w:rPr>
                <w:sz w:val="19"/>
                <w:szCs w:val="19"/>
              </w:rPr>
              <w:t xml:space="preserve">Como Sharpe, pero solo castiga la volatilidad negativa</w:t>
            </w:r>
          </w:p>
        </w:tc>
        <w:tc>
          <w:tcPr>
            <w:tcW w:w="2496" w:type="dxa"/>
            <w:shd w:val="clear" w:color="auto" w:fill="EEF3FA"/>
            <w:tcMar>
              <w:top w:w="50" w:type="dxa"/>
              <w:bottom w:w="50" w:type="dxa"/>
            </w:tcMar>
          </w:tcPr>
          <w:p>
            <w:pPr>
              <w:spacing w:before="20" w:after="20"/>
            </w:pPr>
            <w:r>
              <w:rPr>
                <w:sz w:val="19"/>
                <w:szCs w:val="19"/>
              </w:rPr>
              <w:t xml:space="preserve">Estrategias con asimetría</w:t>
            </w:r>
          </w:p>
        </w:tc>
      </w:tr>
      <w:tr>
        <w:trPr>
          <w:cantSplit/>
        </w:trPr>
        <w:tc>
          <w:tcPr>
            <w:tcW w:w="1536" w:type="dxa"/>
            <w:tcMar>
              <w:top w:w="50" w:type="dxa"/>
              <w:bottom w:w="50" w:type="dxa"/>
            </w:tcMar>
          </w:tcPr>
          <w:p>
            <w:pPr>
              <w:spacing w:before="20" w:after="20"/>
            </w:pPr>
            <w:r>
              <w:rPr>
                <w:sz w:val="19"/>
                <w:szCs w:val="19"/>
              </w:rPr>
              <w:t xml:space="preserve">Máx. drawdown</w:t>
            </w:r>
          </w:p>
        </w:tc>
        <w:tc>
          <w:tcPr>
            <w:tcW w:w="2496" w:type="dxa"/>
            <w:tcMar>
              <w:top w:w="50" w:type="dxa"/>
              <w:bottom w:w="50" w:type="dxa"/>
            </w:tcMar>
          </w:tcPr>
          <w:p>
            <w:pPr>
              <w:spacing w:before="20" w:after="20"/>
            </w:pPr>
            <w:r>
              <w:rPr>
                <w:sz w:val="19"/>
                <w:szCs w:val="19"/>
              </w:rPr>
              <w:t xml:space="preserve">mín(P / máx(P) − 1)</w:t>
            </w:r>
          </w:p>
        </w:tc>
        <w:tc>
          <w:tcPr>
            <w:tcW w:w="3072" w:type="dxa"/>
            <w:tcMar>
              <w:top w:w="50" w:type="dxa"/>
              <w:bottom w:w="50" w:type="dxa"/>
            </w:tcMar>
          </w:tcPr>
          <w:p>
            <w:pPr>
              <w:spacing w:before="20" w:after="20"/>
            </w:pPr>
            <w:r>
              <w:rPr>
                <w:sz w:val="19"/>
                <w:szCs w:val="19"/>
              </w:rPr>
              <w:t xml:space="preserve">Peor caída desde un peak</w:t>
            </w:r>
          </w:p>
        </w:tc>
        <w:tc>
          <w:tcPr>
            <w:tcW w:w="2496" w:type="dxa"/>
            <w:tcMar>
              <w:top w:w="50" w:type="dxa"/>
              <w:bottom w:w="50" w:type="dxa"/>
            </w:tcMar>
          </w:tcPr>
          <w:p>
            <w:pPr>
              <w:spacing w:before="20" w:after="20"/>
            </w:pPr>
            <w:r>
              <w:rPr>
                <w:sz w:val="19"/>
                <w:szCs w:val="19"/>
              </w:rPr>
              <w:t xml:space="preserve">Evaluar el riesgo de ruina</w:t>
            </w:r>
          </w:p>
        </w:tc>
      </w:tr>
    </w:tbl>
    <w:p>
      <w:pPr>
        <w:spacing w:after="60"/>
      </w:pPr>
    </w:p>
    <w:p>
      <w:pPr/>
      <w:r>
        <w:rPr>
          <w:b/>
        </w:rPr>
        <w:t xml:space="preserve">En el torneo:</w:t>
      </w:r>
      <w:r>
        <w:rPr/>
        <w:t xml:space="preserve"> el ranking se basa en el retorno bruto, no en el Sharpe. Igual conviene medir estas métricas: un tracking error alto les dice que se están diferenciando del resto (necesario para ganar), y un drawdown grande les avisa que están cerca de la ruina.</w:t>
      </w:r>
    </w:p>
    <w:p>
      <w:pPr>
        <w:pStyle w:val="Heading1"/>
      </w:pPr>
      <w:bookmarkStart w:id="31" w:name="_h31"/>
      <w:r>
        <w:rPr/>
        <w:t xml:space="preserve">8. Análisis fundamental</w:t>
      </w:r>
      <w:bookmarkEnd w:id="31"/>
    </w:p>
    <w:p>
      <w:pPr/>
      <w:r>
        <w:rPr/>
        <w:t xml:space="preserve">El análisis fundamental busca estimar si una acción está barata o cara respecto de sus utilidades, flujos y activos. En un horizonte de 8 semanas su función principal es </w:t>
      </w:r>
      <w:r>
        <w:rPr>
          <w:b/>
        </w:rPr>
        <w:t xml:space="preserve">identificar catalizadores</w:t>
      </w:r>
      <w:r>
        <w:rPr/>
        <w:t xml:space="preserve">: eventos que harán que el mercado revalorice la acción durante el concurso.</w:t>
      </w:r>
    </w:p>
    <w:p>
      <w:pPr>
        <w:pStyle w:val="Heading2"/>
      </w:pPr>
      <w:bookmarkStart w:id="32" w:name="_h32"/>
      <w:r>
        <w:rPr/>
        <w:t xml:space="preserve">8.1 Múltiplos esenciales</w:t>
      </w:r>
      <w:bookmarkEnd w:id="32"/>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600"/>
        <w:gridCol w:w="2666"/>
        <w:gridCol w:w="2666"/>
        <w:gridCol w:w="2666"/>
      </w:tblGrid>
      <w:tr>
        <w:trPr>
          <w:tblHeader/>
        </w:trPr>
        <w:tc>
          <w:tcPr>
            <w:tcW w:w="1600" w:type="dxa"/>
            <w:shd w:val="clear" w:color="auto" w:fill="1F3864"/>
            <w:tcMar>
              <w:top w:w="50" w:type="dxa"/>
              <w:bottom w:w="50" w:type="dxa"/>
            </w:tcMar>
          </w:tcPr>
          <w:p>
            <w:pPr>
              <w:spacing w:before="20" w:after="20"/>
            </w:pPr>
            <w:r>
              <w:rPr>
                <w:b/>
                <w:color w:val="FFFFFF"/>
                <w:sz w:val="19"/>
                <w:szCs w:val="19"/>
              </w:rPr>
              <w:t xml:space="preserve">Múltiplo</w:t>
            </w:r>
          </w:p>
        </w:tc>
        <w:tc>
          <w:tcPr>
            <w:tcW w:w="2666" w:type="dxa"/>
            <w:shd w:val="clear" w:color="auto" w:fill="1F3864"/>
            <w:tcMar>
              <w:top w:w="50" w:type="dxa"/>
              <w:bottom w:w="50" w:type="dxa"/>
            </w:tcMar>
          </w:tcPr>
          <w:p>
            <w:pPr>
              <w:spacing w:before="20" w:after="20"/>
            </w:pPr>
            <w:r>
              <w:rPr>
                <w:b/>
                <w:color w:val="FFFFFF"/>
                <w:sz w:val="19"/>
                <w:szCs w:val="19"/>
              </w:rPr>
              <w:t xml:space="preserve">Fórmula</w:t>
            </w:r>
          </w:p>
        </w:tc>
        <w:tc>
          <w:tcPr>
            <w:tcW w:w="2666" w:type="dxa"/>
            <w:shd w:val="clear" w:color="auto" w:fill="1F3864"/>
            <w:tcMar>
              <w:top w:w="50" w:type="dxa"/>
              <w:bottom w:w="50" w:type="dxa"/>
            </w:tcMar>
          </w:tcPr>
          <w:p>
            <w:pPr>
              <w:spacing w:before="20" w:after="20"/>
            </w:pPr>
            <w:r>
              <w:rPr>
                <w:b/>
                <w:color w:val="FFFFFF"/>
                <w:sz w:val="19"/>
                <w:szCs w:val="19"/>
              </w:rPr>
              <w:t xml:space="preserve">Interpretación</w:t>
            </w:r>
          </w:p>
        </w:tc>
        <w:tc>
          <w:tcPr>
            <w:tcW w:w="2666" w:type="dxa"/>
            <w:shd w:val="clear" w:color="auto" w:fill="1F3864"/>
            <w:tcMar>
              <w:top w:w="50" w:type="dxa"/>
              <w:bottom w:w="50" w:type="dxa"/>
            </w:tcMar>
          </w:tcPr>
          <w:p>
            <w:pPr>
              <w:spacing w:before="20" w:after="20"/>
            </w:pPr>
            <w:r>
              <w:rPr>
                <w:b/>
                <w:color w:val="FFFFFF"/>
                <w:sz w:val="19"/>
                <w:szCs w:val="19"/>
              </w:rPr>
              <w:t xml:space="preserve">Cuidado</w:t>
            </w:r>
          </w:p>
        </w:tc>
      </w:tr>
      <w:tr>
        <w:trPr>
          <w:cantSplit/>
        </w:trPr>
        <w:tc>
          <w:tcPr>
            <w:tcW w:w="1600" w:type="dxa"/>
            <w:tcMar>
              <w:top w:w="50" w:type="dxa"/>
              <w:bottom w:w="50" w:type="dxa"/>
            </w:tcMar>
          </w:tcPr>
          <w:p>
            <w:pPr>
              <w:spacing w:before="20" w:after="20"/>
            </w:pPr>
            <w:r>
              <w:rPr>
                <w:sz w:val="19"/>
                <w:szCs w:val="19"/>
              </w:rPr>
              <w:t xml:space="preserve">P/U (PER)</w:t>
            </w:r>
          </w:p>
        </w:tc>
        <w:tc>
          <w:tcPr>
            <w:tcW w:w="2666" w:type="dxa"/>
            <w:tcMar>
              <w:top w:w="50" w:type="dxa"/>
              <w:bottom w:w="50" w:type="dxa"/>
            </w:tcMar>
          </w:tcPr>
          <w:p>
            <w:pPr>
              <w:spacing w:before="20" w:after="20"/>
            </w:pPr>
            <w:r>
              <w:rPr>
                <w:sz w:val="19"/>
                <w:szCs w:val="19"/>
              </w:rPr>
              <w:t xml:space="preserve">Precio / Utilidad por acción</w:t>
            </w:r>
          </w:p>
        </w:tc>
        <w:tc>
          <w:tcPr>
            <w:tcW w:w="2666" w:type="dxa"/>
            <w:tcMar>
              <w:top w:w="50" w:type="dxa"/>
              <w:bottom w:w="50" w:type="dxa"/>
            </w:tcMar>
          </w:tcPr>
          <w:p>
            <w:pPr>
              <w:spacing w:before="20" w:after="20"/>
            </w:pPr>
            <w:r>
              <w:rPr>
                <w:sz w:val="19"/>
                <w:szCs w:val="19"/>
              </w:rPr>
              <w:t xml:space="preserve">Años de utilidades que pagas</w:t>
            </w:r>
          </w:p>
        </w:tc>
        <w:tc>
          <w:tcPr>
            <w:tcW w:w="2666" w:type="dxa"/>
            <w:tcMar>
              <w:top w:w="50" w:type="dxa"/>
              <w:bottom w:w="50" w:type="dxa"/>
            </w:tcMar>
          </w:tcPr>
          <w:p>
            <w:pPr>
              <w:spacing w:before="20" w:after="20"/>
            </w:pPr>
            <w:r>
              <w:rPr>
                <w:sz w:val="19"/>
                <w:szCs w:val="19"/>
              </w:rPr>
              <w:t xml:space="preserve">Utilidades extraordinarias o negativas lo distorsionan</w:t>
            </w:r>
          </w:p>
        </w:tc>
      </w:tr>
      <w:tr>
        <w:trPr>
          <w:cantSplit/>
        </w:trPr>
        <w:tc>
          <w:tcPr>
            <w:tcW w:w="1600" w:type="dxa"/>
            <w:shd w:val="clear" w:color="auto" w:fill="EEF3FA"/>
            <w:tcMar>
              <w:top w:w="50" w:type="dxa"/>
              <w:bottom w:w="50" w:type="dxa"/>
            </w:tcMar>
          </w:tcPr>
          <w:p>
            <w:pPr>
              <w:spacing w:before="20" w:after="20"/>
            </w:pPr>
            <w:r>
              <w:rPr>
                <w:sz w:val="19"/>
                <w:szCs w:val="19"/>
              </w:rPr>
              <w:t xml:space="preserve">P/VL</w:t>
            </w:r>
          </w:p>
        </w:tc>
        <w:tc>
          <w:tcPr>
            <w:tcW w:w="2666" w:type="dxa"/>
            <w:shd w:val="clear" w:color="auto" w:fill="EEF3FA"/>
            <w:tcMar>
              <w:top w:w="50" w:type="dxa"/>
              <w:bottom w:w="50" w:type="dxa"/>
            </w:tcMar>
          </w:tcPr>
          <w:p>
            <w:pPr>
              <w:spacing w:before="20" w:after="20"/>
            </w:pPr>
            <w:r>
              <w:rPr>
                <w:sz w:val="19"/>
                <w:szCs w:val="19"/>
              </w:rPr>
              <w:t xml:space="preserve">Precio / Valor libro por acción</w:t>
            </w:r>
          </w:p>
        </w:tc>
        <w:tc>
          <w:tcPr>
            <w:tcW w:w="2666" w:type="dxa"/>
            <w:shd w:val="clear" w:color="auto" w:fill="EEF3FA"/>
            <w:tcMar>
              <w:top w:w="50" w:type="dxa"/>
              <w:bottom w:w="50" w:type="dxa"/>
            </w:tcMar>
          </w:tcPr>
          <w:p>
            <w:pPr>
              <w:spacing w:before="20" w:after="20"/>
            </w:pPr>
            <w:r>
              <w:rPr>
                <w:sz w:val="19"/>
                <w:szCs w:val="19"/>
              </w:rPr>
              <w:t xml:space="preserve">&lt; 1: el mercado la valora bajo su patrimonio contable</w:t>
            </w:r>
          </w:p>
        </w:tc>
        <w:tc>
          <w:tcPr>
            <w:tcW w:w="2666" w:type="dxa"/>
            <w:shd w:val="clear" w:color="auto" w:fill="EEF3FA"/>
            <w:tcMar>
              <w:top w:w="50" w:type="dxa"/>
              <w:bottom w:w="50" w:type="dxa"/>
            </w:tcMar>
          </w:tcPr>
          <w:p>
            <w:pPr>
              <w:spacing w:before="20" w:after="20"/>
            </w:pPr>
            <w:r>
              <w:rPr>
                <w:sz w:val="19"/>
                <w:szCs w:val="19"/>
              </w:rPr>
              <w:t xml:space="preserve">Clave en bancos; es 1/BME de su tesina</w:t>
            </w:r>
          </w:p>
        </w:tc>
      </w:tr>
      <w:tr>
        <w:trPr>
          <w:cantSplit/>
        </w:trPr>
        <w:tc>
          <w:tcPr>
            <w:tcW w:w="1600" w:type="dxa"/>
            <w:tcMar>
              <w:top w:w="50" w:type="dxa"/>
              <w:bottom w:w="50" w:type="dxa"/>
            </w:tcMar>
          </w:tcPr>
          <w:p>
            <w:pPr>
              <w:spacing w:before="20" w:after="20"/>
            </w:pPr>
            <w:r>
              <w:rPr>
                <w:sz w:val="19"/>
                <w:szCs w:val="19"/>
              </w:rPr>
              <w:t xml:space="preserve">EV/EBITDA</w:t>
            </w:r>
          </w:p>
        </w:tc>
        <w:tc>
          <w:tcPr>
            <w:tcW w:w="2666" w:type="dxa"/>
            <w:tcMar>
              <w:top w:w="50" w:type="dxa"/>
              <w:bottom w:w="50" w:type="dxa"/>
            </w:tcMar>
          </w:tcPr>
          <w:p>
            <w:pPr>
              <w:spacing w:before="20" w:after="20"/>
            </w:pPr>
            <w:r>
              <w:rPr>
                <w:sz w:val="19"/>
                <w:szCs w:val="19"/>
              </w:rPr>
              <w:t xml:space="preserve">(Cap. bursátil + deuda neta) / EBITDA</w:t>
            </w:r>
          </w:p>
        </w:tc>
        <w:tc>
          <w:tcPr>
            <w:tcW w:w="2666" w:type="dxa"/>
            <w:tcMar>
              <w:top w:w="50" w:type="dxa"/>
              <w:bottom w:w="50" w:type="dxa"/>
            </w:tcMar>
          </w:tcPr>
          <w:p>
            <w:pPr>
              <w:spacing w:before="20" w:after="20"/>
            </w:pPr>
            <w:r>
              <w:rPr>
                <w:sz w:val="19"/>
                <w:szCs w:val="19"/>
              </w:rPr>
              <w:t xml:space="preserve">Valor de la empresa respecto de su caja operacional</w:t>
            </w:r>
          </w:p>
        </w:tc>
        <w:tc>
          <w:tcPr>
            <w:tcW w:w="2666" w:type="dxa"/>
            <w:tcMar>
              <w:top w:w="50" w:type="dxa"/>
              <w:bottom w:w="50" w:type="dxa"/>
            </w:tcMar>
          </w:tcPr>
          <w:p>
            <w:pPr>
              <w:spacing w:before="20" w:after="20"/>
            </w:pPr>
            <w:r>
              <w:rPr>
                <w:sz w:val="19"/>
                <w:szCs w:val="19"/>
              </w:rPr>
              <w:t xml:space="preserve">No sirve para bancos</w:t>
            </w:r>
          </w:p>
        </w:tc>
      </w:tr>
      <w:tr>
        <w:trPr>
          <w:cantSplit/>
        </w:trPr>
        <w:tc>
          <w:tcPr>
            <w:tcW w:w="1600" w:type="dxa"/>
            <w:shd w:val="clear" w:color="auto" w:fill="EEF3FA"/>
            <w:tcMar>
              <w:top w:w="50" w:type="dxa"/>
              <w:bottom w:w="50" w:type="dxa"/>
            </w:tcMar>
          </w:tcPr>
          <w:p>
            <w:pPr>
              <w:spacing w:before="20" w:after="20"/>
            </w:pPr>
            <w:r>
              <w:rPr>
                <w:sz w:val="19"/>
                <w:szCs w:val="19"/>
              </w:rPr>
              <w:t xml:space="preserve">Dividend yield</w:t>
            </w:r>
          </w:p>
        </w:tc>
        <w:tc>
          <w:tcPr>
            <w:tcW w:w="2666" w:type="dxa"/>
            <w:shd w:val="clear" w:color="auto" w:fill="EEF3FA"/>
            <w:tcMar>
              <w:top w:w="50" w:type="dxa"/>
              <w:bottom w:w="50" w:type="dxa"/>
            </w:tcMar>
          </w:tcPr>
          <w:p>
            <w:pPr>
              <w:spacing w:before="20" w:after="20"/>
            </w:pPr>
            <w:r>
              <w:rPr>
                <w:sz w:val="19"/>
                <w:szCs w:val="19"/>
              </w:rPr>
              <w:t xml:space="preserve">Dividendo / Precio</w:t>
            </w:r>
          </w:p>
        </w:tc>
        <w:tc>
          <w:tcPr>
            <w:tcW w:w="2666" w:type="dxa"/>
            <w:shd w:val="clear" w:color="auto" w:fill="EEF3FA"/>
            <w:tcMar>
              <w:top w:w="50" w:type="dxa"/>
              <w:bottom w:w="50" w:type="dxa"/>
            </w:tcMar>
          </w:tcPr>
          <w:p>
            <w:pPr>
              <w:spacing w:before="20" w:after="20"/>
            </w:pPr>
            <w:r>
              <w:rPr>
                <w:sz w:val="19"/>
                <w:szCs w:val="19"/>
              </w:rPr>
              <w:t xml:space="preserve">Rentabilidad por dividendos</w:t>
            </w:r>
          </w:p>
        </w:tc>
        <w:tc>
          <w:tcPr>
            <w:tcW w:w="2666" w:type="dxa"/>
            <w:shd w:val="clear" w:color="auto" w:fill="EEF3FA"/>
            <w:tcMar>
              <w:top w:w="50" w:type="dxa"/>
              <w:bottom w:w="50" w:type="dxa"/>
            </w:tcMar>
          </w:tcPr>
          <w:p>
            <w:pPr>
              <w:spacing w:before="20" w:after="20"/>
            </w:pPr>
            <w:r>
              <w:rPr>
                <w:sz w:val="19"/>
                <w:szCs w:val="19"/>
              </w:rPr>
              <w:t xml:space="preserve">Revisar si el dividendo es sostenible</w:t>
            </w:r>
          </w:p>
        </w:tc>
      </w:tr>
      <w:tr>
        <w:trPr>
          <w:cantSplit/>
        </w:trPr>
        <w:tc>
          <w:tcPr>
            <w:tcW w:w="1600" w:type="dxa"/>
            <w:tcMar>
              <w:top w:w="50" w:type="dxa"/>
              <w:bottom w:w="50" w:type="dxa"/>
            </w:tcMar>
          </w:tcPr>
          <w:p>
            <w:pPr>
              <w:spacing w:before="20" w:after="20"/>
            </w:pPr>
            <w:r>
              <w:rPr>
                <w:sz w:val="19"/>
                <w:szCs w:val="19"/>
              </w:rPr>
              <w:t xml:space="preserve">ROE</w:t>
            </w:r>
          </w:p>
        </w:tc>
        <w:tc>
          <w:tcPr>
            <w:tcW w:w="2666" w:type="dxa"/>
            <w:tcMar>
              <w:top w:w="50" w:type="dxa"/>
              <w:bottom w:w="50" w:type="dxa"/>
            </w:tcMar>
          </w:tcPr>
          <w:p>
            <w:pPr>
              <w:spacing w:before="20" w:after="20"/>
            </w:pPr>
            <w:r>
              <w:rPr>
                <w:sz w:val="19"/>
                <w:szCs w:val="19"/>
              </w:rPr>
              <w:t xml:space="preserve">Utilidad / Patrimonio</w:t>
            </w:r>
          </w:p>
        </w:tc>
        <w:tc>
          <w:tcPr>
            <w:tcW w:w="2666" w:type="dxa"/>
            <w:tcMar>
              <w:top w:w="50" w:type="dxa"/>
              <w:bottom w:w="50" w:type="dxa"/>
            </w:tcMar>
          </w:tcPr>
          <w:p>
            <w:pPr>
              <w:spacing w:before="20" w:after="20"/>
            </w:pPr>
            <w:r>
              <w:rPr>
                <w:sz w:val="19"/>
                <w:szCs w:val="19"/>
              </w:rPr>
              <w:t xml:space="preserve">Rentabilidad del capital del accionista</w:t>
            </w:r>
          </w:p>
        </w:tc>
        <w:tc>
          <w:tcPr>
            <w:tcW w:w="2666" w:type="dxa"/>
            <w:tcMar>
              <w:top w:w="50" w:type="dxa"/>
              <w:bottom w:w="50" w:type="dxa"/>
            </w:tcMar>
          </w:tcPr>
          <w:p>
            <w:pPr>
              <w:spacing w:before="20" w:after="20"/>
            </w:pPr>
            <w:r>
              <w:rPr>
                <w:sz w:val="19"/>
                <w:szCs w:val="19"/>
              </w:rPr>
              <w:t xml:space="preserve">Descomponer con DuPont (margen × rotación × apalancamiento)</w:t>
            </w:r>
          </w:p>
        </w:tc>
      </w:tr>
      <w:tr>
        <w:trPr>
          <w:cantSplit/>
        </w:trPr>
        <w:tc>
          <w:tcPr>
            <w:tcW w:w="1600" w:type="dxa"/>
            <w:shd w:val="clear" w:color="auto" w:fill="EEF3FA"/>
            <w:tcMar>
              <w:top w:w="50" w:type="dxa"/>
              <w:bottom w:w="50" w:type="dxa"/>
            </w:tcMar>
          </w:tcPr>
          <w:p>
            <w:pPr>
              <w:spacing w:before="20" w:after="20"/>
            </w:pPr>
            <w:r>
              <w:rPr>
                <w:sz w:val="19"/>
                <w:szCs w:val="19"/>
              </w:rPr>
              <w:t xml:space="preserve">Deuda neta / EBITDA</w:t>
            </w:r>
          </w:p>
        </w:tc>
        <w:tc>
          <w:tcPr>
            <w:tcW w:w="2666" w:type="dxa"/>
            <w:shd w:val="clear" w:color="auto" w:fill="EEF3FA"/>
            <w:tcMar>
              <w:top w:w="50" w:type="dxa"/>
              <w:bottom w:w="50" w:type="dxa"/>
            </w:tcMar>
          </w:tcPr>
          <w:p>
            <w:pPr>
              <w:spacing w:before="20" w:after="20"/>
            </w:pPr>
            <w:r>
              <w:rPr>
                <w:sz w:val="19"/>
                <w:szCs w:val="19"/>
              </w:rPr>
              <w:t xml:space="preserve">Deuda financiera − caja, sobre EBITDA</w:t>
            </w:r>
          </w:p>
        </w:tc>
        <w:tc>
          <w:tcPr>
            <w:tcW w:w="2666" w:type="dxa"/>
            <w:shd w:val="clear" w:color="auto" w:fill="EEF3FA"/>
            <w:tcMar>
              <w:top w:w="50" w:type="dxa"/>
              <w:bottom w:w="50" w:type="dxa"/>
            </w:tcMar>
          </w:tcPr>
          <w:p>
            <w:pPr>
              <w:spacing w:before="20" w:after="20"/>
            </w:pPr>
            <w:r>
              <w:rPr>
                <w:sz w:val="19"/>
                <w:szCs w:val="19"/>
              </w:rPr>
              <w:t xml:space="preserve">Años de EBITDA para pagar la deuda</w:t>
            </w:r>
          </w:p>
        </w:tc>
        <w:tc>
          <w:tcPr>
            <w:tcW w:w="2666" w:type="dxa"/>
            <w:shd w:val="clear" w:color="auto" w:fill="EEF3FA"/>
            <w:tcMar>
              <w:top w:w="50" w:type="dxa"/>
              <w:bottom w:w="50" w:type="dxa"/>
            </w:tcMar>
          </w:tcPr>
          <w:p>
            <w:pPr>
              <w:spacing w:before="20" w:after="20"/>
            </w:pPr>
            <w:r>
              <w:rPr>
                <w:sz w:val="19"/>
                <w:szCs w:val="19"/>
              </w:rPr>
              <w:t xml:space="preserve">&gt; 3–4x suele indicar estrés en empresas no financieras</w:t>
            </w:r>
          </w:p>
        </w:tc>
      </w:tr>
    </w:tbl>
    <w:p>
      <w:pPr>
        <w:spacing w:after="60"/>
      </w:pPr>
    </w:p>
    <w:tbl>
      <w:tblPr>
        <w:tblW w:w="9600" w:type="dxa"/>
        <w:tblBorders>
          <w:left w:val="single" w:sz="36" w:space="0" w:color="7030A0"/>
        </w:tblBorders>
        <w:tblCellMar>
          <w:top w:w="100" w:type="dxa"/>
          <w:left w:w="160" w:type="dxa"/>
          <w:bottom w:w="80" w:type="dxa"/>
          <w:right w:w="160" w:type="dxa"/>
        </w:tblCellMar>
      </w:tblPr>
      <w:tblGrid>
        <w:gridCol w:w="9600"/>
      </w:tblGrid>
      <w:tr>
        <w:trPr>
          <w:cantSplit/>
        </w:trPr>
        <w:tc>
          <w:tcPr>
            <w:tcW w:w="9600" w:type="dxa"/>
            <w:shd w:val="clear" w:color="auto" w:fill="EDE2F6"/>
          </w:tcPr>
          <w:p>
            <w:pPr>
              <w:spacing w:after="40"/>
            </w:pPr>
            <w:r>
              <w:rPr>
                <w:b/>
                <w:color w:val="7030A0"/>
                <w:sz w:val="21"/>
                <w:szCs w:val="21"/>
              </w:rPr>
              <w:t xml:space="preserve">Conexión con su tesina</w:t>
            </w:r>
          </w:p>
          <w:p>
            <w:pPr>
              <w:spacing w:after="40"/>
            </w:pPr>
            <w:r>
              <w:rPr>
                <w:sz w:val="20"/>
                <w:szCs w:val="20"/>
              </w:rPr>
              <w:t xml:space="preserve">Su variable BME (patrimonio contable / valor de mercado) es el inverso del P/VL. Encontraron que un BME alto se asocia con menor valor de opciones reales (ProxyOR/V). Traducido al concurso: las acciones con P/VL bajo son "value" y su precio depende de los activos actuales; las de P/VL alto tienen más valor de crecimiento, y por eso suelen reaccionar con más fuerza a noticias sobre su futuro.</w:t>
            </w:r>
          </w:p>
        </w:tc>
      </w:tr>
    </w:tbl>
    <w:p>
      <w:pPr>
        <w:spacing w:after="40"/>
      </w:pPr>
    </w:p>
    <w:p>
      <w:pPr>
        <w:pStyle w:val="Heading2"/>
      </w:pPr>
      <w:bookmarkStart w:id="33" w:name="_h33"/>
      <w:r>
        <w:rPr/>
        <w:t xml:space="preserve">8.2 Leer resultados trimestrales en 15 minutos</w:t>
      </w:r>
      <w:bookmarkEnd w:id="33"/>
    </w:p>
    <w:p>
      <w:pPr>
        <w:pStyle w:val="ListParagraph"/>
        <w:numPr>
          <w:ilvl w:val="0"/>
          <w:numId w:val="3"/>
        </w:numPr>
        <w:spacing w:after="60"/>
      </w:pPr>
      <w:r>
        <w:rPr/>
        <w:t xml:space="preserve">Busquen el </w:t>
      </w:r>
      <w:r>
        <w:rPr>
          <w:b/>
        </w:rPr>
        <w:t xml:space="preserve">análisis razonado</w:t>
      </w:r>
      <w:r>
        <w:rPr/>
        <w:t xml:space="preserve"> y el comunicado de prensa de resultados (más útiles que los estados financieros completos para una primera lectura).</w:t>
      </w:r>
    </w:p>
    <w:p>
      <w:pPr>
        <w:pStyle w:val="ListParagraph"/>
        <w:numPr>
          <w:ilvl w:val="0"/>
          <w:numId w:val="3"/>
        </w:numPr>
        <w:spacing w:after="60"/>
      </w:pPr>
      <w:r>
        <w:rPr/>
        <w:t xml:space="preserve">Comparen ingresos, EBITDA y utilidad contra el </w:t>
      </w:r>
      <w:r>
        <w:rPr>
          <w:b/>
        </w:rPr>
        <w:t xml:space="preserve">mismo trimestre del año anterior</w:t>
      </w:r>
      <w:r>
        <w:rPr/>
        <w:t xml:space="preserve"> y contra lo que esperaba el mercado (informes de corredoras, prensa).</w:t>
      </w:r>
    </w:p>
    <w:p>
      <w:pPr>
        <w:pStyle w:val="ListParagraph"/>
        <w:numPr>
          <w:ilvl w:val="0"/>
          <w:numId w:val="3"/>
        </w:numPr>
        <w:spacing w:after="60"/>
      </w:pPr>
      <w:r>
        <w:rPr/>
        <w:t xml:space="preserve">Revisen márgenes (EBITDA / ingresos): ¿mejoran o empeoran?</w:t>
      </w:r>
    </w:p>
    <w:p>
      <w:pPr>
        <w:pStyle w:val="ListParagraph"/>
        <w:numPr>
          <w:ilvl w:val="0"/>
          <w:numId w:val="3"/>
        </w:numPr>
        <w:spacing w:after="60"/>
      </w:pPr>
      <w:r>
        <w:rPr/>
        <w:t xml:space="preserve">Revisen deuda neta y flujo de caja operacional.</w:t>
      </w:r>
    </w:p>
    <w:p>
      <w:pPr>
        <w:pStyle w:val="ListParagraph"/>
        <w:numPr>
          <w:ilvl w:val="0"/>
          <w:numId w:val="3"/>
        </w:numPr>
        <w:spacing w:after="60"/>
      </w:pPr>
      <w:r>
        <w:rPr/>
        <w:t xml:space="preserve">Lean las perspectivas o la guía de la administración.</w:t>
      </w:r>
    </w:p>
    <w:p>
      <w:pPr>
        <w:pStyle w:val="ListParagraph"/>
        <w:numPr>
          <w:ilvl w:val="0"/>
          <w:numId w:val="3"/>
        </w:numPr>
        <w:spacing w:after="60"/>
      </w:pPr>
      <w:r>
        <w:rPr/>
        <w:t xml:space="preserve">Lo que mueve el precio es la </w:t>
      </w:r>
      <w:r>
        <w:rPr>
          <w:b/>
        </w:rPr>
        <w:t xml:space="preserve">sorpresa</w:t>
      </w:r>
      <w:r>
        <w:rPr/>
        <w:t xml:space="preserve">: un resultado "bueno" que ya se esperaba puede hacer caer la acción.</w:t>
      </w:r>
    </w:p>
    <w:p>
      <w:pPr/>
      <w:r>
        <w:rPr>
          <w:b/>
        </w:rPr>
        <w:t xml:space="preserve">Post-Earnings Announcement Drift (PEAD):</w:t>
      </w:r>
      <w:r>
        <w:rPr/>
        <w:t xml:space="preserve"> la literatura documenta que, tras una sorpresa positiva (o negativa) de utilidades, los precios tienden a seguir moviéndose en la misma dirección durante semanas (Ball y Brown, 1968; Bernard y Thomas, 1989). Es una de las anomalías más útiles para un concurso que coincide con la temporada de resultados.</w:t>
      </w:r>
    </w:p>
    <w:p>
      <w:pPr>
        <w:pStyle w:val="Heading2"/>
      </w:pPr>
      <w:bookmarkStart w:id="34" w:name="_h34"/>
      <w:r>
        <w:rPr/>
        <w:t xml:space="preserve">8.3 Catalizadores que buscar</w:t>
      </w:r>
      <w:bookmarkEnd w:id="34"/>
    </w:p>
    <w:p>
      <w:pPr>
        <w:pStyle w:val="ListParagraph"/>
        <w:numPr>
          <w:ilvl w:val="0"/>
          <w:numId w:val="1"/>
        </w:numPr>
        <w:spacing w:after="60"/>
      </w:pPr>
      <w:r>
        <w:rPr/>
        <w:t xml:space="preserve">Publicación de resultados trimestrales y conferencias con inversionistas.</w:t>
      </w:r>
    </w:p>
    <w:p>
      <w:pPr>
        <w:pStyle w:val="ListParagraph"/>
        <w:numPr>
          <w:ilvl w:val="0"/>
          <w:numId w:val="1"/>
        </w:numPr>
        <w:spacing w:after="60"/>
      </w:pPr>
      <w:r>
        <w:rPr/>
        <w:t xml:space="preserve">Anuncios de dividendos (provisorios o adicionales) y recompras de acciones.</w:t>
      </w:r>
    </w:p>
    <w:p>
      <w:pPr>
        <w:pStyle w:val="ListParagraph"/>
        <w:numPr>
          <w:ilvl w:val="0"/>
          <w:numId w:val="1"/>
        </w:numPr>
        <w:spacing w:after="60"/>
      </w:pPr>
      <w:r>
        <w:rPr/>
        <w:t xml:space="preserve">Cambios regulatorios o tributarios que afecten a un sector.</w:t>
      </w:r>
    </w:p>
    <w:p>
      <w:pPr>
        <w:pStyle w:val="ListParagraph"/>
        <w:numPr>
          <w:ilvl w:val="0"/>
          <w:numId w:val="1"/>
        </w:numPr>
        <w:spacing w:after="60"/>
      </w:pPr>
      <w:r>
        <w:rPr/>
        <w:t xml:space="preserve">Fusiones, adquisiciones, OPAs y aumentos de capital.</w:t>
      </w:r>
    </w:p>
    <w:p>
      <w:pPr>
        <w:pStyle w:val="ListParagraph"/>
        <w:numPr>
          <w:ilvl w:val="0"/>
          <w:numId w:val="1"/>
        </w:numPr>
        <w:spacing w:after="60"/>
      </w:pPr>
      <w:r>
        <w:rPr/>
        <w:t xml:space="preserve">Cambios en la composición del IPSA.</w:t>
      </w:r>
    </w:p>
    <w:p>
      <w:pPr>
        <w:pStyle w:val="ListParagraph"/>
        <w:numPr>
          <w:ilvl w:val="0"/>
          <w:numId w:val="1"/>
        </w:numPr>
        <w:spacing w:after="60"/>
      </w:pPr>
      <w:r>
        <w:rPr/>
        <w:t xml:space="preserve">Movimientos fuertes del cobre, el litio, la celulosa o el petróleo.</w:t>
      </w:r>
    </w:p>
    <w:p>
      <w:pPr>
        <w:pStyle w:val="ListParagraph"/>
        <w:numPr>
          <w:ilvl w:val="0"/>
          <w:numId w:val="1"/>
        </w:numPr>
        <w:spacing w:after="60"/>
      </w:pPr>
      <w:r>
        <w:rPr/>
        <w:t xml:space="preserve">Decisiones de tasas del Banco Central o la Fed que sorprendan al mercado.</w:t>
      </w:r>
    </w:p>
    <w:p>
      <w:pPr>
        <w:pStyle w:val="Heading1"/>
      </w:pPr>
      <w:bookmarkStart w:id="35" w:name="_h35"/>
      <w:r>
        <w:rPr/>
        <w:t xml:space="preserve">9. Análisis técnico, momentum y reversión</w:t>
      </w:r>
      <w:bookmarkEnd w:id="35"/>
    </w:p>
    <w:p>
      <w:pPr/>
      <w:r>
        <w:rPr/>
        <w:t xml:space="preserve">El análisis técnico estudia precios y volúmenes para identificar tendencias y puntos de entrada. Su utilidad científica es debatida, pero dos fenómenos tienen sólido respaldo empírico y son relevantes para un horizonte de semanas: el </w:t>
      </w:r>
      <w:r>
        <w:rPr>
          <w:b/>
        </w:rPr>
        <w:t xml:space="preserve">momentum</w:t>
      </w:r>
      <w:r>
        <w:rPr/>
        <w:t xml:space="preserve"> y la </w:t>
      </w:r>
      <w:r>
        <w:rPr>
          <w:b/>
        </w:rPr>
        <w:t xml:space="preserve">reversión de corto plazo</w:t>
      </w:r>
      <w:r>
        <w:rPr/>
        <w:t xml:space="preserve">.</w:t>
      </w:r>
    </w:p>
    <w:p>
      <w:pPr>
        <w:pStyle w:val="Heading2"/>
      </w:pPr>
      <w:bookmarkStart w:id="36" w:name="_h36"/>
      <w:r>
        <w:rPr/>
        <w:t xml:space="preserve">9.1 Herramientas básicas</w:t>
      </w:r>
      <w:bookmarkEnd w:id="36"/>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304"/>
        <w:gridCol w:w="3456"/>
        <w:gridCol w:w="3840"/>
      </w:tblGrid>
      <w:tr>
        <w:trPr>
          <w:tblHeader/>
        </w:trPr>
        <w:tc>
          <w:tcPr>
            <w:tcW w:w="2304" w:type="dxa"/>
            <w:shd w:val="clear" w:color="auto" w:fill="1F3864"/>
            <w:tcMar>
              <w:top w:w="50" w:type="dxa"/>
              <w:bottom w:w="50" w:type="dxa"/>
            </w:tcMar>
          </w:tcPr>
          <w:p>
            <w:pPr>
              <w:spacing w:before="20" w:after="20"/>
            </w:pPr>
            <w:r>
              <w:rPr>
                <w:b/>
                <w:color w:val="FFFFFF"/>
                <w:sz w:val="19"/>
                <w:szCs w:val="19"/>
              </w:rPr>
              <w:t xml:space="preserve">Herramienta</w:t>
            </w:r>
          </w:p>
        </w:tc>
        <w:tc>
          <w:tcPr>
            <w:tcW w:w="3456" w:type="dxa"/>
            <w:shd w:val="clear" w:color="auto" w:fill="1F3864"/>
            <w:tcMar>
              <w:top w:w="50" w:type="dxa"/>
              <w:bottom w:w="50" w:type="dxa"/>
            </w:tcMar>
          </w:tcPr>
          <w:p>
            <w:pPr>
              <w:spacing w:before="20" w:after="20"/>
            </w:pPr>
            <w:r>
              <w:rPr>
                <w:b/>
                <w:color w:val="FFFFFF"/>
                <w:sz w:val="19"/>
                <w:szCs w:val="19"/>
              </w:rPr>
              <w:t xml:space="preserve">Cómo se calcula</w:t>
            </w:r>
          </w:p>
        </w:tc>
        <w:tc>
          <w:tcPr>
            <w:tcW w:w="3840" w:type="dxa"/>
            <w:shd w:val="clear" w:color="auto" w:fill="1F3864"/>
            <w:tcMar>
              <w:top w:w="50" w:type="dxa"/>
              <w:bottom w:w="50" w:type="dxa"/>
            </w:tcMar>
          </w:tcPr>
          <w:p>
            <w:pPr>
              <w:spacing w:before="20" w:after="20"/>
            </w:pPr>
            <w:r>
              <w:rPr>
                <w:b/>
                <w:color w:val="FFFFFF"/>
                <w:sz w:val="19"/>
                <w:szCs w:val="19"/>
              </w:rPr>
              <w:t xml:space="preserve">Señal típica</w:t>
            </w:r>
          </w:p>
        </w:tc>
      </w:tr>
      <w:tr>
        <w:trPr>
          <w:cantSplit/>
        </w:trPr>
        <w:tc>
          <w:tcPr>
            <w:tcW w:w="2304" w:type="dxa"/>
            <w:tcMar>
              <w:top w:w="50" w:type="dxa"/>
              <w:bottom w:w="50" w:type="dxa"/>
            </w:tcMar>
          </w:tcPr>
          <w:p>
            <w:pPr>
              <w:spacing w:before="20" w:after="20"/>
            </w:pPr>
            <w:r>
              <w:rPr>
                <w:sz w:val="19"/>
                <w:szCs w:val="19"/>
              </w:rPr>
              <w:t xml:space="preserve">Media móvil simple (SMA)</w:t>
            </w:r>
          </w:p>
        </w:tc>
        <w:tc>
          <w:tcPr>
            <w:tcW w:w="3456" w:type="dxa"/>
            <w:tcMar>
              <w:top w:w="50" w:type="dxa"/>
              <w:bottom w:w="50" w:type="dxa"/>
            </w:tcMar>
          </w:tcPr>
          <w:p>
            <w:pPr>
              <w:spacing w:before="20" w:after="20"/>
            </w:pPr>
            <w:r>
              <w:rPr>
                <w:sz w:val="19"/>
                <w:szCs w:val="19"/>
              </w:rPr>
              <w:t xml:space="preserve">Promedio de los últimos n cierres (20, 50, 200 días)</w:t>
            </w:r>
          </w:p>
        </w:tc>
        <w:tc>
          <w:tcPr>
            <w:tcW w:w="3840" w:type="dxa"/>
            <w:tcMar>
              <w:top w:w="50" w:type="dxa"/>
              <w:bottom w:w="50" w:type="dxa"/>
            </w:tcMar>
          </w:tcPr>
          <w:p>
            <w:pPr>
              <w:spacing w:before="20" w:after="20"/>
            </w:pPr>
            <w:r>
              <w:rPr>
                <w:sz w:val="19"/>
                <w:szCs w:val="19"/>
              </w:rPr>
              <w:t xml:space="preserve">Precio sobre la SMA = tendencia alcista; cruce de SMA50 sobre SMA200 = "cruce dorado"</w:t>
            </w:r>
          </w:p>
        </w:tc>
      </w:tr>
      <w:tr>
        <w:trPr>
          <w:cantSplit/>
        </w:trPr>
        <w:tc>
          <w:tcPr>
            <w:tcW w:w="2304" w:type="dxa"/>
            <w:shd w:val="clear" w:color="auto" w:fill="EEF3FA"/>
            <w:tcMar>
              <w:top w:w="50" w:type="dxa"/>
              <w:bottom w:w="50" w:type="dxa"/>
            </w:tcMar>
          </w:tcPr>
          <w:p>
            <w:pPr>
              <w:spacing w:before="20" w:after="20"/>
            </w:pPr>
            <w:r>
              <w:rPr>
                <w:sz w:val="19"/>
                <w:szCs w:val="19"/>
              </w:rPr>
              <w:t xml:space="preserve">RSI (14)</w:t>
            </w:r>
          </w:p>
        </w:tc>
        <w:tc>
          <w:tcPr>
            <w:tcW w:w="3456" w:type="dxa"/>
            <w:shd w:val="clear" w:color="auto" w:fill="EEF3FA"/>
            <w:tcMar>
              <w:top w:w="50" w:type="dxa"/>
              <w:bottom w:w="50" w:type="dxa"/>
            </w:tcMar>
          </w:tcPr>
          <w:p>
            <w:pPr>
              <w:spacing w:before="20" w:after="20"/>
            </w:pPr>
            <w:r>
              <w:rPr>
                <w:sz w:val="19"/>
                <w:szCs w:val="19"/>
              </w:rPr>
              <w:t xml:space="preserve">100 − 100 / (1 + ganancia promedio / pérdida promedio)</w:t>
            </w:r>
          </w:p>
        </w:tc>
        <w:tc>
          <w:tcPr>
            <w:tcW w:w="3840" w:type="dxa"/>
            <w:shd w:val="clear" w:color="auto" w:fill="EEF3FA"/>
            <w:tcMar>
              <w:top w:w="50" w:type="dxa"/>
              <w:bottom w:w="50" w:type="dxa"/>
            </w:tcMar>
          </w:tcPr>
          <w:p>
            <w:pPr>
              <w:spacing w:before="20" w:after="20"/>
            </w:pPr>
            <w:r>
              <w:rPr>
                <w:sz w:val="19"/>
                <w:szCs w:val="19"/>
              </w:rPr>
              <w:t xml:space="preserve">&gt; 70 sobrecompra; &lt; 30 sobreventa</w:t>
            </w:r>
          </w:p>
        </w:tc>
      </w:tr>
      <w:tr>
        <w:trPr>
          <w:cantSplit/>
        </w:trPr>
        <w:tc>
          <w:tcPr>
            <w:tcW w:w="2304" w:type="dxa"/>
            <w:tcMar>
              <w:top w:w="50" w:type="dxa"/>
              <w:bottom w:w="50" w:type="dxa"/>
            </w:tcMar>
          </w:tcPr>
          <w:p>
            <w:pPr>
              <w:spacing w:before="20" w:after="20"/>
            </w:pPr>
            <w:r>
              <w:rPr>
                <w:sz w:val="19"/>
                <w:szCs w:val="19"/>
              </w:rPr>
              <w:t xml:space="preserve">MACD</w:t>
            </w:r>
          </w:p>
        </w:tc>
        <w:tc>
          <w:tcPr>
            <w:tcW w:w="3456" w:type="dxa"/>
            <w:tcMar>
              <w:top w:w="50" w:type="dxa"/>
              <w:bottom w:w="50" w:type="dxa"/>
            </w:tcMar>
          </w:tcPr>
          <w:p>
            <w:pPr>
              <w:spacing w:before="20" w:after="20"/>
            </w:pPr>
            <w:r>
              <w:rPr>
                <w:sz w:val="19"/>
                <w:szCs w:val="19"/>
              </w:rPr>
              <w:t xml:space="preserve">EMA12 − EMA26, con una señal EMA9</w:t>
            </w:r>
          </w:p>
        </w:tc>
        <w:tc>
          <w:tcPr>
            <w:tcW w:w="3840" w:type="dxa"/>
            <w:tcMar>
              <w:top w:w="50" w:type="dxa"/>
              <w:bottom w:w="50" w:type="dxa"/>
            </w:tcMar>
          </w:tcPr>
          <w:p>
            <w:pPr>
              <w:spacing w:before="20" w:after="20"/>
            </w:pPr>
            <w:r>
              <w:rPr>
                <w:sz w:val="19"/>
                <w:szCs w:val="19"/>
              </w:rPr>
              <w:t xml:space="preserve">MACD cruza sobre su señal = impulso alcista</w:t>
            </w:r>
          </w:p>
        </w:tc>
      </w:tr>
      <w:tr>
        <w:trPr>
          <w:cantSplit/>
        </w:trPr>
        <w:tc>
          <w:tcPr>
            <w:tcW w:w="2304" w:type="dxa"/>
            <w:shd w:val="clear" w:color="auto" w:fill="EEF3FA"/>
            <w:tcMar>
              <w:top w:w="50" w:type="dxa"/>
              <w:bottom w:w="50" w:type="dxa"/>
            </w:tcMar>
          </w:tcPr>
          <w:p>
            <w:pPr>
              <w:spacing w:before="20" w:after="20"/>
            </w:pPr>
            <w:r>
              <w:rPr>
                <w:sz w:val="19"/>
                <w:szCs w:val="19"/>
              </w:rPr>
              <w:t xml:space="preserve">Bandas de Bollinger</w:t>
            </w:r>
          </w:p>
        </w:tc>
        <w:tc>
          <w:tcPr>
            <w:tcW w:w="3456" w:type="dxa"/>
            <w:shd w:val="clear" w:color="auto" w:fill="EEF3FA"/>
            <w:tcMar>
              <w:top w:w="50" w:type="dxa"/>
              <w:bottom w:w="50" w:type="dxa"/>
            </w:tcMar>
          </w:tcPr>
          <w:p>
            <w:pPr>
              <w:spacing w:before="20" w:after="20"/>
            </w:pPr>
            <w:r>
              <w:rPr>
                <w:sz w:val="19"/>
                <w:szCs w:val="19"/>
              </w:rPr>
              <w:t xml:space="preserve">SMA20 ± 2 desviaciones estándar</w:t>
            </w:r>
          </w:p>
        </w:tc>
        <w:tc>
          <w:tcPr>
            <w:tcW w:w="3840" w:type="dxa"/>
            <w:shd w:val="clear" w:color="auto" w:fill="EEF3FA"/>
            <w:tcMar>
              <w:top w:w="50" w:type="dxa"/>
              <w:bottom w:w="50" w:type="dxa"/>
            </w:tcMar>
          </w:tcPr>
          <w:p>
            <w:pPr>
              <w:spacing w:before="20" w:after="20"/>
            </w:pPr>
            <w:r>
              <w:rPr>
                <w:sz w:val="19"/>
                <w:szCs w:val="19"/>
              </w:rPr>
              <w:t xml:space="preserve">Precio fuera de las bandas = movimiento extremo; bandas angostas anticipan volatilidad</w:t>
            </w:r>
          </w:p>
        </w:tc>
      </w:tr>
      <w:tr>
        <w:trPr>
          <w:cantSplit/>
        </w:trPr>
        <w:tc>
          <w:tcPr>
            <w:tcW w:w="2304" w:type="dxa"/>
            <w:tcMar>
              <w:top w:w="50" w:type="dxa"/>
              <w:bottom w:w="50" w:type="dxa"/>
            </w:tcMar>
          </w:tcPr>
          <w:p>
            <w:pPr>
              <w:spacing w:before="20" w:after="20"/>
            </w:pPr>
            <w:r>
              <w:rPr>
                <w:sz w:val="19"/>
                <w:szCs w:val="19"/>
              </w:rPr>
              <w:t xml:space="preserve">Soportes y resistencias</w:t>
            </w:r>
          </w:p>
        </w:tc>
        <w:tc>
          <w:tcPr>
            <w:tcW w:w="3456" w:type="dxa"/>
            <w:tcMar>
              <w:top w:w="50" w:type="dxa"/>
              <w:bottom w:w="50" w:type="dxa"/>
            </w:tcMar>
          </w:tcPr>
          <w:p>
            <w:pPr>
              <w:spacing w:before="20" w:after="20"/>
            </w:pPr>
            <w:r>
              <w:rPr>
                <w:sz w:val="19"/>
                <w:szCs w:val="19"/>
              </w:rPr>
              <w:t xml:space="preserve">Niveles donde el precio rebotó antes</w:t>
            </w:r>
          </w:p>
        </w:tc>
        <w:tc>
          <w:tcPr>
            <w:tcW w:w="3840" w:type="dxa"/>
            <w:tcMar>
              <w:top w:w="50" w:type="dxa"/>
              <w:bottom w:w="50" w:type="dxa"/>
            </w:tcMar>
          </w:tcPr>
          <w:p>
            <w:pPr>
              <w:spacing w:before="20" w:after="20"/>
            </w:pPr>
            <w:r>
              <w:rPr>
                <w:sz w:val="19"/>
                <w:szCs w:val="19"/>
              </w:rPr>
              <w:t xml:space="preserve">Zonas para entrar, salir o poner stops</w:t>
            </w:r>
          </w:p>
        </w:tc>
      </w:tr>
      <w:tr>
        <w:trPr>
          <w:cantSplit/>
        </w:trPr>
        <w:tc>
          <w:tcPr>
            <w:tcW w:w="2304" w:type="dxa"/>
            <w:shd w:val="clear" w:color="auto" w:fill="EEF3FA"/>
            <w:tcMar>
              <w:top w:w="50" w:type="dxa"/>
              <w:bottom w:w="50" w:type="dxa"/>
            </w:tcMar>
          </w:tcPr>
          <w:p>
            <w:pPr>
              <w:spacing w:before="20" w:after="20"/>
            </w:pPr>
            <w:r>
              <w:rPr>
                <w:sz w:val="19"/>
                <w:szCs w:val="19"/>
              </w:rPr>
              <w:t xml:space="preserve">Volumen</w:t>
            </w:r>
          </w:p>
        </w:tc>
        <w:tc>
          <w:tcPr>
            <w:tcW w:w="3456" w:type="dxa"/>
            <w:shd w:val="clear" w:color="auto" w:fill="EEF3FA"/>
            <w:tcMar>
              <w:top w:w="50" w:type="dxa"/>
              <w:bottom w:w="50" w:type="dxa"/>
            </w:tcMar>
          </w:tcPr>
          <w:p>
            <w:pPr>
              <w:spacing w:before="20" w:after="20"/>
            </w:pPr>
            <w:r>
              <w:rPr>
                <w:sz w:val="19"/>
                <w:szCs w:val="19"/>
              </w:rPr>
              <w:t xml:space="preserve">Cantidad transada</w:t>
            </w:r>
          </w:p>
        </w:tc>
        <w:tc>
          <w:tcPr>
            <w:tcW w:w="3840" w:type="dxa"/>
            <w:shd w:val="clear" w:color="auto" w:fill="EEF3FA"/>
            <w:tcMar>
              <w:top w:w="50" w:type="dxa"/>
              <w:bottom w:w="50" w:type="dxa"/>
            </w:tcMar>
          </w:tcPr>
          <w:p>
            <w:pPr>
              <w:spacing w:before="20" w:after="20"/>
            </w:pPr>
            <w:r>
              <w:rPr>
                <w:sz w:val="19"/>
                <w:szCs w:val="19"/>
              </w:rPr>
              <w:t xml:space="preserve">Movimientos con volumen alto son más confiables</w:t>
            </w:r>
          </w:p>
        </w:tc>
      </w:tr>
    </w:tbl>
    <w:p>
      <w:pPr>
        <w:spacing w:after="60"/>
      </w:pPr>
    </w:p>
    <w:p>
      <w:pPr>
        <w:pStyle w:val="Heading2"/>
      </w:pPr>
      <w:bookmarkStart w:id="37" w:name="_h37"/>
      <w:r>
        <w:rPr/>
        <w:t xml:space="preserve">9.2 Momentum y reversión</w:t>
      </w:r>
      <w:bookmarkEnd w:id="37"/>
    </w:p>
    <w:p>
      <w:pPr>
        <w:pStyle w:val="ListParagraph"/>
        <w:numPr>
          <w:ilvl w:val="0"/>
          <w:numId w:val="1"/>
        </w:numPr>
        <w:spacing w:after="60"/>
      </w:pPr>
      <w:r>
        <w:rPr>
          <w:b/>
        </w:rPr>
        <w:t xml:space="preserve">Momentum (3–12 meses):</w:t>
      </w:r>
      <w:r>
        <w:rPr/>
        <w:t xml:space="preserve"> las acciones que más subieron en los últimos meses tienden a seguir subiendo en los meses siguientes (Jegadeesh y Titman, 1993). Para un concurso corto, favorece comprar líderes con tendencia y no "las que cayeron mucho".</w:t>
      </w:r>
    </w:p>
    <w:p>
      <w:pPr>
        <w:pStyle w:val="ListParagraph"/>
        <w:numPr>
          <w:ilvl w:val="0"/>
          <w:numId w:val="1"/>
        </w:numPr>
        <w:spacing w:after="60"/>
      </w:pPr>
      <w:r>
        <w:rPr>
          <w:b/>
        </w:rPr>
        <w:t xml:space="preserve">Reversión de corto plazo (1 semana – 1 mes):</w:t>
      </w:r>
      <w:r>
        <w:rPr/>
        <w:t xml:space="preserve"> los extremos de muy corto plazo tienden a corregirse parcialmente. Advierte contra comprar justo después de un alza explosiva sin noticia.</w:t>
      </w:r>
    </w:p>
    <w:p>
      <w:pPr>
        <w:pStyle w:val="ListParagraph"/>
        <w:numPr>
          <w:ilvl w:val="0"/>
          <w:numId w:val="1"/>
        </w:numPr>
        <w:spacing w:after="60"/>
      </w:pPr>
      <w:r>
        <w:rPr>
          <w:b/>
        </w:rPr>
        <w:t xml:space="preserve">Combinación práctica:</w:t>
      </w:r>
      <w:r>
        <w:rPr/>
        <w:t xml:space="preserve"> elegir acciones con tendencia de mediano plazo y entrar en retrocesos de corto plazo (por ejemplo, RSI que vuelve desde sobrecompra, precio que toca la SMA20).</w:t>
      </w:r>
    </w:p>
    <w:tbl>
      <w:tblPr>
        <w:tblW w:w="9600" w:type="dxa"/>
        <w:tblBorders>
          <w:left w:val="single" w:sz="36" w:space="0" w:color="548235"/>
        </w:tblBorders>
        <w:tblCellMar>
          <w:top w:w="100" w:type="dxa"/>
          <w:left w:w="160" w:type="dxa"/>
          <w:bottom w:w="80" w:type="dxa"/>
          <w:right w:w="160" w:type="dxa"/>
        </w:tblCellMar>
      </w:tblPr>
      <w:tblGrid>
        <w:gridCol w:w="9600"/>
      </w:tblGrid>
      <w:tr>
        <w:trPr>
          <w:cantSplit/>
        </w:trPr>
        <w:tc>
          <w:tcPr>
            <w:tcW w:w="9600" w:type="dxa"/>
            <w:shd w:val="clear" w:color="auto" w:fill="E2EFDA"/>
          </w:tcPr>
          <w:p>
            <w:pPr>
              <w:spacing w:after="40"/>
            </w:pPr>
            <w:r>
              <w:rPr>
                <w:b/>
                <w:color w:val="548235"/>
                <w:sz w:val="21"/>
                <w:szCs w:val="21"/>
              </w:rPr>
              <w:t xml:space="preserve">En el Excel</w:t>
            </w:r>
          </w:p>
          <w:p>
            <w:pPr>
              <w:spacing w:after="40"/>
            </w:pPr>
            <w:r>
              <w:rPr>
                <w:sz w:val="20"/>
                <w:szCs w:val="20"/>
              </w:rPr>
              <w:t xml:space="preserve">Hoja 7_Tecnico: elijan una acción en la lista desplegable y verán SMA20, SMA50, cruces, RSI(14) y bandas de Bollinger con gráficos.</w:t>
            </w:r>
          </w:p>
        </w:tc>
      </w:tr>
    </w:tbl>
    <w:p>
      <w:pPr>
        <w:spacing w:after="40"/>
      </w:pPr>
    </w:p>
    <w:tbl>
      <w:tblPr>
        <w:tblW w:w="9600" w:type="dxa"/>
        <w:tblBorders>
          <w:left w:val="single" w:sz="36" w:space="0" w:color="C00000"/>
        </w:tblBorders>
        <w:tblCellMar>
          <w:top w:w="100" w:type="dxa"/>
          <w:left w:w="160" w:type="dxa"/>
          <w:bottom w:w="80" w:type="dxa"/>
          <w:right w:w="160" w:type="dxa"/>
        </w:tblCellMar>
      </w:tblPr>
      <w:tblGrid>
        <w:gridCol w:w="9600"/>
      </w:tblGrid>
      <w:tr>
        <w:trPr>
          <w:cantSplit/>
        </w:trPr>
        <w:tc>
          <w:tcPr>
            <w:tcW w:w="9600" w:type="dxa"/>
            <w:shd w:val="clear" w:color="auto" w:fill="FCE4D6"/>
          </w:tcPr>
          <w:p>
            <w:pPr>
              <w:spacing w:after="40"/>
            </w:pPr>
            <w:r>
              <w:rPr>
                <w:b/>
                <w:color w:val="C00000"/>
                <w:sz w:val="21"/>
                <w:szCs w:val="21"/>
              </w:rPr>
              <w:t xml:space="preserve">Advertencia</w:t>
            </w:r>
          </w:p>
          <w:p>
            <w:pPr>
              <w:spacing w:after="40"/>
            </w:pPr>
            <w:r>
              <w:rPr>
                <w:sz w:val="20"/>
                <w:szCs w:val="20"/>
              </w:rPr>
              <w:t xml:space="preserve">El análisis técnico funciona mejor como </w:t>
            </w:r>
            <w:r>
              <w:rPr>
                <w:b/>
                <w:sz w:val="20"/>
                <w:szCs w:val="20"/>
              </w:rPr>
              <w:t xml:space="preserve">filtro de timing</w:t>
            </w:r>
            <w:r>
              <w:rPr>
                <w:sz w:val="20"/>
                <w:szCs w:val="20"/>
              </w:rPr>
              <w:t xml:space="preserve"> que como razón para comprar. Úsenlo para decidir cuándo entrar en una idea que ya tiene fundamento (catalizador, valoración, macro), no para operar todos los días: las comisiones se comen la ventaja.</w:t>
            </w:r>
          </w:p>
        </w:tc>
      </w:tr>
    </w:tbl>
    <w:p>
      <w:pPr>
        <w:spacing w:after="40"/>
      </w:pPr>
    </w:p>
    <w:p>
      <w:pPr>
        <w:pStyle w:val="Heading1"/>
      </w:pPr>
      <w:bookmarkStart w:id="38" w:name="_h38"/>
      <w:r>
        <w:rPr/>
        <w:t xml:space="preserve">10. Finanzas conductuales: el enemigo es uno mismo</w:t>
      </w:r>
      <w:bookmarkEnd w:id="38"/>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728"/>
        <w:gridCol w:w="2496"/>
        <w:gridCol w:w="2688"/>
        <w:gridCol w:w="2688"/>
      </w:tblGrid>
      <w:tr>
        <w:trPr>
          <w:tblHeader/>
        </w:trPr>
        <w:tc>
          <w:tcPr>
            <w:tcW w:w="1728" w:type="dxa"/>
            <w:shd w:val="clear" w:color="auto" w:fill="1F3864"/>
            <w:tcMar>
              <w:top w:w="50" w:type="dxa"/>
              <w:bottom w:w="50" w:type="dxa"/>
            </w:tcMar>
          </w:tcPr>
          <w:p>
            <w:pPr>
              <w:spacing w:before="20" w:after="20"/>
            </w:pPr>
            <w:r>
              <w:rPr>
                <w:b/>
                <w:color w:val="FFFFFF"/>
                <w:sz w:val="19"/>
                <w:szCs w:val="19"/>
              </w:rPr>
              <w:t xml:space="preserve">Sesgo</w:t>
            </w:r>
          </w:p>
        </w:tc>
        <w:tc>
          <w:tcPr>
            <w:tcW w:w="2496" w:type="dxa"/>
            <w:shd w:val="clear" w:color="auto" w:fill="1F3864"/>
            <w:tcMar>
              <w:top w:w="50" w:type="dxa"/>
              <w:bottom w:w="50" w:type="dxa"/>
            </w:tcMar>
          </w:tcPr>
          <w:p>
            <w:pPr>
              <w:spacing w:before="20" w:after="20"/>
            </w:pPr>
            <w:r>
              <w:rPr>
                <w:b/>
                <w:color w:val="FFFFFF"/>
                <w:sz w:val="19"/>
                <w:szCs w:val="19"/>
              </w:rPr>
              <w:t xml:space="preserve">Qué es</w:t>
            </w:r>
          </w:p>
        </w:tc>
        <w:tc>
          <w:tcPr>
            <w:tcW w:w="2688" w:type="dxa"/>
            <w:shd w:val="clear" w:color="auto" w:fill="1F3864"/>
            <w:tcMar>
              <w:top w:w="50" w:type="dxa"/>
              <w:bottom w:w="50" w:type="dxa"/>
            </w:tcMar>
          </w:tcPr>
          <w:p>
            <w:pPr>
              <w:spacing w:before="20" w:after="20"/>
            </w:pPr>
            <w:r>
              <w:rPr>
                <w:b/>
                <w:color w:val="FFFFFF"/>
                <w:sz w:val="19"/>
                <w:szCs w:val="19"/>
              </w:rPr>
              <w:t xml:space="preserve">Cómo se manifiesta en el CCI</w:t>
            </w:r>
          </w:p>
        </w:tc>
        <w:tc>
          <w:tcPr>
            <w:tcW w:w="2688" w:type="dxa"/>
            <w:shd w:val="clear" w:color="auto" w:fill="1F3864"/>
            <w:tcMar>
              <w:top w:w="50" w:type="dxa"/>
              <w:bottom w:w="50" w:type="dxa"/>
            </w:tcMar>
          </w:tcPr>
          <w:p>
            <w:pPr>
              <w:spacing w:before="20" w:after="20"/>
            </w:pPr>
            <w:r>
              <w:rPr>
                <w:b/>
                <w:color w:val="FFFFFF"/>
                <w:sz w:val="19"/>
                <w:szCs w:val="19"/>
              </w:rPr>
              <w:t xml:space="preserve">Antídoto</w:t>
            </w:r>
          </w:p>
        </w:tc>
      </w:tr>
      <w:tr>
        <w:trPr>
          <w:cantSplit/>
        </w:trPr>
        <w:tc>
          <w:tcPr>
            <w:tcW w:w="1728" w:type="dxa"/>
            <w:tcMar>
              <w:top w:w="50" w:type="dxa"/>
              <w:bottom w:w="50" w:type="dxa"/>
            </w:tcMar>
          </w:tcPr>
          <w:p>
            <w:pPr>
              <w:spacing w:before="20" w:after="20"/>
            </w:pPr>
            <w:r>
              <w:rPr>
                <w:sz w:val="19"/>
                <w:szCs w:val="19"/>
              </w:rPr>
              <w:t xml:space="preserve">Sobreconfianza</w:t>
            </w:r>
          </w:p>
        </w:tc>
        <w:tc>
          <w:tcPr>
            <w:tcW w:w="2496" w:type="dxa"/>
            <w:tcMar>
              <w:top w:w="50" w:type="dxa"/>
              <w:bottom w:w="50" w:type="dxa"/>
            </w:tcMar>
          </w:tcPr>
          <w:p>
            <w:pPr>
              <w:spacing w:before="20" w:after="20"/>
            </w:pPr>
            <w:r>
              <w:rPr>
                <w:sz w:val="19"/>
                <w:szCs w:val="19"/>
              </w:rPr>
              <w:t xml:space="preserve">Sobreestimar la propia capacidad</w:t>
            </w:r>
          </w:p>
        </w:tc>
        <w:tc>
          <w:tcPr>
            <w:tcW w:w="2688" w:type="dxa"/>
            <w:tcMar>
              <w:top w:w="50" w:type="dxa"/>
              <w:bottom w:w="50" w:type="dxa"/>
            </w:tcMar>
          </w:tcPr>
          <w:p>
            <w:pPr>
              <w:spacing w:before="20" w:after="20"/>
            </w:pPr>
            <w:r>
              <w:rPr>
                <w:sz w:val="19"/>
                <w:szCs w:val="19"/>
              </w:rPr>
              <w:t xml:space="preserve">Operar demasiado; concentrar sin tesis</w:t>
            </w:r>
          </w:p>
        </w:tc>
        <w:tc>
          <w:tcPr>
            <w:tcW w:w="2688" w:type="dxa"/>
            <w:tcMar>
              <w:top w:w="50" w:type="dxa"/>
              <w:bottom w:w="50" w:type="dxa"/>
            </w:tcMar>
          </w:tcPr>
          <w:p>
            <w:pPr>
              <w:spacing w:before="20" w:after="20"/>
            </w:pPr>
            <w:r>
              <w:rPr>
                <w:sz w:val="19"/>
                <w:szCs w:val="19"/>
              </w:rPr>
              <w:t xml:space="preserve">Escribir la tesis y medir aciertos</w:t>
            </w:r>
          </w:p>
        </w:tc>
      </w:tr>
      <w:tr>
        <w:trPr>
          <w:cantSplit/>
        </w:trPr>
        <w:tc>
          <w:tcPr>
            <w:tcW w:w="1728" w:type="dxa"/>
            <w:shd w:val="clear" w:color="auto" w:fill="EEF3FA"/>
            <w:tcMar>
              <w:top w:w="50" w:type="dxa"/>
              <w:bottom w:w="50" w:type="dxa"/>
            </w:tcMar>
          </w:tcPr>
          <w:p>
            <w:pPr>
              <w:spacing w:before="20" w:after="20"/>
            </w:pPr>
            <w:r>
              <w:rPr>
                <w:sz w:val="19"/>
                <w:szCs w:val="19"/>
              </w:rPr>
              <w:t xml:space="preserve">Efecto disposición</w:t>
            </w:r>
          </w:p>
        </w:tc>
        <w:tc>
          <w:tcPr>
            <w:tcW w:w="2496" w:type="dxa"/>
            <w:shd w:val="clear" w:color="auto" w:fill="EEF3FA"/>
            <w:tcMar>
              <w:top w:w="50" w:type="dxa"/>
              <w:bottom w:w="50" w:type="dxa"/>
            </w:tcMar>
          </w:tcPr>
          <w:p>
            <w:pPr>
              <w:spacing w:before="20" w:after="20"/>
            </w:pPr>
            <w:r>
              <w:rPr>
                <w:sz w:val="19"/>
                <w:szCs w:val="19"/>
              </w:rPr>
              <w:t xml:space="preserve">Vender rápido las ganadoras y mantener las perdedoras</w:t>
            </w:r>
          </w:p>
        </w:tc>
        <w:tc>
          <w:tcPr>
            <w:tcW w:w="2688" w:type="dxa"/>
            <w:shd w:val="clear" w:color="auto" w:fill="EEF3FA"/>
            <w:tcMar>
              <w:top w:w="50" w:type="dxa"/>
              <w:bottom w:w="50" w:type="dxa"/>
            </w:tcMar>
          </w:tcPr>
          <w:p>
            <w:pPr>
              <w:spacing w:before="20" w:after="20"/>
            </w:pPr>
            <w:r>
              <w:rPr>
                <w:sz w:val="19"/>
                <w:szCs w:val="19"/>
              </w:rPr>
              <w:t xml:space="preserve">Cortar ganancias, dejar correr pérdidas</w:t>
            </w:r>
          </w:p>
        </w:tc>
        <w:tc>
          <w:tcPr>
            <w:tcW w:w="2688" w:type="dxa"/>
            <w:shd w:val="clear" w:color="auto" w:fill="EEF3FA"/>
            <w:tcMar>
              <w:top w:w="50" w:type="dxa"/>
              <w:bottom w:w="50" w:type="dxa"/>
            </w:tcMar>
          </w:tcPr>
          <w:p>
            <w:pPr>
              <w:spacing w:before="20" w:after="20"/>
            </w:pPr>
            <w:r>
              <w:rPr>
                <w:sz w:val="19"/>
                <w:szCs w:val="19"/>
              </w:rPr>
              <w:t xml:space="preserve">Reglas de salida definidas antes de entrar</w:t>
            </w:r>
          </w:p>
        </w:tc>
      </w:tr>
      <w:tr>
        <w:trPr>
          <w:cantSplit/>
        </w:trPr>
        <w:tc>
          <w:tcPr>
            <w:tcW w:w="1728" w:type="dxa"/>
            <w:tcMar>
              <w:top w:w="50" w:type="dxa"/>
              <w:bottom w:w="50" w:type="dxa"/>
            </w:tcMar>
          </w:tcPr>
          <w:p>
            <w:pPr>
              <w:spacing w:before="20" w:after="20"/>
            </w:pPr>
            <w:r>
              <w:rPr>
                <w:sz w:val="19"/>
                <w:szCs w:val="19"/>
              </w:rPr>
              <w:t xml:space="preserve">Aversión a pérdidas</w:t>
            </w:r>
          </w:p>
        </w:tc>
        <w:tc>
          <w:tcPr>
            <w:tcW w:w="2496" w:type="dxa"/>
            <w:tcMar>
              <w:top w:w="50" w:type="dxa"/>
              <w:bottom w:w="50" w:type="dxa"/>
            </w:tcMar>
          </w:tcPr>
          <w:p>
            <w:pPr>
              <w:spacing w:before="20" w:after="20"/>
            </w:pPr>
            <w:r>
              <w:rPr>
                <w:sz w:val="19"/>
                <w:szCs w:val="19"/>
              </w:rPr>
              <w:t xml:space="preserve">Las pérdidas duelen ~2 veces más que las ganancias equivalentes</w:t>
            </w:r>
          </w:p>
        </w:tc>
        <w:tc>
          <w:tcPr>
            <w:tcW w:w="2688" w:type="dxa"/>
            <w:tcMar>
              <w:top w:w="50" w:type="dxa"/>
              <w:bottom w:w="50" w:type="dxa"/>
            </w:tcMar>
          </w:tcPr>
          <w:p>
            <w:pPr>
              <w:spacing w:before="20" w:after="20"/>
            </w:pPr>
            <w:r>
              <w:rPr>
                <w:sz w:val="19"/>
                <w:szCs w:val="19"/>
              </w:rPr>
              <w:t xml:space="preserve">No vender una posición mala "hasta recuperar"</w:t>
            </w:r>
          </w:p>
        </w:tc>
        <w:tc>
          <w:tcPr>
            <w:tcW w:w="2688" w:type="dxa"/>
            <w:tcMar>
              <w:top w:w="50" w:type="dxa"/>
              <w:bottom w:w="50" w:type="dxa"/>
            </w:tcMar>
          </w:tcPr>
          <w:p>
            <w:pPr>
              <w:spacing w:before="20" w:after="20"/>
            </w:pPr>
            <w:r>
              <w:rPr>
                <w:sz w:val="19"/>
                <w:szCs w:val="19"/>
              </w:rPr>
              <w:t xml:space="preserve">Preguntarse: ¿la compraría hoy?</w:t>
            </w:r>
          </w:p>
        </w:tc>
      </w:tr>
      <w:tr>
        <w:trPr>
          <w:cantSplit/>
        </w:trPr>
        <w:tc>
          <w:tcPr>
            <w:tcW w:w="1728" w:type="dxa"/>
            <w:shd w:val="clear" w:color="auto" w:fill="EEF3FA"/>
            <w:tcMar>
              <w:top w:w="50" w:type="dxa"/>
              <w:bottom w:w="50" w:type="dxa"/>
            </w:tcMar>
          </w:tcPr>
          <w:p>
            <w:pPr>
              <w:spacing w:before="20" w:after="20"/>
            </w:pPr>
            <w:r>
              <w:rPr>
                <w:sz w:val="19"/>
                <w:szCs w:val="19"/>
              </w:rPr>
              <w:t xml:space="preserve">Anclaje</w:t>
            </w:r>
          </w:p>
        </w:tc>
        <w:tc>
          <w:tcPr>
            <w:tcW w:w="2496" w:type="dxa"/>
            <w:shd w:val="clear" w:color="auto" w:fill="EEF3FA"/>
            <w:tcMar>
              <w:top w:w="50" w:type="dxa"/>
              <w:bottom w:w="50" w:type="dxa"/>
            </w:tcMar>
          </w:tcPr>
          <w:p>
            <w:pPr>
              <w:spacing w:before="20" w:after="20"/>
            </w:pPr>
            <w:r>
              <w:rPr>
                <w:sz w:val="19"/>
                <w:szCs w:val="19"/>
              </w:rPr>
              <w:t xml:space="preserve">Fijarse en un precio de referencia</w:t>
            </w:r>
          </w:p>
        </w:tc>
        <w:tc>
          <w:tcPr>
            <w:tcW w:w="2688" w:type="dxa"/>
            <w:shd w:val="clear" w:color="auto" w:fill="EEF3FA"/>
            <w:tcMar>
              <w:top w:w="50" w:type="dxa"/>
              <w:bottom w:w="50" w:type="dxa"/>
            </w:tcMar>
          </w:tcPr>
          <w:p>
            <w:pPr>
              <w:spacing w:before="20" w:after="20"/>
            </w:pPr>
            <w:r>
              <w:rPr>
                <w:sz w:val="19"/>
                <w:szCs w:val="19"/>
              </w:rPr>
              <w:t xml:space="preserve">"Estaba a $X, debe volver"</w:t>
            </w:r>
          </w:p>
        </w:tc>
        <w:tc>
          <w:tcPr>
            <w:tcW w:w="2688" w:type="dxa"/>
            <w:shd w:val="clear" w:color="auto" w:fill="EEF3FA"/>
            <w:tcMar>
              <w:top w:w="50" w:type="dxa"/>
              <w:bottom w:w="50" w:type="dxa"/>
            </w:tcMar>
          </w:tcPr>
          <w:p>
            <w:pPr>
              <w:spacing w:before="20" w:after="20"/>
            </w:pPr>
            <w:r>
              <w:rPr>
                <w:sz w:val="19"/>
                <w:szCs w:val="19"/>
              </w:rPr>
              <w:t xml:space="preserve">Analizar la información nueva, no el precio pasado</w:t>
            </w:r>
          </w:p>
        </w:tc>
      </w:tr>
      <w:tr>
        <w:trPr>
          <w:cantSplit/>
        </w:trPr>
        <w:tc>
          <w:tcPr>
            <w:tcW w:w="1728" w:type="dxa"/>
            <w:tcMar>
              <w:top w:w="50" w:type="dxa"/>
              <w:bottom w:w="50" w:type="dxa"/>
            </w:tcMar>
          </w:tcPr>
          <w:p>
            <w:pPr>
              <w:spacing w:before="20" w:after="20"/>
            </w:pPr>
            <w:r>
              <w:rPr>
                <w:sz w:val="19"/>
                <w:szCs w:val="19"/>
              </w:rPr>
              <w:t xml:space="preserve">Efecto manada / FOMO</w:t>
            </w:r>
          </w:p>
        </w:tc>
        <w:tc>
          <w:tcPr>
            <w:tcW w:w="2496" w:type="dxa"/>
            <w:tcMar>
              <w:top w:w="50" w:type="dxa"/>
              <w:bottom w:w="50" w:type="dxa"/>
            </w:tcMar>
          </w:tcPr>
          <w:p>
            <w:pPr>
              <w:spacing w:before="20" w:after="20"/>
            </w:pPr>
            <w:r>
              <w:rPr>
                <w:sz w:val="19"/>
                <w:szCs w:val="19"/>
              </w:rPr>
              <w:t xml:space="preserve">Seguir a la multitud por miedo a quedarse fuera</w:t>
            </w:r>
          </w:p>
        </w:tc>
        <w:tc>
          <w:tcPr>
            <w:tcW w:w="2688" w:type="dxa"/>
            <w:tcMar>
              <w:top w:w="50" w:type="dxa"/>
              <w:bottom w:w="50" w:type="dxa"/>
            </w:tcMar>
          </w:tcPr>
          <w:p>
            <w:pPr>
              <w:spacing w:before="20" w:after="20"/>
            </w:pPr>
            <w:r>
              <w:rPr>
                <w:sz w:val="19"/>
                <w:szCs w:val="19"/>
              </w:rPr>
              <w:t xml:space="preserve">Comprar lo que todos comentan tras una gran alza</w:t>
            </w:r>
          </w:p>
        </w:tc>
        <w:tc>
          <w:tcPr>
            <w:tcW w:w="2688" w:type="dxa"/>
            <w:tcMar>
              <w:top w:w="50" w:type="dxa"/>
              <w:bottom w:w="50" w:type="dxa"/>
            </w:tcMar>
          </w:tcPr>
          <w:p>
            <w:pPr>
              <w:spacing w:before="20" w:after="20"/>
            </w:pPr>
            <w:r>
              <w:rPr>
                <w:sz w:val="19"/>
                <w:szCs w:val="19"/>
              </w:rPr>
              <w:t xml:space="preserve">Checklist antes de cada operación</w:t>
            </w:r>
          </w:p>
        </w:tc>
      </w:tr>
      <w:tr>
        <w:trPr>
          <w:cantSplit/>
        </w:trPr>
        <w:tc>
          <w:tcPr>
            <w:tcW w:w="1728" w:type="dxa"/>
            <w:shd w:val="clear" w:color="auto" w:fill="EEF3FA"/>
            <w:tcMar>
              <w:top w:w="50" w:type="dxa"/>
              <w:bottom w:w="50" w:type="dxa"/>
            </w:tcMar>
          </w:tcPr>
          <w:p>
            <w:pPr>
              <w:spacing w:before="20" w:after="20"/>
            </w:pPr>
            <w:r>
              <w:rPr>
                <w:sz w:val="19"/>
                <w:szCs w:val="19"/>
              </w:rPr>
              <w:t xml:space="preserve">Sesgo de confirmación</w:t>
            </w:r>
          </w:p>
        </w:tc>
        <w:tc>
          <w:tcPr>
            <w:tcW w:w="2496" w:type="dxa"/>
            <w:shd w:val="clear" w:color="auto" w:fill="EEF3FA"/>
            <w:tcMar>
              <w:top w:w="50" w:type="dxa"/>
              <w:bottom w:w="50" w:type="dxa"/>
            </w:tcMar>
          </w:tcPr>
          <w:p>
            <w:pPr>
              <w:spacing w:before="20" w:after="20"/>
            </w:pPr>
            <w:r>
              <w:rPr>
                <w:sz w:val="19"/>
                <w:szCs w:val="19"/>
              </w:rPr>
              <w:t xml:space="preserve">Buscar solo información que confirma lo que pienso</w:t>
            </w:r>
          </w:p>
        </w:tc>
        <w:tc>
          <w:tcPr>
            <w:tcW w:w="2688" w:type="dxa"/>
            <w:shd w:val="clear" w:color="auto" w:fill="EEF3FA"/>
            <w:tcMar>
              <w:top w:w="50" w:type="dxa"/>
              <w:bottom w:w="50" w:type="dxa"/>
            </w:tcMar>
          </w:tcPr>
          <w:p>
            <w:pPr>
              <w:spacing w:before="20" w:after="20"/>
            </w:pPr>
            <w:r>
              <w:rPr>
                <w:sz w:val="19"/>
                <w:szCs w:val="19"/>
              </w:rPr>
              <w:t xml:space="preserve">Ignorar señales contrarias</w:t>
            </w:r>
          </w:p>
        </w:tc>
        <w:tc>
          <w:tcPr>
            <w:tcW w:w="2688" w:type="dxa"/>
            <w:shd w:val="clear" w:color="auto" w:fill="EEF3FA"/>
            <w:tcMar>
              <w:top w:w="50" w:type="dxa"/>
              <w:bottom w:w="50" w:type="dxa"/>
            </w:tcMar>
          </w:tcPr>
          <w:p>
            <w:pPr>
              <w:spacing w:before="20" w:after="20"/>
            </w:pPr>
            <w:r>
              <w:rPr>
                <w:sz w:val="19"/>
                <w:szCs w:val="19"/>
              </w:rPr>
              <w:t xml:space="preserve">Rol de "abogado del diablo" en el equipo</w:t>
            </w:r>
          </w:p>
        </w:tc>
      </w:tr>
      <w:tr>
        <w:trPr>
          <w:cantSplit/>
        </w:trPr>
        <w:tc>
          <w:tcPr>
            <w:tcW w:w="1728" w:type="dxa"/>
            <w:tcMar>
              <w:top w:w="50" w:type="dxa"/>
              <w:bottom w:w="50" w:type="dxa"/>
            </w:tcMar>
          </w:tcPr>
          <w:p>
            <w:pPr>
              <w:spacing w:before="20" w:after="20"/>
            </w:pPr>
            <w:r>
              <w:rPr>
                <w:sz w:val="19"/>
                <w:szCs w:val="19"/>
              </w:rPr>
              <w:t xml:space="preserve">Falacia del jugador</w:t>
            </w:r>
          </w:p>
        </w:tc>
        <w:tc>
          <w:tcPr>
            <w:tcW w:w="2496" w:type="dxa"/>
            <w:tcMar>
              <w:top w:w="50" w:type="dxa"/>
              <w:bottom w:w="50" w:type="dxa"/>
            </w:tcMar>
          </w:tcPr>
          <w:p>
            <w:pPr>
              <w:spacing w:before="20" w:after="20"/>
            </w:pPr>
            <w:r>
              <w:rPr>
                <w:sz w:val="19"/>
                <w:szCs w:val="19"/>
              </w:rPr>
              <w:t xml:space="preserve">Creer que tras varias caídas "toca" un alza</w:t>
            </w:r>
          </w:p>
        </w:tc>
        <w:tc>
          <w:tcPr>
            <w:tcW w:w="2688" w:type="dxa"/>
            <w:tcMar>
              <w:top w:w="50" w:type="dxa"/>
              <w:bottom w:w="50" w:type="dxa"/>
            </w:tcMar>
          </w:tcPr>
          <w:p>
            <w:pPr>
              <w:spacing w:before="20" w:after="20"/>
            </w:pPr>
            <w:r>
              <w:rPr>
                <w:sz w:val="19"/>
                <w:szCs w:val="19"/>
              </w:rPr>
              <w:t xml:space="preserve">Comprar más de una perdedora sin razón</w:t>
            </w:r>
          </w:p>
        </w:tc>
        <w:tc>
          <w:tcPr>
            <w:tcW w:w="2688" w:type="dxa"/>
            <w:tcMar>
              <w:top w:w="50" w:type="dxa"/>
              <w:bottom w:w="50" w:type="dxa"/>
            </w:tcMar>
          </w:tcPr>
          <w:p>
            <w:pPr>
              <w:spacing w:before="20" w:after="20"/>
            </w:pPr>
            <w:r>
              <w:rPr>
                <w:sz w:val="19"/>
                <w:szCs w:val="19"/>
              </w:rPr>
              <w:t xml:space="preserve">Cada día es independiente salvo que haya un motivo</w:t>
            </w:r>
          </w:p>
        </w:tc>
      </w:tr>
      <w:tr>
        <w:trPr>
          <w:cantSplit/>
        </w:trPr>
        <w:tc>
          <w:tcPr>
            <w:tcW w:w="1728" w:type="dxa"/>
            <w:shd w:val="clear" w:color="auto" w:fill="EEF3FA"/>
            <w:tcMar>
              <w:top w:w="50" w:type="dxa"/>
              <w:bottom w:w="50" w:type="dxa"/>
            </w:tcMar>
          </w:tcPr>
          <w:p>
            <w:pPr>
              <w:spacing w:before="20" w:after="20"/>
            </w:pPr>
            <w:r>
              <w:rPr>
                <w:sz w:val="19"/>
                <w:szCs w:val="19"/>
              </w:rPr>
              <w:t xml:space="preserve">Recuperar pérdidas a toda costa</w:t>
            </w:r>
          </w:p>
        </w:tc>
        <w:tc>
          <w:tcPr>
            <w:tcW w:w="2496" w:type="dxa"/>
            <w:shd w:val="clear" w:color="auto" w:fill="EEF3FA"/>
            <w:tcMar>
              <w:top w:w="50" w:type="dxa"/>
              <w:bottom w:w="50" w:type="dxa"/>
            </w:tcMar>
          </w:tcPr>
          <w:p>
            <w:pPr>
              <w:spacing w:before="20" w:after="20"/>
            </w:pPr>
            <w:r>
              <w:rPr>
                <w:sz w:val="19"/>
                <w:szCs w:val="19"/>
              </w:rPr>
              <w:t xml:space="preserve">Subir el riesgo de forma desordenada tras perder</w:t>
            </w:r>
          </w:p>
        </w:tc>
        <w:tc>
          <w:tcPr>
            <w:tcW w:w="2688" w:type="dxa"/>
            <w:shd w:val="clear" w:color="auto" w:fill="EEF3FA"/>
            <w:tcMar>
              <w:top w:w="50" w:type="dxa"/>
              <w:bottom w:w="50" w:type="dxa"/>
            </w:tcMar>
          </w:tcPr>
          <w:p>
            <w:pPr>
              <w:spacing w:before="20" w:after="20"/>
            </w:pPr>
            <w:r>
              <w:rPr>
                <w:sz w:val="19"/>
                <w:szCs w:val="19"/>
              </w:rPr>
              <w:t xml:space="preserve">Apuestas impulsivas en la última semana</w:t>
            </w:r>
          </w:p>
        </w:tc>
        <w:tc>
          <w:tcPr>
            <w:tcW w:w="2688" w:type="dxa"/>
            <w:shd w:val="clear" w:color="auto" w:fill="EEF3FA"/>
            <w:tcMar>
              <w:top w:w="50" w:type="dxa"/>
              <w:bottom w:w="50" w:type="dxa"/>
            </w:tcMar>
          </w:tcPr>
          <w:p>
            <w:pPr>
              <w:spacing w:before="20" w:after="20"/>
            </w:pPr>
            <w:r>
              <w:rPr>
                <w:sz w:val="19"/>
                <w:szCs w:val="19"/>
              </w:rPr>
              <w:t xml:space="preserve">Plan de riesgo según el ranking, decidido con anticipación</w:t>
            </w:r>
          </w:p>
        </w:tc>
      </w:tr>
    </w:tbl>
    <w:p>
      <w:pPr>
        <w:spacing w:after="60"/>
      </w:pPr>
    </w:p>
    <w:p>
      <w:pPr/>
      <w:r>
        <w:rPr/>
        <w:t xml:space="preserve">Kahneman y Tversky (1979) formalizaron la aversión a pérdidas en la </w:t>
      </w:r>
      <w:r>
        <w:rPr>
          <w:b/>
        </w:rPr>
        <w:t xml:space="preserve">teoría prospectiva</w:t>
      </w:r>
      <w:r>
        <w:rPr/>
        <w:t xml:space="preserve">; Shefrin y Statman (1985) describieron el efecto disposición; Barber y Odean (2000) mostraron que los inversionistas individuales que más operan obtienen menores retornos netos. El mejor antídoto es un </w:t>
      </w:r>
      <w:r>
        <w:rPr>
          <w:b/>
        </w:rPr>
        <w:t xml:space="preserve">diario de decisiones</w:t>
      </w:r>
      <w:r>
        <w:rPr/>
        <w:t xml:space="preserve"> (hoja 9_Simulador_CCI) con la tesis escrita antes de operar.</w:t>
      </w:r>
    </w:p>
    <w:p>
      <w:pPr>
        <w:pStyle w:val="Heading1"/>
      </w:pPr>
      <w:bookmarkStart w:id="39" w:name="_h39"/>
      <w:r>
        <w:rPr/>
        <w:t xml:space="preserve">11. Diseñar la estrategia para el concurso</w:t>
      </w:r>
      <w:bookmarkEnd w:id="39"/>
    </w:p>
    <w:p>
      <w:pPr>
        <w:spacing w:after="60"/>
        <w:jc w:val="center"/>
      </w:pPr>
      <w:r>
        <w:drawing>
          <wp:inline distT="0" distB="0" distL="0" distR="0">
            <wp:extent cx="5940000" cy="2236235"/>
            <wp:docPr id="4" name="Imagen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40000" cy="2236235"/>
                    </a:xfrm>
                    <a:prstGeom prst="rect">
                      <a:avLst/>
                    </a:prstGeom>
                  </pic:spPr>
                </pic:pic>
              </a:graphicData>
            </a:graphic>
          </wp:inline>
        </w:drawing>
      </w:r>
    </w:p>
    <w:p>
      <w:pPr>
        <w:jc w:val="center"/>
      </w:pPr>
      <w:r>
        <w:rPr>
          <w:i/>
          <w:color w:val="595959"/>
          <w:sz w:val="18"/>
          <w:szCs w:val="18"/>
        </w:rPr>
        <w:t xml:space="preserve">Figura 11.1 – Proceso de construcción y gestión de la cartera.</w:t>
      </w:r>
    </w:p>
    <w:p>
      <w:pPr>
        <w:pStyle w:val="Heading2"/>
      </w:pPr>
      <w:bookmarkStart w:id="40" w:name="_h40"/>
      <w:r>
        <w:rPr/>
        <w:t xml:space="preserve">11.1 Tres arquetipos de estrategia</w:t>
      </w:r>
      <w:bookmarkEnd w:id="40"/>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811"/>
        <w:gridCol w:w="2354"/>
        <w:gridCol w:w="2083"/>
        <w:gridCol w:w="2083"/>
        <w:gridCol w:w="1267"/>
      </w:tblGrid>
      <w:tr>
        <w:trPr>
          <w:tblHeader/>
        </w:trPr>
        <w:tc>
          <w:tcPr>
            <w:tcW w:w="1811" w:type="dxa"/>
            <w:shd w:val="clear" w:color="auto" w:fill="1F3864"/>
            <w:tcMar>
              <w:top w:w="50" w:type="dxa"/>
              <w:bottom w:w="50" w:type="dxa"/>
            </w:tcMar>
          </w:tcPr>
          <w:p>
            <w:pPr>
              <w:spacing w:before="20" w:after="20"/>
            </w:pPr>
            <w:r>
              <w:rPr>
                <w:b/>
                <w:color w:val="FFFFFF"/>
                <w:sz w:val="19"/>
                <w:szCs w:val="19"/>
              </w:rPr>
              <w:t xml:space="preserve">Estrategia</w:t>
            </w:r>
          </w:p>
        </w:tc>
        <w:tc>
          <w:tcPr>
            <w:tcW w:w="2354" w:type="dxa"/>
            <w:shd w:val="clear" w:color="auto" w:fill="1F3864"/>
            <w:tcMar>
              <w:top w:w="50" w:type="dxa"/>
              <w:bottom w:w="50" w:type="dxa"/>
            </w:tcMar>
          </w:tcPr>
          <w:p>
            <w:pPr>
              <w:spacing w:before="20" w:after="20"/>
            </w:pPr>
            <w:r>
              <w:rPr>
                <w:b/>
                <w:color w:val="FFFFFF"/>
                <w:sz w:val="19"/>
                <w:szCs w:val="19"/>
              </w:rPr>
              <w:t xml:space="preserve">Cómo es</w:t>
            </w:r>
          </w:p>
        </w:tc>
        <w:tc>
          <w:tcPr>
            <w:tcW w:w="2083" w:type="dxa"/>
            <w:shd w:val="clear" w:color="auto" w:fill="1F3864"/>
            <w:tcMar>
              <w:top w:w="50" w:type="dxa"/>
              <w:bottom w:w="50" w:type="dxa"/>
            </w:tcMar>
          </w:tcPr>
          <w:p>
            <w:pPr>
              <w:spacing w:before="20" w:after="20"/>
            </w:pPr>
            <w:r>
              <w:rPr>
                <w:b/>
                <w:color w:val="FFFFFF"/>
                <w:sz w:val="19"/>
                <w:szCs w:val="19"/>
              </w:rPr>
              <w:t xml:space="preserve">Ventaja</w:t>
            </w:r>
          </w:p>
        </w:tc>
        <w:tc>
          <w:tcPr>
            <w:tcW w:w="2083" w:type="dxa"/>
            <w:shd w:val="clear" w:color="auto" w:fill="1F3864"/>
            <w:tcMar>
              <w:top w:w="50" w:type="dxa"/>
              <w:bottom w:w="50" w:type="dxa"/>
            </w:tcMar>
          </w:tcPr>
          <w:p>
            <w:pPr>
              <w:spacing w:before="20" w:after="20"/>
            </w:pPr>
            <w:r>
              <w:rPr>
                <w:b/>
                <w:color w:val="FFFFFF"/>
                <w:sz w:val="19"/>
                <w:szCs w:val="19"/>
              </w:rPr>
              <w:t xml:space="preserve">Desventaja</w:t>
            </w:r>
          </w:p>
        </w:tc>
        <w:tc>
          <w:tcPr>
            <w:tcW w:w="1267" w:type="dxa"/>
            <w:shd w:val="clear" w:color="auto" w:fill="1F3864"/>
            <w:tcMar>
              <w:top w:w="50" w:type="dxa"/>
              <w:bottom w:w="50" w:type="dxa"/>
            </w:tcMar>
          </w:tcPr>
          <w:p>
            <w:pPr>
              <w:spacing w:before="20" w:after="20"/>
            </w:pPr>
            <w:r>
              <w:rPr>
                <w:b/>
                <w:color w:val="FFFFFF"/>
                <w:sz w:val="19"/>
                <w:szCs w:val="19"/>
              </w:rPr>
              <w:t xml:space="preserve">Probabilidad de ganar</w:t>
            </w:r>
          </w:p>
        </w:tc>
      </w:tr>
      <w:tr>
        <w:trPr>
          <w:cantSplit/>
        </w:trPr>
        <w:tc>
          <w:tcPr>
            <w:tcW w:w="1811" w:type="dxa"/>
            <w:tcMar>
              <w:top w:w="50" w:type="dxa"/>
              <w:bottom w:w="50" w:type="dxa"/>
            </w:tcMar>
          </w:tcPr>
          <w:p>
            <w:pPr>
              <w:spacing w:before="20" w:after="20"/>
            </w:pPr>
            <w:r>
              <w:rPr>
                <w:sz w:val="19"/>
                <w:szCs w:val="19"/>
              </w:rPr>
              <w:t xml:space="preserve">A. Indexada / defensiva</w:t>
            </w:r>
          </w:p>
        </w:tc>
        <w:tc>
          <w:tcPr>
            <w:tcW w:w="2354" w:type="dxa"/>
            <w:tcMar>
              <w:top w:w="50" w:type="dxa"/>
              <w:bottom w:w="50" w:type="dxa"/>
            </w:tcMar>
          </w:tcPr>
          <w:p>
            <w:pPr>
              <w:spacing w:before="20" w:after="20"/>
            </w:pPr>
            <w:r>
              <w:rPr>
                <w:sz w:val="19"/>
                <w:szCs w:val="19"/>
              </w:rPr>
              <w:t xml:space="preserve">10+ acciones, pesos parecidos al IPSA</w:t>
            </w:r>
          </w:p>
        </w:tc>
        <w:tc>
          <w:tcPr>
            <w:tcW w:w="2083" w:type="dxa"/>
            <w:tcMar>
              <w:top w:w="50" w:type="dxa"/>
              <w:bottom w:w="50" w:type="dxa"/>
            </w:tcMar>
          </w:tcPr>
          <w:p>
            <w:pPr>
              <w:spacing w:before="20" w:after="20"/>
            </w:pPr>
            <w:r>
              <w:rPr>
                <w:sz w:val="19"/>
                <w:szCs w:val="19"/>
              </w:rPr>
              <w:t xml:space="preserve">Bajo riesgo, resultado parecido al índice</w:t>
            </w:r>
          </w:p>
        </w:tc>
        <w:tc>
          <w:tcPr>
            <w:tcW w:w="2083" w:type="dxa"/>
            <w:tcMar>
              <w:top w:w="50" w:type="dxa"/>
              <w:bottom w:w="50" w:type="dxa"/>
            </w:tcMar>
          </w:tcPr>
          <w:p>
            <w:pPr>
              <w:spacing w:before="20" w:after="20"/>
            </w:pPr>
            <w:r>
              <w:rPr>
                <w:sz w:val="19"/>
                <w:szCs w:val="19"/>
              </w:rPr>
              <w:t xml:space="preserve">Imposible destacar entre miles</w:t>
            </w:r>
          </w:p>
        </w:tc>
        <w:tc>
          <w:tcPr>
            <w:tcW w:w="1267" w:type="dxa"/>
            <w:tcMar>
              <w:top w:w="50" w:type="dxa"/>
              <w:bottom w:w="50" w:type="dxa"/>
            </w:tcMar>
          </w:tcPr>
          <w:p>
            <w:pPr>
              <w:spacing w:before="20" w:after="20"/>
            </w:pPr>
            <w:r>
              <w:rPr>
                <w:sz w:val="19"/>
                <w:szCs w:val="19"/>
              </w:rPr>
              <w:t xml:space="preserve">Muy baja</w:t>
            </w:r>
          </w:p>
        </w:tc>
      </w:tr>
      <w:tr>
        <w:trPr>
          <w:cantSplit/>
        </w:trPr>
        <w:tc>
          <w:tcPr>
            <w:tcW w:w="1811" w:type="dxa"/>
            <w:shd w:val="clear" w:color="auto" w:fill="EEF3FA"/>
            <w:tcMar>
              <w:top w:w="50" w:type="dxa"/>
              <w:bottom w:w="50" w:type="dxa"/>
            </w:tcMar>
          </w:tcPr>
          <w:p>
            <w:pPr>
              <w:spacing w:before="20" w:after="20"/>
            </w:pPr>
            <w:r>
              <w:rPr>
                <w:sz w:val="19"/>
                <w:szCs w:val="19"/>
              </w:rPr>
              <w:t xml:space="preserve">B. Core–satélite</w:t>
            </w:r>
          </w:p>
        </w:tc>
        <w:tc>
          <w:tcPr>
            <w:tcW w:w="2354" w:type="dxa"/>
            <w:shd w:val="clear" w:color="auto" w:fill="EEF3FA"/>
            <w:tcMar>
              <w:top w:w="50" w:type="dxa"/>
              <w:bottom w:w="50" w:type="dxa"/>
            </w:tcMar>
          </w:tcPr>
          <w:p>
            <w:pPr>
              <w:spacing w:before="20" w:after="20"/>
            </w:pPr>
            <w:r>
              <w:rPr>
                <w:sz w:val="19"/>
                <w:szCs w:val="19"/>
              </w:rPr>
              <w:t xml:space="preserve">Núcleo 50–70% diversificado + 2–4 apuestas de alta convicción</w:t>
            </w:r>
          </w:p>
        </w:tc>
        <w:tc>
          <w:tcPr>
            <w:tcW w:w="2083" w:type="dxa"/>
            <w:shd w:val="clear" w:color="auto" w:fill="EEF3FA"/>
            <w:tcMar>
              <w:top w:w="50" w:type="dxa"/>
              <w:bottom w:w="50" w:type="dxa"/>
            </w:tcMar>
          </w:tcPr>
          <w:p>
            <w:pPr>
              <w:spacing w:before="20" w:after="20"/>
            </w:pPr>
            <w:r>
              <w:rPr>
                <w:sz w:val="19"/>
                <w:szCs w:val="19"/>
              </w:rPr>
              <w:t xml:space="preserve">Equilibrio entre aprender, controlar riesgo y tener opción de ganar</w:t>
            </w:r>
          </w:p>
        </w:tc>
        <w:tc>
          <w:tcPr>
            <w:tcW w:w="2083" w:type="dxa"/>
            <w:shd w:val="clear" w:color="auto" w:fill="EEF3FA"/>
            <w:tcMar>
              <w:top w:w="50" w:type="dxa"/>
              <w:bottom w:w="50" w:type="dxa"/>
            </w:tcMar>
          </w:tcPr>
          <w:p>
            <w:pPr>
              <w:spacing w:before="20" w:after="20"/>
            </w:pPr>
            <w:r>
              <w:rPr>
                <w:sz w:val="19"/>
                <w:szCs w:val="19"/>
              </w:rPr>
              <w:t xml:space="preserve">Puede quedar "a medio camino"</w:t>
            </w:r>
          </w:p>
        </w:tc>
        <w:tc>
          <w:tcPr>
            <w:tcW w:w="1267" w:type="dxa"/>
            <w:shd w:val="clear" w:color="auto" w:fill="EEF3FA"/>
            <w:tcMar>
              <w:top w:w="50" w:type="dxa"/>
              <w:bottom w:w="50" w:type="dxa"/>
            </w:tcMar>
          </w:tcPr>
          <w:p>
            <w:pPr>
              <w:spacing w:before="20" w:after="20"/>
            </w:pPr>
            <w:r>
              <w:rPr>
                <w:sz w:val="19"/>
                <w:szCs w:val="19"/>
              </w:rPr>
              <w:t xml:space="preserve">Media</w:t>
            </w:r>
          </w:p>
        </w:tc>
      </w:tr>
      <w:tr>
        <w:trPr>
          <w:cantSplit/>
        </w:trPr>
        <w:tc>
          <w:tcPr>
            <w:tcW w:w="1811" w:type="dxa"/>
            <w:tcMar>
              <w:top w:w="50" w:type="dxa"/>
              <w:bottom w:w="50" w:type="dxa"/>
            </w:tcMar>
          </w:tcPr>
          <w:p>
            <w:pPr>
              <w:spacing w:before="20" w:after="20"/>
            </w:pPr>
            <w:r>
              <w:rPr>
                <w:sz w:val="19"/>
                <w:szCs w:val="19"/>
              </w:rPr>
              <w:t xml:space="preserve">C. Concentrada de convicción</w:t>
            </w:r>
          </w:p>
        </w:tc>
        <w:tc>
          <w:tcPr>
            <w:tcW w:w="2354" w:type="dxa"/>
            <w:tcMar>
              <w:top w:w="50" w:type="dxa"/>
              <w:bottom w:w="50" w:type="dxa"/>
            </w:tcMar>
          </w:tcPr>
          <w:p>
            <w:pPr>
              <w:spacing w:before="20" w:after="20"/>
            </w:pPr>
            <w:r>
              <w:rPr>
                <w:sz w:val="19"/>
                <w:szCs w:val="19"/>
              </w:rPr>
              <w:t xml:space="preserve">3–5 acciones, betas altas, ligadas a catalizadores</w:t>
            </w:r>
          </w:p>
        </w:tc>
        <w:tc>
          <w:tcPr>
            <w:tcW w:w="2083" w:type="dxa"/>
            <w:tcMar>
              <w:top w:w="50" w:type="dxa"/>
              <w:bottom w:w="50" w:type="dxa"/>
            </w:tcMar>
          </w:tcPr>
          <w:p>
            <w:pPr>
              <w:spacing w:before="20" w:after="20"/>
            </w:pPr>
            <w:r>
              <w:rPr>
                <w:sz w:val="19"/>
                <w:szCs w:val="19"/>
              </w:rPr>
              <w:t xml:space="preserve">Máxima opción de quedar arriba</w:t>
            </w:r>
          </w:p>
        </w:tc>
        <w:tc>
          <w:tcPr>
            <w:tcW w:w="2083" w:type="dxa"/>
            <w:tcMar>
              <w:top w:w="50" w:type="dxa"/>
              <w:bottom w:w="50" w:type="dxa"/>
            </w:tcMar>
          </w:tcPr>
          <w:p>
            <w:pPr>
              <w:spacing w:before="20" w:after="20"/>
            </w:pPr>
            <w:r>
              <w:rPr>
                <w:sz w:val="19"/>
                <w:szCs w:val="19"/>
              </w:rPr>
              <w:t xml:space="preserve">Alta probabilidad de quedar muy abajo</w:t>
            </w:r>
          </w:p>
        </w:tc>
        <w:tc>
          <w:tcPr>
            <w:tcW w:w="1267" w:type="dxa"/>
            <w:tcMar>
              <w:top w:w="50" w:type="dxa"/>
              <w:bottom w:w="50" w:type="dxa"/>
            </w:tcMar>
          </w:tcPr>
          <w:p>
            <w:pPr>
              <w:spacing w:before="20" w:after="20"/>
            </w:pPr>
            <w:r>
              <w:rPr>
                <w:sz w:val="19"/>
                <w:szCs w:val="19"/>
              </w:rPr>
              <w:t xml:space="preserve">La más alta, con alta varianza</w:t>
            </w:r>
          </w:p>
        </w:tc>
      </w:tr>
    </w:tbl>
    <w:p>
      <w:pPr>
        <w:spacing w:after="60"/>
      </w:pPr>
    </w:p>
    <w:p>
      <w:pPr>
        <w:spacing w:after="60"/>
        <w:jc w:val="center"/>
      </w:pPr>
      <w:r>
        <w:drawing>
          <wp:inline distT="0" distB="0" distL="0" distR="0">
            <wp:extent cx="5580000" cy="2441250"/>
            <wp:docPr id="5" name="Imagen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580000" cy="2441250"/>
                    </a:xfrm>
                    <a:prstGeom prst="rect">
                      <a:avLst/>
                    </a:prstGeom>
                  </pic:spPr>
                </pic:pic>
              </a:graphicData>
            </a:graphic>
          </wp:inline>
        </w:drawing>
      </w:r>
    </w:p>
    <w:p>
      <w:pPr>
        <w:jc w:val="center"/>
      </w:pPr>
      <w:r>
        <w:rPr>
          <w:i/>
          <w:color w:val="595959"/>
          <w:sz w:val="18"/>
          <w:szCs w:val="18"/>
        </w:rPr>
        <w:t xml:space="preserve">Figura 11.2 – Estructura core–satélite y roles del equipo.</w:t>
      </w:r>
    </w:p>
    <w:tbl>
      <w:tblPr>
        <w:tblW w:w="9600" w:type="dxa"/>
        <w:tblBorders>
          <w:left w:val="single" w:sz="36" w:space="0" w:color="BF8F00"/>
        </w:tblBorders>
        <w:tblCellMar>
          <w:top w:w="100" w:type="dxa"/>
          <w:left w:w="160" w:type="dxa"/>
          <w:bottom w:w="80" w:type="dxa"/>
          <w:right w:w="160" w:type="dxa"/>
        </w:tblCellMar>
      </w:tblPr>
      <w:tblGrid>
        <w:gridCol w:w="9600"/>
      </w:tblGrid>
      <w:tr>
        <w:trPr>
          <w:cantSplit/>
        </w:trPr>
        <w:tc>
          <w:tcPr>
            <w:tcW w:w="9600" w:type="dxa"/>
            <w:shd w:val="clear" w:color="auto" w:fill="FFF2CC"/>
          </w:tcPr>
          <w:p>
            <w:pPr>
              <w:spacing w:after="40"/>
            </w:pPr>
            <w:r>
              <w:rPr>
                <w:b/>
                <w:color w:val="BF8F00"/>
                <w:sz w:val="21"/>
                <w:szCs w:val="21"/>
              </w:rPr>
              <w:t xml:space="preserve">Recomendación para ustedes</w:t>
            </w:r>
          </w:p>
          <w:p>
            <w:pPr>
              <w:spacing w:after="40"/>
            </w:pPr>
            <w:r>
              <w:rPr>
                <w:sz w:val="20"/>
                <w:szCs w:val="20"/>
              </w:rPr>
              <w:t xml:space="preserve">Partir con una </w:t>
            </w:r>
            <w:r>
              <w:rPr>
                <w:b/>
                <w:sz w:val="20"/>
                <w:szCs w:val="20"/>
              </w:rPr>
              <w:t xml:space="preserve">core–satélite agresiva</w:t>
            </w:r>
            <w:r>
              <w:rPr>
                <w:sz w:val="20"/>
                <w:szCs w:val="20"/>
              </w:rPr>
              <w:t xml:space="preserve"> (por ejemplo 50% núcleo y 50% satélites, con 5–7 acciones en total) y moverse hacia la concentrada </w:t>
            </w:r>
            <w:r>
              <w:rPr>
                <w:b/>
                <w:sz w:val="20"/>
                <w:szCs w:val="20"/>
              </w:rPr>
              <w:t xml:space="preserve">solo si el ranking lo exige</w:t>
            </w:r>
            <w:r>
              <w:rPr>
                <w:sz w:val="20"/>
                <w:szCs w:val="20"/>
              </w:rPr>
              <w:t xml:space="preserve"> a mitad del concurso (ver 11.4). Así combinan lo aprendido en la tesina (riesgo y valoración) con la lógica del torneo.</w:t>
            </w:r>
          </w:p>
        </w:tc>
      </w:tr>
    </w:tbl>
    <w:p>
      <w:pPr>
        <w:spacing w:after="40"/>
      </w:pPr>
    </w:p>
    <w:p>
      <w:pPr>
        <w:pStyle w:val="Heading2"/>
      </w:pPr>
      <w:bookmarkStart w:id="41" w:name="_h41"/>
      <w:r>
        <w:rPr/>
        <w:t xml:space="preserve">11.2 Tamaño de las posiciones</w:t>
      </w:r>
      <w:bookmarkEnd w:id="41"/>
    </w:p>
    <w:p>
      <w:pPr>
        <w:pStyle w:val="ListParagraph"/>
        <w:numPr>
          <w:ilvl w:val="0"/>
          <w:numId w:val="1"/>
        </w:numPr>
        <w:spacing w:after="60"/>
      </w:pPr>
      <w:r>
        <w:rPr>
          <w:b/>
        </w:rPr>
        <w:t xml:space="preserve">Límite por acción:</w:t>
      </w:r>
      <w:r>
        <w:rPr/>
        <w:t xml:space="preserve"> definan un máximo (por ejemplo 25–35%) aunque las bases no lo exijan.</w:t>
      </w:r>
    </w:p>
    <w:p>
      <w:pPr>
        <w:pStyle w:val="ListParagraph"/>
        <w:numPr>
          <w:ilvl w:val="0"/>
          <w:numId w:val="1"/>
        </w:numPr>
        <w:spacing w:after="60"/>
      </w:pPr>
      <w:r>
        <w:rPr>
          <w:b/>
        </w:rPr>
        <w:t xml:space="preserve">Presupuesto de riesgo por idea:</w:t>
      </w:r>
      <w:r>
        <w:rPr/>
        <w:t xml:space="preserve"> si están dispuestos a perder 1% del capital en una idea y su salida está 8% bajo la entrada, la posición debe ser 1% / 8% = 12,5% del capital ($2,5 millones de $20 millones).</w:t>
      </w:r>
    </w:p>
    <w:p>
      <w:pPr>
        <w:pStyle w:val="ListParagraph"/>
        <w:numPr>
          <w:ilvl w:val="0"/>
          <w:numId w:val="1"/>
        </w:numPr>
        <w:spacing w:after="60"/>
      </w:pPr>
      <w:r>
        <w:rPr>
          <w:b/>
        </w:rPr>
        <w:t xml:space="preserve">Correlación:</w:t>
      </w:r>
      <w:r>
        <w:rPr/>
        <w:t xml:space="preserve"> dos acciones del mismo sector cuentan casi como una sola apuesta.</w:t>
      </w:r>
    </w:p>
    <w:p>
      <w:pPr>
        <w:pStyle w:val="ListParagraph"/>
        <w:numPr>
          <w:ilvl w:val="0"/>
          <w:numId w:val="1"/>
        </w:numPr>
        <w:spacing w:after="60"/>
      </w:pPr>
      <w:r>
        <w:rPr>
          <w:b/>
        </w:rPr>
        <w:t xml:space="preserve">Convicción:</w:t>
      </w:r>
      <w:r>
        <w:rPr/>
        <w:t xml:space="preserve"> las ideas con catalizador cercano y mayor potencial reciben más peso.</w:t>
      </w:r>
    </w:p>
    <w:p>
      <w:pPr>
        <w:pStyle w:val="ListParagraph"/>
        <w:numPr>
          <w:ilvl w:val="0"/>
          <w:numId w:val="1"/>
        </w:numPr>
        <w:spacing w:after="60"/>
      </w:pPr>
      <w:r>
        <w:rPr>
          <w:b/>
        </w:rPr>
        <w:t xml:space="preserve">Criterio de Kelly (referencia):</w:t>
      </w:r>
      <w:r>
        <w:rPr/>
        <w:t xml:space="preserve"> f* = (p·b − q) / b. Sirve para entender que apostar demasiado reduce el crecimiento; en la práctica se usa una fracción (½ Kelly o menos).</w:t>
      </w:r>
    </w:p>
    <w:p>
      <w:pPr>
        <w:pStyle w:val="Heading2"/>
      </w:pPr>
      <w:bookmarkStart w:id="42" w:name="_h42"/>
      <w:r>
        <w:rPr/>
        <w:t xml:space="preserve">11.3 Reglas de entrada y salida</w:t>
      </w:r>
      <w:bookmarkEnd w:id="42"/>
    </w:p>
    <w:p>
      <w:pPr>
        <w:pStyle w:val="ListParagraph"/>
        <w:numPr>
          <w:ilvl w:val="0"/>
          <w:numId w:val="1"/>
        </w:numPr>
        <w:spacing w:after="60"/>
      </w:pPr>
      <w:r>
        <w:rPr>
          <w:b/>
        </w:rPr>
        <w:t xml:space="preserve">Entrada:</w:t>
      </w:r>
      <w:r>
        <w:rPr/>
        <w:t xml:space="preserve"> solo con tesis escrita, catalizador identificado y un movimiento esperado de al menos 3 veces el costo (~3%).</w:t>
      </w:r>
    </w:p>
    <w:p>
      <w:pPr>
        <w:pStyle w:val="ListParagraph"/>
        <w:numPr>
          <w:ilvl w:val="0"/>
          <w:numId w:val="1"/>
        </w:numPr>
        <w:spacing w:after="60"/>
      </w:pPr>
      <w:r>
        <w:rPr>
          <w:b/>
        </w:rPr>
        <w:t xml:space="preserve">Stop (salida si se equivocan):</w:t>
      </w:r>
      <w:r>
        <w:rPr/>
        <w:t xml:space="preserve"> un precio o una condición ("si el resultado no muestra mejora de márgenes, vendo"). Si el simulador no tiene órdenes stop, lo revisan diariamente.</w:t>
      </w:r>
    </w:p>
    <w:p>
      <w:pPr>
        <w:pStyle w:val="ListParagraph"/>
        <w:numPr>
          <w:ilvl w:val="0"/>
          <w:numId w:val="1"/>
        </w:numPr>
        <w:spacing w:after="60"/>
      </w:pPr>
      <w:r>
        <w:rPr>
          <w:b/>
        </w:rPr>
        <w:t xml:space="preserve">Toma de ganancias:</w:t>
      </w:r>
      <w:r>
        <w:rPr/>
        <w:t xml:space="preserve"> por objetivo de precio o cuando el catalizador ya ocurrió y el mercado lo incorporó.</w:t>
      </w:r>
    </w:p>
    <w:p>
      <w:pPr>
        <w:pStyle w:val="ListParagraph"/>
        <w:numPr>
          <w:ilvl w:val="0"/>
          <w:numId w:val="1"/>
        </w:numPr>
        <w:spacing w:after="60"/>
      </w:pPr>
      <w:r>
        <w:rPr>
          <w:b/>
        </w:rPr>
        <w:t xml:space="preserve">Revisión semanal obligatoria:</w:t>
      </w:r>
      <w:r>
        <w:rPr/>
        <w:t xml:space="preserve"> ¿sigue vigente la tesis? ¿La compraría hoy a este precio?</w:t>
      </w:r>
    </w:p>
    <w:p>
      <w:pPr>
        <w:spacing w:after="60"/>
        <w:jc w:val="center"/>
      </w:pPr>
      <w:r>
        <w:drawing>
          <wp:inline distT="0" distB="0" distL="0" distR="0">
            <wp:extent cx="4860000" cy="3628800"/>
            <wp:docPr id="6" name="Imagen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4860000" cy="3628800"/>
                    </a:xfrm>
                    <a:prstGeom prst="rect">
                      <a:avLst/>
                    </a:prstGeom>
                  </pic:spPr>
                </pic:pic>
              </a:graphicData>
            </a:graphic>
          </wp:inline>
        </w:drawing>
      </w:r>
    </w:p>
    <w:p>
      <w:pPr>
        <w:jc w:val="center"/>
      </w:pPr>
      <w:r>
        <w:rPr>
          <w:i/>
          <w:color w:val="595959"/>
          <w:sz w:val="18"/>
          <w:szCs w:val="18"/>
        </w:rPr>
        <w:t xml:space="preserve">Figura 11.3 – Filtros que debe pasar cada operación.</w:t>
      </w:r>
    </w:p>
    <w:p>
      <w:pPr>
        <w:pStyle w:val="Heading2"/>
      </w:pPr>
      <w:bookmarkStart w:id="43" w:name="_h43"/>
      <w:r>
        <w:rPr/>
        <w:t xml:space="preserve">11.4 Ajustar el riesgo según el ranking</w:t>
      </w:r>
      <w:bookmarkEnd w:id="43"/>
    </w:p>
    <w:p>
      <w:pPr>
        <w:spacing w:after="60"/>
        <w:jc w:val="center"/>
      </w:pPr>
      <w:r>
        <w:drawing>
          <wp:inline distT="0" distB="0" distL="0" distR="0">
            <wp:extent cx="5940000" cy="2821500"/>
            <wp:docPr id="7" name="Imagen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940000" cy="2821500"/>
                    </a:xfrm>
                    <a:prstGeom prst="rect">
                      <a:avLst/>
                    </a:prstGeom>
                  </pic:spPr>
                </pic:pic>
              </a:graphicData>
            </a:graphic>
          </wp:inline>
        </w:drawing>
      </w:r>
    </w:p>
    <w:p>
      <w:pPr>
        <w:jc w:val="center"/>
      </w:pPr>
      <w:r>
        <w:rPr>
          <w:i/>
          <w:color w:val="595959"/>
          <w:sz w:val="18"/>
          <w:szCs w:val="18"/>
        </w:rPr>
        <w:t xml:space="preserve">Figura 11.4 – Gestión del riesgo según la posición en el ranking.</w:t>
      </w:r>
    </w:p>
    <w:p>
      <w:pPr/>
      <w:r>
        <w:rPr/>
        <w:t xml:space="preserve">Si van arriba, conviene reducir la volatilidad y parecerse a quienes los persiguen; si van atrás, necesitan diferenciarse y aceptar más riesgo, idealmente </w:t>
      </w:r>
      <w:r>
        <w:rPr>
          <w:b/>
        </w:rPr>
        <w:t xml:space="preserve">temprano</w:t>
      </w:r>
      <w:r>
        <w:rPr/>
        <w:t xml:space="preserve"> (con varias semanas por delante) y no como apuesta desesperada el último día.</w:t>
      </w:r>
    </w:p>
    <w:p>
      <w:pPr>
        <w:pStyle w:val="Heading2"/>
      </w:pPr>
      <w:bookmarkStart w:id="44" w:name="_h44"/>
      <w:r>
        <w:rPr/>
        <w:t xml:space="preserve">11.5 Organización del equipo</w:t>
      </w:r>
      <w:bookmarkEnd w:id="44"/>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208"/>
        <w:gridCol w:w="4032"/>
        <w:gridCol w:w="3360"/>
      </w:tblGrid>
      <w:tr>
        <w:trPr>
          <w:tblHeader/>
        </w:trPr>
        <w:tc>
          <w:tcPr>
            <w:tcW w:w="2208" w:type="dxa"/>
            <w:shd w:val="clear" w:color="auto" w:fill="1F3864"/>
            <w:tcMar>
              <w:top w:w="50" w:type="dxa"/>
              <w:bottom w:w="50" w:type="dxa"/>
            </w:tcMar>
          </w:tcPr>
          <w:p>
            <w:pPr>
              <w:spacing w:before="20" w:after="20"/>
            </w:pPr>
            <w:r>
              <w:rPr>
                <w:b/>
                <w:color w:val="FFFFFF"/>
                <w:sz w:val="19"/>
                <w:szCs w:val="19"/>
              </w:rPr>
              <w:t xml:space="preserve">Rol</w:t>
            </w:r>
          </w:p>
        </w:tc>
        <w:tc>
          <w:tcPr>
            <w:tcW w:w="4032" w:type="dxa"/>
            <w:shd w:val="clear" w:color="auto" w:fill="1F3864"/>
            <w:tcMar>
              <w:top w:w="50" w:type="dxa"/>
              <w:bottom w:w="50" w:type="dxa"/>
            </w:tcMar>
          </w:tcPr>
          <w:p>
            <w:pPr>
              <w:spacing w:before="20" w:after="20"/>
            </w:pPr>
            <w:r>
              <w:rPr>
                <w:b/>
                <w:color w:val="FFFFFF"/>
                <w:sz w:val="19"/>
                <w:szCs w:val="19"/>
              </w:rPr>
              <w:t xml:space="preserve">Responsabilidad</w:t>
            </w:r>
          </w:p>
        </w:tc>
        <w:tc>
          <w:tcPr>
            <w:tcW w:w="3360" w:type="dxa"/>
            <w:shd w:val="clear" w:color="auto" w:fill="1F3864"/>
            <w:tcMar>
              <w:top w:w="50" w:type="dxa"/>
              <w:bottom w:w="50" w:type="dxa"/>
            </w:tcMar>
          </w:tcPr>
          <w:p>
            <w:pPr>
              <w:spacing w:before="20" w:after="20"/>
            </w:pPr>
            <w:r>
              <w:rPr>
                <w:b/>
                <w:color w:val="FFFFFF"/>
                <w:sz w:val="19"/>
                <w:szCs w:val="19"/>
              </w:rPr>
              <w:t xml:space="preserve">Entregable semanal</w:t>
            </w:r>
          </w:p>
        </w:tc>
      </w:tr>
      <w:tr>
        <w:trPr>
          <w:cantSplit/>
        </w:trPr>
        <w:tc>
          <w:tcPr>
            <w:tcW w:w="2208" w:type="dxa"/>
            <w:tcMar>
              <w:top w:w="50" w:type="dxa"/>
              <w:bottom w:w="50" w:type="dxa"/>
            </w:tcMar>
          </w:tcPr>
          <w:p>
            <w:pPr>
              <w:spacing w:before="20" w:after="20"/>
            </w:pPr>
            <w:r>
              <w:rPr>
                <w:sz w:val="19"/>
                <w:szCs w:val="19"/>
              </w:rPr>
              <w:t xml:space="preserve">Estratega macro</w:t>
            </w:r>
          </w:p>
        </w:tc>
        <w:tc>
          <w:tcPr>
            <w:tcW w:w="4032" w:type="dxa"/>
            <w:tcMar>
              <w:top w:w="50" w:type="dxa"/>
              <w:bottom w:w="50" w:type="dxa"/>
            </w:tcMar>
          </w:tcPr>
          <w:p>
            <w:pPr>
              <w:spacing w:before="20" w:after="20"/>
            </w:pPr>
            <w:r>
              <w:rPr>
                <w:sz w:val="19"/>
                <w:szCs w:val="19"/>
              </w:rPr>
              <w:t xml:space="preserve">Escenario de cobre, dólar, tasas, inflación y China</w:t>
            </w:r>
          </w:p>
        </w:tc>
        <w:tc>
          <w:tcPr>
            <w:tcW w:w="3360" w:type="dxa"/>
            <w:tcMar>
              <w:top w:w="50" w:type="dxa"/>
              <w:bottom w:w="50" w:type="dxa"/>
            </w:tcMar>
          </w:tcPr>
          <w:p>
            <w:pPr>
              <w:spacing w:before="20" w:after="20"/>
            </w:pPr>
            <w:r>
              <w:rPr>
                <w:sz w:val="19"/>
                <w:szCs w:val="19"/>
              </w:rPr>
              <w:t xml:space="preserve">Una página: escenario base y riesgos</w:t>
            </w:r>
          </w:p>
        </w:tc>
      </w:tr>
      <w:tr>
        <w:trPr>
          <w:cantSplit/>
        </w:trPr>
        <w:tc>
          <w:tcPr>
            <w:tcW w:w="2208" w:type="dxa"/>
            <w:shd w:val="clear" w:color="auto" w:fill="EEF3FA"/>
            <w:tcMar>
              <w:top w:w="50" w:type="dxa"/>
              <w:bottom w:w="50" w:type="dxa"/>
            </w:tcMar>
          </w:tcPr>
          <w:p>
            <w:pPr>
              <w:spacing w:before="20" w:after="20"/>
            </w:pPr>
            <w:r>
              <w:rPr>
                <w:sz w:val="19"/>
                <w:szCs w:val="19"/>
              </w:rPr>
              <w:t xml:space="preserve">Analista de sectores</w:t>
            </w:r>
          </w:p>
        </w:tc>
        <w:tc>
          <w:tcPr>
            <w:tcW w:w="4032" w:type="dxa"/>
            <w:shd w:val="clear" w:color="auto" w:fill="EEF3FA"/>
            <w:tcMar>
              <w:top w:w="50" w:type="dxa"/>
              <w:bottom w:w="50" w:type="dxa"/>
            </w:tcMar>
          </w:tcPr>
          <w:p>
            <w:pPr>
              <w:spacing w:before="20" w:after="20"/>
            </w:pPr>
            <w:r>
              <w:rPr>
                <w:sz w:val="19"/>
                <w:szCs w:val="19"/>
              </w:rPr>
              <w:t xml:space="preserve">Screener, resultados, valoración, catalizadores</w:t>
            </w:r>
          </w:p>
        </w:tc>
        <w:tc>
          <w:tcPr>
            <w:tcW w:w="3360" w:type="dxa"/>
            <w:shd w:val="clear" w:color="auto" w:fill="EEF3FA"/>
            <w:tcMar>
              <w:top w:w="50" w:type="dxa"/>
              <w:bottom w:w="50" w:type="dxa"/>
            </w:tcMar>
          </w:tcPr>
          <w:p>
            <w:pPr>
              <w:spacing w:before="20" w:after="20"/>
            </w:pPr>
            <w:r>
              <w:rPr>
                <w:sz w:val="19"/>
                <w:szCs w:val="19"/>
              </w:rPr>
              <w:t xml:space="preserve">Ranking de ideas con tesis</w:t>
            </w:r>
          </w:p>
        </w:tc>
      </w:tr>
      <w:tr>
        <w:trPr>
          <w:cantSplit/>
        </w:trPr>
        <w:tc>
          <w:tcPr>
            <w:tcW w:w="2208" w:type="dxa"/>
            <w:tcMar>
              <w:top w:w="50" w:type="dxa"/>
              <w:bottom w:w="50" w:type="dxa"/>
            </w:tcMar>
          </w:tcPr>
          <w:p>
            <w:pPr>
              <w:spacing w:before="20" w:after="20"/>
            </w:pPr>
            <w:r>
              <w:rPr>
                <w:sz w:val="19"/>
                <w:szCs w:val="19"/>
              </w:rPr>
              <w:t xml:space="preserve">Analista técnico / timing</w:t>
            </w:r>
          </w:p>
        </w:tc>
        <w:tc>
          <w:tcPr>
            <w:tcW w:w="4032" w:type="dxa"/>
            <w:tcMar>
              <w:top w:w="50" w:type="dxa"/>
              <w:bottom w:w="50" w:type="dxa"/>
            </w:tcMar>
          </w:tcPr>
          <w:p>
            <w:pPr>
              <w:spacing w:before="20" w:after="20"/>
            </w:pPr>
            <w:r>
              <w:rPr>
                <w:sz w:val="19"/>
                <w:szCs w:val="19"/>
              </w:rPr>
              <w:t xml:space="preserve">Tendencia, momentum y puntos de entrada</w:t>
            </w:r>
          </w:p>
        </w:tc>
        <w:tc>
          <w:tcPr>
            <w:tcW w:w="3360" w:type="dxa"/>
            <w:tcMar>
              <w:top w:w="50" w:type="dxa"/>
              <w:bottom w:w="50" w:type="dxa"/>
            </w:tcMar>
          </w:tcPr>
          <w:p>
            <w:pPr>
              <w:spacing w:before="20" w:after="20"/>
            </w:pPr>
            <w:r>
              <w:rPr>
                <w:sz w:val="19"/>
                <w:szCs w:val="19"/>
              </w:rPr>
              <w:t xml:space="preserve">Niveles de entrada y salida</w:t>
            </w:r>
          </w:p>
        </w:tc>
      </w:tr>
      <w:tr>
        <w:trPr>
          <w:cantSplit/>
        </w:trPr>
        <w:tc>
          <w:tcPr>
            <w:tcW w:w="2208" w:type="dxa"/>
            <w:shd w:val="clear" w:color="auto" w:fill="EEF3FA"/>
            <w:tcMar>
              <w:top w:w="50" w:type="dxa"/>
              <w:bottom w:w="50" w:type="dxa"/>
            </w:tcMar>
          </w:tcPr>
          <w:p>
            <w:pPr>
              <w:spacing w:before="20" w:after="20"/>
            </w:pPr>
            <w:r>
              <w:rPr>
                <w:sz w:val="19"/>
                <w:szCs w:val="19"/>
              </w:rPr>
              <w:t xml:space="preserve">Gestor de riesgo y registro</w:t>
            </w:r>
          </w:p>
        </w:tc>
        <w:tc>
          <w:tcPr>
            <w:tcW w:w="4032" w:type="dxa"/>
            <w:shd w:val="clear" w:color="auto" w:fill="EEF3FA"/>
            <w:tcMar>
              <w:top w:w="50" w:type="dxa"/>
              <w:bottom w:w="50" w:type="dxa"/>
            </w:tcMar>
          </w:tcPr>
          <w:p>
            <w:pPr>
              <w:spacing w:before="20" w:after="20"/>
            </w:pPr>
            <w:r>
              <w:rPr>
                <w:sz w:val="19"/>
                <w:szCs w:val="19"/>
              </w:rPr>
              <w:t xml:space="preserve">Pesos, límites, diario, comisiones, ranking</w:t>
            </w:r>
          </w:p>
        </w:tc>
        <w:tc>
          <w:tcPr>
            <w:tcW w:w="3360" w:type="dxa"/>
            <w:shd w:val="clear" w:color="auto" w:fill="EEF3FA"/>
            <w:tcMar>
              <w:top w:w="50" w:type="dxa"/>
              <w:bottom w:w="50" w:type="dxa"/>
            </w:tcMar>
          </w:tcPr>
          <w:p>
            <w:pPr>
              <w:spacing w:before="20" w:after="20"/>
            </w:pPr>
            <w:r>
              <w:rPr>
                <w:sz w:val="19"/>
                <w:szCs w:val="19"/>
              </w:rPr>
              <w:t xml:space="preserve">Planilla actualizada (hoja 9) y alertas</w:t>
            </w:r>
          </w:p>
        </w:tc>
      </w:tr>
      <w:tr>
        <w:trPr>
          <w:cantSplit/>
        </w:trPr>
        <w:tc>
          <w:tcPr>
            <w:tcW w:w="2208" w:type="dxa"/>
            <w:tcMar>
              <w:top w:w="50" w:type="dxa"/>
              <w:bottom w:w="50" w:type="dxa"/>
            </w:tcMar>
          </w:tcPr>
          <w:p>
            <w:pPr>
              <w:spacing w:before="20" w:after="20"/>
            </w:pPr>
            <w:r>
              <w:rPr>
                <w:sz w:val="19"/>
                <w:szCs w:val="19"/>
              </w:rPr>
              <w:t xml:space="preserve">Abogado del diablo</w:t>
            </w:r>
          </w:p>
        </w:tc>
        <w:tc>
          <w:tcPr>
            <w:tcW w:w="4032" w:type="dxa"/>
            <w:tcMar>
              <w:top w:w="50" w:type="dxa"/>
              <w:bottom w:w="50" w:type="dxa"/>
            </w:tcMar>
          </w:tcPr>
          <w:p>
            <w:pPr>
              <w:spacing w:before="20" w:after="20"/>
            </w:pPr>
            <w:r>
              <w:rPr>
                <w:sz w:val="19"/>
                <w:szCs w:val="19"/>
              </w:rPr>
              <w:t xml:space="preserve">Atacar cada tesis antes de ejecutar</w:t>
            </w:r>
          </w:p>
        </w:tc>
        <w:tc>
          <w:tcPr>
            <w:tcW w:w="3360" w:type="dxa"/>
            <w:tcMar>
              <w:top w:w="50" w:type="dxa"/>
              <w:bottom w:w="50" w:type="dxa"/>
            </w:tcMar>
          </w:tcPr>
          <w:p>
            <w:pPr>
              <w:spacing w:before="20" w:after="20"/>
            </w:pPr>
            <w:r>
              <w:rPr>
                <w:sz w:val="19"/>
                <w:szCs w:val="19"/>
              </w:rPr>
              <w:t xml:space="preserve">Riesgos de cada idea</w:t>
            </w:r>
          </w:p>
        </w:tc>
      </w:tr>
    </w:tbl>
    <w:p>
      <w:pPr>
        <w:spacing w:after="60"/>
      </w:pPr>
    </w:p>
    <w:p>
      <w:pPr/>
      <w:r>
        <w:rPr/>
        <w:t xml:space="preserve">Con dos personas (Vicente e Ignacio), cada uno puede asumir dos o tres roles y alternar el de abogado del diablo. Decidan </w:t>
      </w:r>
      <w:r>
        <w:rPr>
          <w:b/>
        </w:rPr>
        <w:t xml:space="preserve">por escrito</w:t>
      </w:r>
      <w:r>
        <w:rPr/>
        <w:t xml:space="preserve"> quién ejecuta las órdenes y cómo se resuelven los desacuerdos.</w:t>
      </w:r>
    </w:p>
    <w:p>
      <w:pPr>
        <w:pStyle w:val="Heading1"/>
      </w:pPr>
      <w:bookmarkStart w:id="45" w:name="_h45"/>
      <w:r>
        <w:rPr/>
        <w:t xml:space="preserve">12. Gestión durante el concurso</w:t>
      </w:r>
      <w:bookmarkEnd w:id="45"/>
    </w:p>
    <w:p>
      <w:pPr>
        <w:spacing w:after="60"/>
        <w:jc w:val="center"/>
      </w:pPr>
      <w:r>
        <w:drawing>
          <wp:inline distT="0" distB="0" distL="0" distR="0">
            <wp:extent cx="5940000" cy="1816941"/>
            <wp:docPr id="8" name="Imagen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940000" cy="1816941"/>
                    </a:xfrm>
                    <a:prstGeom prst="rect">
                      <a:avLst/>
                    </a:prstGeom>
                  </pic:spPr>
                </pic:pic>
              </a:graphicData>
            </a:graphic>
          </wp:inline>
        </w:drawing>
      </w:r>
    </w:p>
    <w:p>
      <w:pPr>
        <w:jc w:val="center"/>
      </w:pPr>
      <w:r>
        <w:rPr>
          <w:i/>
          <w:color w:val="595959"/>
          <w:sz w:val="18"/>
          <w:szCs w:val="18"/>
        </w:rPr>
        <w:t xml:space="preserve">Figura 12.1 – Fases del concurso y tareas en cada una.</w:t>
      </w:r>
    </w:p>
    <w:p>
      <w:pPr>
        <w:pStyle w:val="Heading2"/>
      </w:pPr>
      <w:bookmarkStart w:id="46" w:name="_h46"/>
      <w:r>
        <w:rPr/>
        <w:t xml:space="preserve">12.1 Marcha blanca: qué probar</w:t>
      </w:r>
      <w:bookmarkEnd w:id="46"/>
    </w:p>
    <w:p>
      <w:pPr>
        <w:pStyle w:val="ListParagraph"/>
        <w:numPr>
          <w:ilvl w:val="0"/>
          <w:numId w:val="1"/>
        </w:numPr>
        <w:spacing w:after="60"/>
      </w:pPr>
      <w:r>
        <w:rPr/>
        <w:t xml:space="preserve">¿A qué precio exacto se ejecutan las órdenes y con qué demora?</w:t>
      </w:r>
    </w:p>
    <w:p>
      <w:pPr>
        <w:pStyle w:val="ListParagraph"/>
        <w:numPr>
          <w:ilvl w:val="0"/>
          <w:numId w:val="1"/>
        </w:numPr>
        <w:spacing w:after="60"/>
      </w:pPr>
      <w:r>
        <w:rPr/>
        <w:t xml:space="preserve">¿Cómo se descuenta la comisión? ¿Hay mínimos?</w:t>
      </w:r>
    </w:p>
    <w:p>
      <w:pPr>
        <w:pStyle w:val="ListParagraph"/>
        <w:numPr>
          <w:ilvl w:val="0"/>
          <w:numId w:val="1"/>
        </w:numPr>
        <w:spacing w:after="60"/>
      </w:pPr>
      <w:r>
        <w:rPr/>
        <w:t xml:space="preserve">¿Qué pasa con una orden enviada fuera de horario?</w:t>
      </w:r>
    </w:p>
    <w:p>
      <w:pPr>
        <w:pStyle w:val="ListParagraph"/>
        <w:numPr>
          <w:ilvl w:val="0"/>
          <w:numId w:val="1"/>
        </w:numPr>
        <w:spacing w:after="60"/>
      </w:pPr>
      <w:r>
        <w:rPr/>
        <w:t xml:space="preserve">¿Se reflejan los dividendos? (prueben con una acción que tenga fecha ex en esos días, si la hay)</w:t>
      </w:r>
    </w:p>
    <w:p>
      <w:pPr>
        <w:pStyle w:val="ListParagraph"/>
        <w:numPr>
          <w:ilvl w:val="0"/>
          <w:numId w:val="1"/>
        </w:numPr>
        <w:spacing w:after="60"/>
      </w:pPr>
      <w:r>
        <w:rPr/>
        <w:t xml:space="preserve">¿Cómo se muestra el ranking y con qué frecuencia se actualiza?</w:t>
      </w:r>
    </w:p>
    <w:p>
      <w:pPr>
        <w:pStyle w:val="ListParagraph"/>
        <w:numPr>
          <w:ilvl w:val="0"/>
          <w:numId w:val="1"/>
        </w:numPr>
        <w:spacing w:after="60"/>
      </w:pPr>
      <w:r>
        <w:rPr/>
        <w:t xml:space="preserve">Ensayen la estrategia completa: armar la cartera, registrar en la hoja 9, revisar el viernes.</w:t>
      </w:r>
    </w:p>
    <w:p>
      <w:pPr>
        <w:pStyle w:val="Heading2"/>
      </w:pPr>
      <w:bookmarkStart w:id="47" w:name="_h47"/>
      <w:r>
        <w:rPr/>
        <w:t xml:space="preserve">12.2 Rutina diaria (15–20 minutos)</w:t>
      </w:r>
      <w:bookmarkEnd w:id="47"/>
    </w:p>
    <w:p>
      <w:pPr>
        <w:pStyle w:val="ListParagraph"/>
        <w:numPr>
          <w:ilvl w:val="0"/>
          <w:numId w:val="4"/>
        </w:numPr>
        <w:spacing w:after="60"/>
      </w:pPr>
      <w:r>
        <w:rPr/>
        <w:t xml:space="preserve">Revisar noticias de la mañana, ADR y futuros (cobre, S&amp;P 500).</w:t>
      </w:r>
    </w:p>
    <w:p>
      <w:pPr>
        <w:pStyle w:val="ListParagraph"/>
        <w:numPr>
          <w:ilvl w:val="0"/>
          <w:numId w:val="4"/>
        </w:numPr>
        <w:spacing w:after="60"/>
      </w:pPr>
      <w:r>
        <w:rPr/>
        <w:t xml:space="preserve">Revisar hechos esenciales de sus empresas en la CMF.</w:t>
      </w:r>
    </w:p>
    <w:p>
      <w:pPr>
        <w:pStyle w:val="ListParagraph"/>
        <w:numPr>
          <w:ilvl w:val="0"/>
          <w:numId w:val="4"/>
        </w:numPr>
        <w:spacing w:after="60"/>
      </w:pPr>
      <w:r>
        <w:rPr/>
        <w:t xml:space="preserve">Actualizar precios en la hoja 9 y revisar alertas (caja, concentración, stops).</w:t>
      </w:r>
    </w:p>
    <w:p>
      <w:pPr>
        <w:pStyle w:val="ListParagraph"/>
        <w:numPr>
          <w:ilvl w:val="0"/>
          <w:numId w:val="4"/>
        </w:numPr>
        <w:spacing w:after="60"/>
      </w:pPr>
      <w:r>
        <w:rPr/>
        <w:t xml:space="preserve">Decidir: ¿hay alguna operación que pase el checklist? Si no, no operar.</w:t>
      </w:r>
    </w:p>
    <w:p>
      <w:pPr>
        <w:pStyle w:val="ListParagraph"/>
        <w:numPr>
          <w:ilvl w:val="0"/>
          <w:numId w:val="4"/>
        </w:numPr>
        <w:spacing w:after="60"/>
      </w:pPr>
      <w:r>
        <w:rPr/>
        <w:t xml:space="preserve">Registrar cualquier operación con su tesis.</w:t>
      </w:r>
    </w:p>
    <w:p>
      <w:pPr>
        <w:pStyle w:val="Heading2"/>
      </w:pPr>
      <w:bookmarkStart w:id="48" w:name="_h48"/>
      <w:r>
        <w:rPr/>
        <w:t xml:space="preserve">12.3 Revisión semanal (viernes, 45 minutos)</w:t>
      </w:r>
      <w:bookmarkEnd w:id="48"/>
    </w:p>
    <w:p>
      <w:pPr>
        <w:pStyle w:val="ListParagraph"/>
        <w:numPr>
          <w:ilvl w:val="0"/>
          <w:numId w:val="5"/>
        </w:numPr>
        <w:spacing w:after="60"/>
      </w:pPr>
      <w:r>
        <w:rPr/>
        <w:t xml:space="preserve">Comparar la rentabilidad contra el IPSA y la posición en el ranking.</w:t>
      </w:r>
    </w:p>
    <w:p>
      <w:pPr>
        <w:pStyle w:val="ListParagraph"/>
        <w:numPr>
          <w:ilvl w:val="0"/>
          <w:numId w:val="5"/>
        </w:numPr>
        <w:spacing w:after="60"/>
      </w:pPr>
      <w:r>
        <w:rPr/>
        <w:t xml:space="preserve">Revisar el calendario de la próxima semana (resultados, RPM, IPC).</w:t>
      </w:r>
    </w:p>
    <w:p>
      <w:pPr>
        <w:pStyle w:val="ListParagraph"/>
        <w:numPr>
          <w:ilvl w:val="0"/>
          <w:numId w:val="5"/>
        </w:numPr>
        <w:spacing w:after="60"/>
      </w:pPr>
      <w:r>
        <w:rPr/>
        <w:t xml:space="preserve">Revisar cada posición: ¿sigue la tesis?</w:t>
      </w:r>
    </w:p>
    <w:p>
      <w:pPr>
        <w:pStyle w:val="ListParagraph"/>
        <w:numPr>
          <w:ilvl w:val="0"/>
          <w:numId w:val="5"/>
        </w:numPr>
        <w:spacing w:after="60"/>
      </w:pPr>
      <w:r>
        <w:rPr/>
        <w:t xml:space="preserve">Decidir ajustes de riesgo según el ranking (11.4).</w:t>
      </w:r>
    </w:p>
    <w:p>
      <w:pPr>
        <w:pStyle w:val="ListParagraph"/>
        <w:numPr>
          <w:ilvl w:val="0"/>
          <w:numId w:val="5"/>
        </w:numPr>
        <w:spacing w:after="60"/>
      </w:pPr>
      <w:r>
        <w:rPr/>
        <w:t xml:space="preserve">Escribir 3 lecciones de la semana en la hoja 12_Calendario.</w:t>
      </w:r>
    </w:p>
    <w:p>
      <w:pPr>
        <w:pStyle w:val="Heading2"/>
      </w:pPr>
      <w:bookmarkStart w:id="49" w:name="_h49"/>
      <w:r>
        <w:rPr/>
        <w:t xml:space="preserve">12.4 Cierre y post-mortem</w:t>
      </w:r>
      <w:bookmarkEnd w:id="49"/>
    </w:p>
    <w:p>
      <w:pPr/>
      <w:r>
        <w:rPr/>
        <w:t xml:space="preserve">Al terminar, comparen sus decisiones con los resultados: ¿qué ganancias vinieron de buen análisis y cuáles de suerte? ¿Qué errores conductuales cometieron? Esa reflexión es lo que más vale para su formación y para una entrevista de trabajo (pueden contarla con datos de su diario).</w:t>
      </w:r>
    </w:p>
    <w:p>
      <w:pPr>
        <w:pStyle w:val="Heading1"/>
      </w:pPr>
      <w:bookmarkStart w:id="50" w:name="_h50"/>
      <w:r>
        <w:rPr/>
        <w:t xml:space="preserve">13. Los 12 errores más comunes</w:t>
      </w:r>
      <w:bookmarkEnd w:id="50"/>
    </w:p>
    <w:p>
      <w:pPr>
        <w:pStyle w:val="ListParagraph"/>
        <w:numPr>
          <w:ilvl w:val="0"/>
          <w:numId w:val="6"/>
        </w:numPr>
        <w:spacing w:after="60"/>
      </w:pPr>
      <w:r>
        <w:rPr/>
        <w:t xml:space="preserve">No leer las bases (universo, comisiones, dividendos, ranking).</w:t>
      </w:r>
    </w:p>
    <w:p>
      <w:pPr>
        <w:pStyle w:val="ListParagraph"/>
        <w:numPr>
          <w:ilvl w:val="0"/>
          <w:numId w:val="6"/>
        </w:numPr>
        <w:spacing w:after="60"/>
      </w:pPr>
      <w:r>
        <w:rPr/>
        <w:t xml:space="preserve">Armar una cartera igual al IPSA y esperar ganar.</w:t>
      </w:r>
    </w:p>
    <w:p>
      <w:pPr>
        <w:pStyle w:val="ListParagraph"/>
        <w:numPr>
          <w:ilvl w:val="0"/>
          <w:numId w:val="6"/>
        </w:numPr>
        <w:spacing w:after="60"/>
      </w:pPr>
      <w:r>
        <w:rPr/>
        <w:t xml:space="preserve">Operar todos los días y pagar 10–20% en comisiones.</w:t>
      </w:r>
    </w:p>
    <w:p>
      <w:pPr>
        <w:pStyle w:val="ListParagraph"/>
        <w:numPr>
          <w:ilvl w:val="0"/>
          <w:numId w:val="6"/>
        </w:numPr>
        <w:spacing w:after="60"/>
      </w:pPr>
      <w:r>
        <w:rPr/>
        <w:t xml:space="preserve">Concentrar todo en una sola acción sin salida definida.</w:t>
      </w:r>
    </w:p>
    <w:p>
      <w:pPr>
        <w:pStyle w:val="ListParagraph"/>
        <w:numPr>
          <w:ilvl w:val="0"/>
          <w:numId w:val="6"/>
        </w:numPr>
        <w:spacing w:after="60"/>
      </w:pPr>
      <w:r>
        <w:rPr/>
        <w:t xml:space="preserve">Comprar después de un alza explosiva sin noticia que la respalde (FOMO).</w:t>
      </w:r>
    </w:p>
    <w:p>
      <w:pPr>
        <w:pStyle w:val="ListParagraph"/>
        <w:numPr>
          <w:ilvl w:val="0"/>
          <w:numId w:val="6"/>
        </w:numPr>
        <w:spacing w:after="60"/>
      </w:pPr>
      <w:r>
        <w:rPr/>
        <w:t xml:space="preserve">Mantener perdedoras "hasta que se recuperen".</w:t>
      </w:r>
    </w:p>
    <w:p>
      <w:pPr>
        <w:pStyle w:val="ListParagraph"/>
        <w:numPr>
          <w:ilvl w:val="0"/>
          <w:numId w:val="6"/>
        </w:numPr>
        <w:spacing w:after="60"/>
      </w:pPr>
      <w:r>
        <w:rPr/>
        <w:t xml:space="preserve">Ignorar la temporada de resultados.</w:t>
      </w:r>
    </w:p>
    <w:p>
      <w:pPr>
        <w:pStyle w:val="ListParagraph"/>
        <w:numPr>
          <w:ilvl w:val="0"/>
          <w:numId w:val="6"/>
        </w:numPr>
        <w:spacing w:after="60"/>
      </w:pPr>
      <w:r>
        <w:rPr/>
        <w:t xml:space="preserve">Tener tres acciones del mismo sector y creerse diversificado.</w:t>
      </w:r>
    </w:p>
    <w:p>
      <w:pPr>
        <w:pStyle w:val="ListParagraph"/>
        <w:numPr>
          <w:ilvl w:val="0"/>
          <w:numId w:val="6"/>
        </w:numPr>
        <w:spacing w:after="60"/>
      </w:pPr>
      <w:r>
        <w:rPr/>
        <w:t xml:space="preserve">No registrar las operaciones ni la tesis.</w:t>
      </w:r>
    </w:p>
    <w:p>
      <w:pPr>
        <w:pStyle w:val="ListParagraph"/>
        <w:numPr>
          <w:ilvl w:val="0"/>
          <w:numId w:val="6"/>
        </w:numPr>
        <w:spacing w:after="60"/>
      </w:pPr>
      <w:r>
        <w:rPr/>
        <w:t xml:space="preserve">Cambiar de estrategia cada semana.</w:t>
      </w:r>
    </w:p>
    <w:p>
      <w:pPr>
        <w:pStyle w:val="ListParagraph"/>
        <w:numPr>
          <w:ilvl w:val="0"/>
          <w:numId w:val="6"/>
        </w:numPr>
        <w:spacing w:after="60"/>
      </w:pPr>
      <w:r>
        <w:rPr/>
        <w:t xml:space="preserve">Apostar todo el último día en vez de ajustar el riesgo con tiempo.</w:t>
      </w:r>
    </w:p>
    <w:p>
      <w:pPr>
        <w:pStyle w:val="ListParagraph"/>
        <w:numPr>
          <w:ilvl w:val="0"/>
          <w:numId w:val="6"/>
        </w:numPr>
        <w:spacing w:after="60"/>
      </w:pPr>
      <w:r>
        <w:rPr/>
        <w:t xml:space="preserve">Confundir suerte con habilidad al ir ganando.</w:t>
      </w:r>
    </w:p>
    <w:p>
      <w:pPr>
        <w:pStyle w:val="Heading1"/>
      </w:pPr>
      <w:bookmarkStart w:id="51" w:name="_h51"/>
      <w:r>
        <w:rPr/>
        <w:t xml:space="preserve">14. Glosario</w:t>
      </w:r>
      <w:bookmarkEnd w:id="51"/>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304"/>
        <w:gridCol w:w="7296"/>
      </w:tblGrid>
      <w:tr>
        <w:trPr>
          <w:tblHeader/>
        </w:trPr>
        <w:tc>
          <w:tcPr>
            <w:tcW w:w="2304" w:type="dxa"/>
            <w:shd w:val="clear" w:color="auto" w:fill="1F3864"/>
            <w:tcMar>
              <w:top w:w="50" w:type="dxa"/>
              <w:bottom w:w="50" w:type="dxa"/>
            </w:tcMar>
          </w:tcPr>
          <w:p>
            <w:pPr>
              <w:spacing w:before="20" w:after="20"/>
            </w:pPr>
            <w:r>
              <w:rPr>
                <w:b/>
                <w:color w:val="FFFFFF"/>
                <w:sz w:val="18"/>
                <w:szCs w:val="18"/>
              </w:rPr>
              <w:t xml:space="preserve">Término</w:t>
            </w:r>
          </w:p>
        </w:tc>
        <w:tc>
          <w:tcPr>
            <w:tcW w:w="7296" w:type="dxa"/>
            <w:shd w:val="clear" w:color="auto" w:fill="1F3864"/>
            <w:tcMar>
              <w:top w:w="50" w:type="dxa"/>
              <w:bottom w:w="50" w:type="dxa"/>
            </w:tcMar>
          </w:tcPr>
          <w:p>
            <w:pPr>
              <w:spacing w:before="20" w:after="20"/>
            </w:pPr>
            <w:r>
              <w:rPr>
                <w:b/>
                <w:color w:val="FFFFFF"/>
                <w:sz w:val="18"/>
                <w:szCs w:val="18"/>
              </w:rPr>
              <w:t xml:space="preserve">Definición</w:t>
            </w:r>
          </w:p>
        </w:tc>
      </w:tr>
      <w:tr>
        <w:trPr>
          <w:cantSplit/>
        </w:trPr>
        <w:tc>
          <w:tcPr>
            <w:tcW w:w="2304" w:type="dxa"/>
            <w:tcMar>
              <w:top w:w="50" w:type="dxa"/>
              <w:bottom w:w="50" w:type="dxa"/>
            </w:tcMar>
          </w:tcPr>
          <w:p>
            <w:pPr>
              <w:spacing w:before="20" w:after="20"/>
            </w:pPr>
            <w:r>
              <w:rPr>
                <w:b/>
                <w:sz w:val="18"/>
                <w:szCs w:val="18"/>
              </w:rPr>
              <w:t xml:space="preserve">Acción</w:t>
            </w:r>
          </w:p>
        </w:tc>
        <w:tc>
          <w:tcPr>
            <w:tcW w:w="7296" w:type="dxa"/>
            <w:tcMar>
              <w:top w:w="50" w:type="dxa"/>
              <w:bottom w:w="50" w:type="dxa"/>
            </w:tcMar>
          </w:tcPr>
          <w:p>
            <w:pPr>
              <w:spacing w:before="20" w:after="20"/>
            </w:pPr>
            <w:r>
              <w:rPr>
                <w:sz w:val="18"/>
                <w:szCs w:val="18"/>
              </w:rPr>
              <w:t xml:space="preserve">Parte del capital de una empresa; da derecho a dividendos y, según la serie, a voto.</w:t>
            </w:r>
          </w:p>
        </w:tc>
      </w:tr>
      <w:tr>
        <w:trPr>
          <w:cantSplit/>
        </w:trPr>
        <w:tc>
          <w:tcPr>
            <w:tcW w:w="2304" w:type="dxa"/>
            <w:shd w:val="clear" w:color="auto" w:fill="EEF3FA"/>
            <w:tcMar>
              <w:top w:w="50" w:type="dxa"/>
              <w:bottom w:w="50" w:type="dxa"/>
            </w:tcMar>
          </w:tcPr>
          <w:p>
            <w:pPr>
              <w:spacing w:before="20" w:after="20"/>
            </w:pPr>
            <w:r>
              <w:rPr>
                <w:b/>
                <w:sz w:val="18"/>
                <w:szCs w:val="18"/>
              </w:rPr>
              <w:t xml:space="preserve">ADR</w:t>
            </w:r>
          </w:p>
        </w:tc>
        <w:tc>
          <w:tcPr>
            <w:tcW w:w="7296" w:type="dxa"/>
            <w:shd w:val="clear" w:color="auto" w:fill="EEF3FA"/>
            <w:tcMar>
              <w:top w:w="50" w:type="dxa"/>
              <w:bottom w:w="50" w:type="dxa"/>
            </w:tcMar>
          </w:tcPr>
          <w:p>
            <w:pPr>
              <w:spacing w:before="20" w:after="20"/>
            </w:pPr>
            <w:r>
              <w:rPr>
                <w:sz w:val="18"/>
                <w:szCs w:val="18"/>
              </w:rPr>
              <w:t xml:space="preserve">Certificado que representa acciones extranjeras y se transa en EE.UU.</w:t>
            </w:r>
          </w:p>
        </w:tc>
      </w:tr>
      <w:tr>
        <w:trPr>
          <w:cantSplit/>
        </w:trPr>
        <w:tc>
          <w:tcPr>
            <w:tcW w:w="2304" w:type="dxa"/>
            <w:tcMar>
              <w:top w:w="50" w:type="dxa"/>
              <w:bottom w:w="50" w:type="dxa"/>
            </w:tcMar>
          </w:tcPr>
          <w:p>
            <w:pPr>
              <w:spacing w:before="20" w:after="20"/>
            </w:pPr>
            <w:r>
              <w:rPr>
                <w:b/>
                <w:sz w:val="18"/>
                <w:szCs w:val="18"/>
              </w:rPr>
              <w:t xml:space="preserve">Alfa</w:t>
            </w:r>
          </w:p>
        </w:tc>
        <w:tc>
          <w:tcPr>
            <w:tcW w:w="7296" w:type="dxa"/>
            <w:tcMar>
              <w:top w:w="50" w:type="dxa"/>
              <w:bottom w:w="50" w:type="dxa"/>
            </w:tcMar>
          </w:tcPr>
          <w:p>
            <w:pPr>
              <w:spacing w:before="20" w:after="20"/>
            </w:pPr>
            <w:r>
              <w:rPr>
                <w:sz w:val="18"/>
                <w:szCs w:val="18"/>
              </w:rPr>
              <w:t xml:space="preserve">Retorno por sobre lo que exige el CAPM dado el riesgo sistemático.</w:t>
            </w:r>
          </w:p>
        </w:tc>
      </w:tr>
      <w:tr>
        <w:trPr>
          <w:cantSplit/>
        </w:trPr>
        <w:tc>
          <w:tcPr>
            <w:tcW w:w="2304" w:type="dxa"/>
            <w:shd w:val="clear" w:color="auto" w:fill="EEF3FA"/>
            <w:tcMar>
              <w:top w:w="50" w:type="dxa"/>
              <w:bottom w:w="50" w:type="dxa"/>
            </w:tcMar>
          </w:tcPr>
          <w:p>
            <w:pPr>
              <w:spacing w:before="20" w:after="20"/>
            </w:pPr>
            <w:r>
              <w:rPr>
                <w:b/>
                <w:sz w:val="18"/>
                <w:szCs w:val="18"/>
              </w:rPr>
              <w:t xml:space="preserve">Asimetría (skew)</w:t>
            </w:r>
          </w:p>
        </w:tc>
        <w:tc>
          <w:tcPr>
            <w:tcW w:w="7296" w:type="dxa"/>
            <w:shd w:val="clear" w:color="auto" w:fill="EEF3FA"/>
            <w:tcMar>
              <w:top w:w="50" w:type="dxa"/>
              <w:bottom w:w="50" w:type="dxa"/>
            </w:tcMar>
          </w:tcPr>
          <w:p>
            <w:pPr>
              <w:spacing w:before="20" w:after="20"/>
            </w:pPr>
            <w:r>
              <w:rPr>
                <w:sz w:val="18"/>
                <w:szCs w:val="18"/>
              </w:rPr>
              <w:t xml:space="preserve">Medida de si la distribución tiene una cola más larga a la derecha (+) o a la izquierda (−).</w:t>
            </w:r>
          </w:p>
        </w:tc>
      </w:tr>
      <w:tr>
        <w:trPr>
          <w:cantSplit/>
        </w:trPr>
        <w:tc>
          <w:tcPr>
            <w:tcW w:w="2304" w:type="dxa"/>
            <w:tcMar>
              <w:top w:w="50" w:type="dxa"/>
              <w:bottom w:w="50" w:type="dxa"/>
            </w:tcMar>
          </w:tcPr>
          <w:p>
            <w:pPr>
              <w:spacing w:before="20" w:after="20"/>
            </w:pPr>
            <w:r>
              <w:rPr>
                <w:b/>
                <w:sz w:val="18"/>
                <w:szCs w:val="18"/>
              </w:rPr>
              <w:t xml:space="preserve">Benchmark</w:t>
            </w:r>
          </w:p>
        </w:tc>
        <w:tc>
          <w:tcPr>
            <w:tcW w:w="7296" w:type="dxa"/>
            <w:tcMar>
              <w:top w:w="50" w:type="dxa"/>
              <w:bottom w:w="50" w:type="dxa"/>
            </w:tcMar>
          </w:tcPr>
          <w:p>
            <w:pPr>
              <w:spacing w:before="20" w:after="20"/>
            </w:pPr>
            <w:r>
              <w:rPr>
                <w:sz w:val="18"/>
                <w:szCs w:val="18"/>
              </w:rPr>
              <w:t xml:space="preserve">Índice de referencia contra el que se compara una cartera (el IPSA en el CCI).</w:t>
            </w:r>
          </w:p>
        </w:tc>
      </w:tr>
      <w:tr>
        <w:trPr>
          <w:cantSplit/>
        </w:trPr>
        <w:tc>
          <w:tcPr>
            <w:tcW w:w="2304" w:type="dxa"/>
            <w:shd w:val="clear" w:color="auto" w:fill="EEF3FA"/>
            <w:tcMar>
              <w:top w:w="50" w:type="dxa"/>
              <w:bottom w:w="50" w:type="dxa"/>
            </w:tcMar>
          </w:tcPr>
          <w:p>
            <w:pPr>
              <w:spacing w:before="20" w:after="20"/>
            </w:pPr>
            <w:r>
              <w:rPr>
                <w:b/>
                <w:sz w:val="18"/>
                <w:szCs w:val="18"/>
              </w:rPr>
              <w:t xml:space="preserve">Beta</w:t>
            </w:r>
          </w:p>
        </w:tc>
        <w:tc>
          <w:tcPr>
            <w:tcW w:w="7296" w:type="dxa"/>
            <w:shd w:val="clear" w:color="auto" w:fill="EEF3FA"/>
            <w:tcMar>
              <w:top w:w="50" w:type="dxa"/>
              <w:bottom w:w="50" w:type="dxa"/>
            </w:tcMar>
          </w:tcPr>
          <w:p>
            <w:pPr>
              <w:spacing w:before="20" w:after="20"/>
            </w:pPr>
            <w:r>
              <w:rPr>
                <w:sz w:val="18"/>
                <w:szCs w:val="18"/>
              </w:rPr>
              <w:t xml:space="preserve">Sensibilidad de una acción a los movimientos del mercado.</w:t>
            </w:r>
          </w:p>
        </w:tc>
      </w:tr>
      <w:tr>
        <w:trPr>
          <w:cantSplit/>
        </w:trPr>
        <w:tc>
          <w:tcPr>
            <w:tcW w:w="2304" w:type="dxa"/>
            <w:tcMar>
              <w:top w:w="50" w:type="dxa"/>
              <w:bottom w:w="50" w:type="dxa"/>
            </w:tcMar>
          </w:tcPr>
          <w:p>
            <w:pPr>
              <w:spacing w:before="20" w:after="20"/>
            </w:pPr>
            <w:r>
              <w:rPr>
                <w:b/>
                <w:sz w:val="18"/>
                <w:szCs w:val="18"/>
              </w:rPr>
              <w:t xml:space="preserve">Capitalización bursátil</w:t>
            </w:r>
          </w:p>
        </w:tc>
        <w:tc>
          <w:tcPr>
            <w:tcW w:w="7296" w:type="dxa"/>
            <w:tcMar>
              <w:top w:w="50" w:type="dxa"/>
              <w:bottom w:w="50" w:type="dxa"/>
            </w:tcMar>
          </w:tcPr>
          <w:p>
            <w:pPr>
              <w:spacing w:before="20" w:after="20"/>
            </w:pPr>
            <w:r>
              <w:rPr>
                <w:sz w:val="18"/>
                <w:szCs w:val="18"/>
              </w:rPr>
              <w:t xml:space="preserve">Precio × número de acciones.</w:t>
            </w:r>
          </w:p>
        </w:tc>
      </w:tr>
      <w:tr>
        <w:trPr>
          <w:cantSplit/>
        </w:trPr>
        <w:tc>
          <w:tcPr>
            <w:tcW w:w="2304" w:type="dxa"/>
            <w:shd w:val="clear" w:color="auto" w:fill="EEF3FA"/>
            <w:tcMar>
              <w:top w:w="50" w:type="dxa"/>
              <w:bottom w:w="50" w:type="dxa"/>
            </w:tcMar>
          </w:tcPr>
          <w:p>
            <w:pPr>
              <w:spacing w:before="20" w:after="20"/>
            </w:pPr>
            <w:r>
              <w:rPr>
                <w:b/>
                <w:sz w:val="18"/>
                <w:szCs w:val="18"/>
              </w:rPr>
              <w:t xml:space="preserve">Catalizador</w:t>
            </w:r>
          </w:p>
        </w:tc>
        <w:tc>
          <w:tcPr>
            <w:tcW w:w="7296" w:type="dxa"/>
            <w:shd w:val="clear" w:color="auto" w:fill="EEF3FA"/>
            <w:tcMar>
              <w:top w:w="50" w:type="dxa"/>
              <w:bottom w:w="50" w:type="dxa"/>
            </w:tcMar>
          </w:tcPr>
          <w:p>
            <w:pPr>
              <w:spacing w:before="20" w:after="20"/>
            </w:pPr>
            <w:r>
              <w:rPr>
                <w:sz w:val="18"/>
                <w:szCs w:val="18"/>
              </w:rPr>
              <w:t xml:space="preserve">Evento que puede hacer que el mercado revalorice una acción.</w:t>
            </w:r>
          </w:p>
        </w:tc>
      </w:tr>
      <w:tr>
        <w:trPr>
          <w:cantSplit/>
        </w:trPr>
        <w:tc>
          <w:tcPr>
            <w:tcW w:w="2304" w:type="dxa"/>
            <w:tcMar>
              <w:top w:w="50" w:type="dxa"/>
              <w:bottom w:w="50" w:type="dxa"/>
            </w:tcMar>
          </w:tcPr>
          <w:p>
            <w:pPr>
              <w:spacing w:before="20" w:after="20"/>
            </w:pPr>
            <w:r>
              <w:rPr>
                <w:b/>
                <w:sz w:val="18"/>
                <w:szCs w:val="18"/>
              </w:rPr>
              <w:t xml:space="preserve">CML</w:t>
            </w:r>
          </w:p>
        </w:tc>
        <w:tc>
          <w:tcPr>
            <w:tcW w:w="7296" w:type="dxa"/>
            <w:tcMar>
              <w:top w:w="50" w:type="dxa"/>
              <w:bottom w:w="50" w:type="dxa"/>
            </w:tcMar>
          </w:tcPr>
          <w:p>
            <w:pPr>
              <w:spacing w:before="20" w:after="20"/>
            </w:pPr>
            <w:r>
              <w:rPr>
                <w:sz w:val="18"/>
                <w:szCs w:val="18"/>
              </w:rPr>
              <w:t xml:space="preserve">Línea del mercado de capitales: combina el activo libre de riesgo con la cartera tangente.</w:t>
            </w:r>
          </w:p>
        </w:tc>
      </w:tr>
      <w:tr>
        <w:trPr>
          <w:cantSplit/>
        </w:trPr>
        <w:tc>
          <w:tcPr>
            <w:tcW w:w="2304" w:type="dxa"/>
            <w:shd w:val="clear" w:color="auto" w:fill="EEF3FA"/>
            <w:tcMar>
              <w:top w:w="50" w:type="dxa"/>
              <w:bottom w:w="50" w:type="dxa"/>
            </w:tcMar>
          </w:tcPr>
          <w:p>
            <w:pPr>
              <w:spacing w:before="20" w:after="20"/>
            </w:pPr>
            <w:r>
              <w:rPr>
                <w:b/>
                <w:sz w:val="18"/>
                <w:szCs w:val="18"/>
              </w:rPr>
              <w:t xml:space="preserve">CMF</w:t>
            </w:r>
          </w:p>
        </w:tc>
        <w:tc>
          <w:tcPr>
            <w:tcW w:w="7296" w:type="dxa"/>
            <w:shd w:val="clear" w:color="auto" w:fill="EEF3FA"/>
            <w:tcMar>
              <w:top w:w="50" w:type="dxa"/>
              <w:bottom w:w="50" w:type="dxa"/>
            </w:tcMar>
          </w:tcPr>
          <w:p>
            <w:pPr>
              <w:spacing w:before="20" w:after="20"/>
            </w:pPr>
            <w:r>
              <w:rPr>
                <w:sz w:val="18"/>
                <w:szCs w:val="18"/>
              </w:rPr>
              <w:t xml:space="preserve">Comisión para el Mercado Financiero, el regulador chileno.</w:t>
            </w:r>
          </w:p>
        </w:tc>
      </w:tr>
      <w:tr>
        <w:trPr>
          <w:cantSplit/>
        </w:trPr>
        <w:tc>
          <w:tcPr>
            <w:tcW w:w="2304" w:type="dxa"/>
            <w:tcMar>
              <w:top w:w="50" w:type="dxa"/>
              <w:bottom w:w="50" w:type="dxa"/>
            </w:tcMar>
          </w:tcPr>
          <w:p>
            <w:pPr>
              <w:spacing w:before="20" w:after="20"/>
            </w:pPr>
            <w:r>
              <w:rPr>
                <w:b/>
                <w:sz w:val="18"/>
                <w:szCs w:val="18"/>
              </w:rPr>
              <w:t xml:space="preserve">Comisión</w:t>
            </w:r>
          </w:p>
        </w:tc>
        <w:tc>
          <w:tcPr>
            <w:tcW w:w="7296" w:type="dxa"/>
            <w:tcMar>
              <w:top w:w="50" w:type="dxa"/>
              <w:bottom w:w="50" w:type="dxa"/>
            </w:tcMar>
          </w:tcPr>
          <w:p>
            <w:pPr>
              <w:spacing w:before="20" w:after="20"/>
            </w:pPr>
            <w:r>
              <w:rPr>
                <w:sz w:val="18"/>
                <w:szCs w:val="18"/>
              </w:rPr>
              <w:t xml:space="preserve">Costo por operación; en el CCI históricamente 0,5%.</w:t>
            </w:r>
          </w:p>
        </w:tc>
      </w:tr>
      <w:tr>
        <w:trPr>
          <w:cantSplit/>
        </w:trPr>
        <w:tc>
          <w:tcPr>
            <w:tcW w:w="2304" w:type="dxa"/>
            <w:shd w:val="clear" w:color="auto" w:fill="EEF3FA"/>
            <w:tcMar>
              <w:top w:w="50" w:type="dxa"/>
              <w:bottom w:w="50" w:type="dxa"/>
            </w:tcMar>
          </w:tcPr>
          <w:p>
            <w:pPr>
              <w:spacing w:before="20" w:after="20"/>
            </w:pPr>
            <w:r>
              <w:rPr>
                <w:b/>
                <w:sz w:val="18"/>
                <w:szCs w:val="18"/>
              </w:rPr>
              <w:t xml:space="preserve">Correlación</w:t>
            </w:r>
          </w:p>
        </w:tc>
        <w:tc>
          <w:tcPr>
            <w:tcW w:w="7296" w:type="dxa"/>
            <w:shd w:val="clear" w:color="auto" w:fill="EEF3FA"/>
            <w:tcMar>
              <w:top w:w="50" w:type="dxa"/>
              <w:bottom w:w="50" w:type="dxa"/>
            </w:tcMar>
          </w:tcPr>
          <w:p>
            <w:pPr>
              <w:spacing w:before="20" w:after="20"/>
            </w:pPr>
            <w:r>
              <w:rPr>
                <w:sz w:val="18"/>
                <w:szCs w:val="18"/>
              </w:rPr>
              <w:t xml:space="preserve">Grado en que dos activos se mueven juntos (entre −1 y 1).</w:t>
            </w:r>
          </w:p>
        </w:tc>
      </w:tr>
      <w:tr>
        <w:trPr>
          <w:cantSplit/>
        </w:trPr>
        <w:tc>
          <w:tcPr>
            <w:tcW w:w="2304" w:type="dxa"/>
            <w:tcMar>
              <w:top w:w="50" w:type="dxa"/>
              <w:bottom w:w="50" w:type="dxa"/>
            </w:tcMar>
          </w:tcPr>
          <w:p>
            <w:pPr>
              <w:spacing w:before="20" w:after="20"/>
            </w:pPr>
            <w:r>
              <w:rPr>
                <w:b/>
                <w:sz w:val="18"/>
                <w:szCs w:val="18"/>
              </w:rPr>
              <w:t xml:space="preserve">Covarianza</w:t>
            </w:r>
          </w:p>
        </w:tc>
        <w:tc>
          <w:tcPr>
            <w:tcW w:w="7296" w:type="dxa"/>
            <w:tcMar>
              <w:top w:w="50" w:type="dxa"/>
              <w:bottom w:w="50" w:type="dxa"/>
            </w:tcMar>
          </w:tcPr>
          <w:p>
            <w:pPr>
              <w:spacing w:before="20" w:after="20"/>
            </w:pPr>
            <w:r>
              <w:rPr>
                <w:sz w:val="18"/>
                <w:szCs w:val="18"/>
              </w:rPr>
              <w:t xml:space="preserve">Medida conjunta de variación de dos activos.</w:t>
            </w:r>
          </w:p>
        </w:tc>
      </w:tr>
      <w:tr>
        <w:trPr>
          <w:cantSplit/>
        </w:trPr>
        <w:tc>
          <w:tcPr>
            <w:tcW w:w="2304" w:type="dxa"/>
            <w:shd w:val="clear" w:color="auto" w:fill="EEF3FA"/>
            <w:tcMar>
              <w:top w:w="50" w:type="dxa"/>
              <w:bottom w:w="50" w:type="dxa"/>
            </w:tcMar>
          </w:tcPr>
          <w:p>
            <w:pPr>
              <w:spacing w:before="20" w:after="20"/>
            </w:pPr>
            <w:r>
              <w:rPr>
                <w:b/>
                <w:sz w:val="18"/>
                <w:szCs w:val="18"/>
              </w:rPr>
              <w:t xml:space="preserve">Curtosis</w:t>
            </w:r>
          </w:p>
        </w:tc>
        <w:tc>
          <w:tcPr>
            <w:tcW w:w="7296" w:type="dxa"/>
            <w:shd w:val="clear" w:color="auto" w:fill="EEF3FA"/>
            <w:tcMar>
              <w:top w:w="50" w:type="dxa"/>
              <w:bottom w:w="50" w:type="dxa"/>
            </w:tcMar>
          </w:tcPr>
          <w:p>
            <w:pPr>
              <w:spacing w:before="20" w:after="20"/>
            </w:pPr>
            <w:r>
              <w:rPr>
                <w:sz w:val="18"/>
                <w:szCs w:val="18"/>
              </w:rPr>
              <w:t xml:space="preserve">Medida de colas gordas; en exceso &gt; 0 implica más eventos extremos que la normal.</w:t>
            </w:r>
          </w:p>
        </w:tc>
      </w:tr>
      <w:tr>
        <w:trPr>
          <w:cantSplit/>
        </w:trPr>
        <w:tc>
          <w:tcPr>
            <w:tcW w:w="2304" w:type="dxa"/>
            <w:tcMar>
              <w:top w:w="50" w:type="dxa"/>
              <w:bottom w:w="50" w:type="dxa"/>
            </w:tcMar>
          </w:tcPr>
          <w:p>
            <w:pPr>
              <w:spacing w:before="20" w:after="20"/>
            </w:pPr>
            <w:r>
              <w:rPr>
                <w:b/>
                <w:sz w:val="18"/>
                <w:szCs w:val="18"/>
              </w:rPr>
              <w:t xml:space="preserve">Dividend yield</w:t>
            </w:r>
          </w:p>
        </w:tc>
        <w:tc>
          <w:tcPr>
            <w:tcW w:w="7296" w:type="dxa"/>
            <w:tcMar>
              <w:top w:w="50" w:type="dxa"/>
              <w:bottom w:w="50" w:type="dxa"/>
            </w:tcMar>
          </w:tcPr>
          <w:p>
            <w:pPr>
              <w:spacing w:before="20" w:after="20"/>
            </w:pPr>
            <w:r>
              <w:rPr>
                <w:sz w:val="18"/>
                <w:szCs w:val="18"/>
              </w:rPr>
              <w:t xml:space="preserve">Dividendo anual / precio.</w:t>
            </w:r>
          </w:p>
        </w:tc>
      </w:tr>
      <w:tr>
        <w:trPr>
          <w:cantSplit/>
        </w:trPr>
        <w:tc>
          <w:tcPr>
            <w:tcW w:w="2304" w:type="dxa"/>
            <w:shd w:val="clear" w:color="auto" w:fill="EEF3FA"/>
            <w:tcMar>
              <w:top w:w="50" w:type="dxa"/>
              <w:bottom w:w="50" w:type="dxa"/>
            </w:tcMar>
          </w:tcPr>
          <w:p>
            <w:pPr>
              <w:spacing w:before="20" w:after="20"/>
            </w:pPr>
            <w:r>
              <w:rPr>
                <w:b/>
                <w:sz w:val="18"/>
                <w:szCs w:val="18"/>
              </w:rPr>
              <w:t xml:space="preserve">Drawdown</w:t>
            </w:r>
          </w:p>
        </w:tc>
        <w:tc>
          <w:tcPr>
            <w:tcW w:w="7296" w:type="dxa"/>
            <w:shd w:val="clear" w:color="auto" w:fill="EEF3FA"/>
            <w:tcMar>
              <w:top w:w="50" w:type="dxa"/>
              <w:bottom w:w="50" w:type="dxa"/>
            </w:tcMar>
          </w:tcPr>
          <w:p>
            <w:pPr>
              <w:spacing w:before="20" w:after="20"/>
            </w:pPr>
            <w:r>
              <w:rPr>
                <w:sz w:val="18"/>
                <w:szCs w:val="18"/>
              </w:rPr>
              <w:t xml:space="preserve">Caída desde el máximo anterior.</w:t>
            </w:r>
          </w:p>
        </w:tc>
      </w:tr>
      <w:tr>
        <w:trPr>
          <w:cantSplit/>
        </w:trPr>
        <w:tc>
          <w:tcPr>
            <w:tcW w:w="2304" w:type="dxa"/>
            <w:tcMar>
              <w:top w:w="50" w:type="dxa"/>
              <w:bottom w:w="50" w:type="dxa"/>
            </w:tcMar>
          </w:tcPr>
          <w:p>
            <w:pPr>
              <w:spacing w:before="20" w:after="20"/>
            </w:pPr>
            <w:r>
              <w:rPr>
                <w:b/>
                <w:sz w:val="18"/>
                <w:szCs w:val="18"/>
              </w:rPr>
              <w:t xml:space="preserve">EBITDA</w:t>
            </w:r>
          </w:p>
        </w:tc>
        <w:tc>
          <w:tcPr>
            <w:tcW w:w="7296" w:type="dxa"/>
            <w:tcMar>
              <w:top w:w="50" w:type="dxa"/>
              <w:bottom w:w="50" w:type="dxa"/>
            </w:tcMar>
          </w:tcPr>
          <w:p>
            <w:pPr>
              <w:spacing w:before="20" w:after="20"/>
            </w:pPr>
            <w:r>
              <w:rPr>
                <w:sz w:val="18"/>
                <w:szCs w:val="18"/>
              </w:rPr>
              <w:t xml:space="preserve">Resultado operacional antes de depreciación y amortización.</w:t>
            </w:r>
          </w:p>
        </w:tc>
      </w:tr>
      <w:tr>
        <w:trPr>
          <w:cantSplit/>
        </w:trPr>
        <w:tc>
          <w:tcPr>
            <w:tcW w:w="2304" w:type="dxa"/>
            <w:shd w:val="clear" w:color="auto" w:fill="EEF3FA"/>
            <w:tcMar>
              <w:top w:w="50" w:type="dxa"/>
              <w:bottom w:w="50" w:type="dxa"/>
            </w:tcMar>
          </w:tcPr>
          <w:p>
            <w:pPr>
              <w:spacing w:before="20" w:after="20"/>
            </w:pPr>
            <w:r>
              <w:rPr>
                <w:b/>
                <w:sz w:val="18"/>
                <w:szCs w:val="18"/>
              </w:rPr>
              <w:t xml:space="preserve">EV (Enterprise Value)</w:t>
            </w:r>
          </w:p>
        </w:tc>
        <w:tc>
          <w:tcPr>
            <w:tcW w:w="7296" w:type="dxa"/>
            <w:shd w:val="clear" w:color="auto" w:fill="EEF3FA"/>
            <w:tcMar>
              <w:top w:w="50" w:type="dxa"/>
              <w:bottom w:w="50" w:type="dxa"/>
            </w:tcMar>
          </w:tcPr>
          <w:p>
            <w:pPr>
              <w:spacing w:before="20" w:after="20"/>
            </w:pPr>
            <w:r>
              <w:rPr>
                <w:sz w:val="18"/>
                <w:szCs w:val="18"/>
              </w:rPr>
              <w:t xml:space="preserve">Capitalización + deuda neta: valor de la empresa completa.</w:t>
            </w:r>
          </w:p>
        </w:tc>
      </w:tr>
      <w:tr>
        <w:trPr>
          <w:cantSplit/>
        </w:trPr>
        <w:tc>
          <w:tcPr>
            <w:tcW w:w="2304" w:type="dxa"/>
            <w:tcMar>
              <w:top w:w="50" w:type="dxa"/>
              <w:bottom w:w="50" w:type="dxa"/>
            </w:tcMar>
          </w:tcPr>
          <w:p>
            <w:pPr>
              <w:spacing w:before="20" w:after="20"/>
            </w:pPr>
            <w:r>
              <w:rPr>
                <w:b/>
                <w:sz w:val="18"/>
                <w:szCs w:val="18"/>
              </w:rPr>
              <w:t xml:space="preserve">Fecha ex-dividendo</w:t>
            </w:r>
          </w:p>
        </w:tc>
        <w:tc>
          <w:tcPr>
            <w:tcW w:w="7296" w:type="dxa"/>
            <w:tcMar>
              <w:top w:w="50" w:type="dxa"/>
              <w:bottom w:w="50" w:type="dxa"/>
            </w:tcMar>
          </w:tcPr>
          <w:p>
            <w:pPr>
              <w:spacing w:before="20" w:after="20"/>
            </w:pPr>
            <w:r>
              <w:rPr>
                <w:sz w:val="18"/>
                <w:szCs w:val="18"/>
              </w:rPr>
              <w:t xml:space="preserve">Desde esa fecha el comprador ya no recibe el dividendo anunciado.</w:t>
            </w:r>
          </w:p>
        </w:tc>
      </w:tr>
      <w:tr>
        <w:trPr>
          <w:cantSplit/>
        </w:trPr>
        <w:tc>
          <w:tcPr>
            <w:tcW w:w="2304" w:type="dxa"/>
            <w:shd w:val="clear" w:color="auto" w:fill="EEF3FA"/>
            <w:tcMar>
              <w:top w:w="50" w:type="dxa"/>
              <w:bottom w:w="50" w:type="dxa"/>
            </w:tcMar>
          </w:tcPr>
          <w:p>
            <w:pPr>
              <w:spacing w:before="20" w:after="20"/>
            </w:pPr>
            <w:r>
              <w:rPr>
                <w:b/>
                <w:sz w:val="18"/>
                <w:szCs w:val="18"/>
              </w:rPr>
              <w:t xml:space="preserve">Free float</w:t>
            </w:r>
          </w:p>
        </w:tc>
        <w:tc>
          <w:tcPr>
            <w:tcW w:w="7296" w:type="dxa"/>
            <w:shd w:val="clear" w:color="auto" w:fill="EEF3FA"/>
            <w:tcMar>
              <w:top w:w="50" w:type="dxa"/>
              <w:bottom w:w="50" w:type="dxa"/>
            </w:tcMar>
          </w:tcPr>
          <w:p>
            <w:pPr>
              <w:spacing w:before="20" w:after="20"/>
            </w:pPr>
            <w:r>
              <w:rPr>
                <w:sz w:val="18"/>
                <w:szCs w:val="18"/>
              </w:rPr>
              <w:t xml:space="preserve">Porcentaje de acciones que realmente se transa (no en manos de controladores).</w:t>
            </w:r>
          </w:p>
        </w:tc>
      </w:tr>
      <w:tr>
        <w:trPr>
          <w:cantSplit/>
        </w:trPr>
        <w:tc>
          <w:tcPr>
            <w:tcW w:w="2304" w:type="dxa"/>
            <w:tcMar>
              <w:top w:w="50" w:type="dxa"/>
              <w:bottom w:w="50" w:type="dxa"/>
            </w:tcMar>
          </w:tcPr>
          <w:p>
            <w:pPr>
              <w:spacing w:before="20" w:after="20"/>
            </w:pPr>
            <w:r>
              <w:rPr>
                <w:b/>
                <w:sz w:val="18"/>
                <w:szCs w:val="18"/>
              </w:rPr>
              <w:t xml:space="preserve">Frontera eficiente</w:t>
            </w:r>
          </w:p>
        </w:tc>
        <w:tc>
          <w:tcPr>
            <w:tcW w:w="7296" w:type="dxa"/>
            <w:tcMar>
              <w:top w:w="50" w:type="dxa"/>
              <w:bottom w:w="50" w:type="dxa"/>
            </w:tcMar>
          </w:tcPr>
          <w:p>
            <w:pPr>
              <w:spacing w:before="20" w:after="20"/>
            </w:pPr>
            <w:r>
              <w:rPr>
                <w:sz w:val="18"/>
                <w:szCs w:val="18"/>
              </w:rPr>
              <w:t xml:space="preserve">Carteras con máximo retorno esperado para cada nivel de riesgo.</w:t>
            </w:r>
          </w:p>
        </w:tc>
      </w:tr>
      <w:tr>
        <w:trPr>
          <w:cantSplit/>
        </w:trPr>
        <w:tc>
          <w:tcPr>
            <w:tcW w:w="2304" w:type="dxa"/>
            <w:shd w:val="clear" w:color="auto" w:fill="EEF3FA"/>
            <w:tcMar>
              <w:top w:w="50" w:type="dxa"/>
              <w:bottom w:w="50" w:type="dxa"/>
            </w:tcMar>
          </w:tcPr>
          <w:p>
            <w:pPr>
              <w:spacing w:before="20" w:after="20"/>
            </w:pPr>
            <w:r>
              <w:rPr>
                <w:b/>
                <w:sz w:val="18"/>
                <w:szCs w:val="18"/>
              </w:rPr>
              <w:t xml:space="preserve">Hecho esencial</w:t>
            </w:r>
          </w:p>
        </w:tc>
        <w:tc>
          <w:tcPr>
            <w:tcW w:w="7296" w:type="dxa"/>
            <w:shd w:val="clear" w:color="auto" w:fill="EEF3FA"/>
            <w:tcMar>
              <w:top w:w="50" w:type="dxa"/>
              <w:bottom w:w="50" w:type="dxa"/>
            </w:tcMar>
          </w:tcPr>
          <w:p>
            <w:pPr>
              <w:spacing w:before="20" w:after="20"/>
            </w:pPr>
            <w:r>
              <w:rPr>
                <w:sz w:val="18"/>
                <w:szCs w:val="18"/>
              </w:rPr>
              <w:t xml:space="preserve">Información relevante que la empresa debe informar de inmediato a la CMF.</w:t>
            </w:r>
          </w:p>
        </w:tc>
      </w:tr>
      <w:tr>
        <w:trPr>
          <w:cantSplit/>
        </w:trPr>
        <w:tc>
          <w:tcPr>
            <w:tcW w:w="2304" w:type="dxa"/>
            <w:tcMar>
              <w:top w:w="50" w:type="dxa"/>
              <w:bottom w:w="50" w:type="dxa"/>
            </w:tcMar>
          </w:tcPr>
          <w:p>
            <w:pPr>
              <w:spacing w:before="20" w:after="20"/>
            </w:pPr>
            <w:r>
              <w:rPr>
                <w:b/>
                <w:sz w:val="18"/>
                <w:szCs w:val="18"/>
              </w:rPr>
              <w:t xml:space="preserve">IPSA</w:t>
            </w:r>
          </w:p>
        </w:tc>
        <w:tc>
          <w:tcPr>
            <w:tcW w:w="7296" w:type="dxa"/>
            <w:tcMar>
              <w:top w:w="50" w:type="dxa"/>
              <w:bottom w:w="50" w:type="dxa"/>
            </w:tcMar>
          </w:tcPr>
          <w:p>
            <w:pPr>
              <w:spacing w:before="20" w:after="20"/>
            </w:pPr>
            <w:r>
              <w:rPr>
                <w:sz w:val="18"/>
                <w:szCs w:val="18"/>
              </w:rPr>
              <w:t xml:space="preserve">Principal índice accionario de Chile (30 acciones).</w:t>
            </w:r>
          </w:p>
        </w:tc>
      </w:tr>
      <w:tr>
        <w:trPr>
          <w:cantSplit/>
        </w:trPr>
        <w:tc>
          <w:tcPr>
            <w:tcW w:w="2304" w:type="dxa"/>
            <w:shd w:val="clear" w:color="auto" w:fill="EEF3FA"/>
            <w:tcMar>
              <w:top w:w="50" w:type="dxa"/>
              <w:bottom w:w="50" w:type="dxa"/>
            </w:tcMar>
          </w:tcPr>
          <w:p>
            <w:pPr>
              <w:spacing w:before="20" w:after="20"/>
            </w:pPr>
            <w:r>
              <w:rPr>
                <w:b/>
                <w:sz w:val="18"/>
                <w:szCs w:val="18"/>
              </w:rPr>
              <w:t xml:space="preserve">IPoM</w:t>
            </w:r>
          </w:p>
        </w:tc>
        <w:tc>
          <w:tcPr>
            <w:tcW w:w="7296" w:type="dxa"/>
            <w:shd w:val="clear" w:color="auto" w:fill="EEF3FA"/>
            <w:tcMar>
              <w:top w:w="50" w:type="dxa"/>
              <w:bottom w:w="50" w:type="dxa"/>
            </w:tcMar>
          </w:tcPr>
          <w:p>
            <w:pPr>
              <w:spacing w:before="20" w:after="20"/>
            </w:pPr>
            <w:r>
              <w:rPr>
                <w:sz w:val="18"/>
                <w:szCs w:val="18"/>
              </w:rPr>
              <w:t xml:space="preserve">Informe de Política Monetaria del Banco Central (trimestral).</w:t>
            </w:r>
          </w:p>
        </w:tc>
      </w:tr>
      <w:tr>
        <w:trPr>
          <w:cantSplit/>
        </w:trPr>
        <w:tc>
          <w:tcPr>
            <w:tcW w:w="2304" w:type="dxa"/>
            <w:tcMar>
              <w:top w:w="50" w:type="dxa"/>
              <w:bottom w:w="50" w:type="dxa"/>
            </w:tcMar>
          </w:tcPr>
          <w:p>
            <w:pPr>
              <w:spacing w:before="20" w:after="20"/>
            </w:pPr>
            <w:r>
              <w:rPr>
                <w:b/>
                <w:sz w:val="18"/>
                <w:szCs w:val="18"/>
              </w:rPr>
              <w:t xml:space="preserve">Liquidez</w:t>
            </w:r>
          </w:p>
        </w:tc>
        <w:tc>
          <w:tcPr>
            <w:tcW w:w="7296" w:type="dxa"/>
            <w:tcMar>
              <w:top w:w="50" w:type="dxa"/>
              <w:bottom w:w="50" w:type="dxa"/>
            </w:tcMar>
          </w:tcPr>
          <w:p>
            <w:pPr>
              <w:spacing w:before="20" w:after="20"/>
            </w:pPr>
            <w:r>
              <w:rPr>
                <w:sz w:val="18"/>
                <w:szCs w:val="18"/>
              </w:rPr>
              <w:t xml:space="preserve">Facilidad para comprar o vender sin mover el precio.</w:t>
            </w:r>
          </w:p>
        </w:tc>
      </w:tr>
      <w:tr>
        <w:trPr>
          <w:cantSplit/>
        </w:trPr>
        <w:tc>
          <w:tcPr>
            <w:tcW w:w="2304" w:type="dxa"/>
            <w:shd w:val="clear" w:color="auto" w:fill="EEF3FA"/>
            <w:tcMar>
              <w:top w:w="50" w:type="dxa"/>
              <w:bottom w:w="50" w:type="dxa"/>
            </w:tcMar>
          </w:tcPr>
          <w:p>
            <w:pPr>
              <w:spacing w:before="20" w:after="20"/>
            </w:pPr>
            <w:r>
              <w:rPr>
                <w:b/>
                <w:sz w:val="18"/>
                <w:szCs w:val="18"/>
              </w:rPr>
              <w:t xml:space="preserve">Marcha blanca</w:t>
            </w:r>
          </w:p>
        </w:tc>
        <w:tc>
          <w:tcPr>
            <w:tcW w:w="7296" w:type="dxa"/>
            <w:shd w:val="clear" w:color="auto" w:fill="EEF3FA"/>
            <w:tcMar>
              <w:top w:w="50" w:type="dxa"/>
              <w:bottom w:w="50" w:type="dxa"/>
            </w:tcMar>
          </w:tcPr>
          <w:p>
            <w:pPr>
              <w:spacing w:before="20" w:after="20"/>
            </w:pPr>
            <w:r>
              <w:rPr>
                <w:sz w:val="18"/>
                <w:szCs w:val="18"/>
              </w:rPr>
              <w:t xml:space="preserve">Fase de ensayo del CCI, que no cuenta para el ranking.</w:t>
            </w:r>
          </w:p>
        </w:tc>
      </w:tr>
      <w:tr>
        <w:trPr>
          <w:cantSplit/>
        </w:trPr>
        <w:tc>
          <w:tcPr>
            <w:tcW w:w="2304" w:type="dxa"/>
            <w:tcMar>
              <w:top w:w="50" w:type="dxa"/>
              <w:bottom w:w="50" w:type="dxa"/>
            </w:tcMar>
          </w:tcPr>
          <w:p>
            <w:pPr>
              <w:spacing w:before="20" w:after="20"/>
            </w:pPr>
            <w:r>
              <w:rPr>
                <w:b/>
                <w:sz w:val="18"/>
                <w:szCs w:val="18"/>
              </w:rPr>
              <w:t xml:space="preserve">Momentum</w:t>
            </w:r>
          </w:p>
        </w:tc>
        <w:tc>
          <w:tcPr>
            <w:tcW w:w="7296" w:type="dxa"/>
            <w:tcMar>
              <w:top w:w="50" w:type="dxa"/>
              <w:bottom w:w="50" w:type="dxa"/>
            </w:tcMar>
          </w:tcPr>
          <w:p>
            <w:pPr>
              <w:spacing w:before="20" w:after="20"/>
            </w:pPr>
            <w:r>
              <w:rPr>
                <w:sz w:val="18"/>
                <w:szCs w:val="18"/>
              </w:rPr>
              <w:t xml:space="preserve">Tendencia de los ganadores recientes a seguir ganando.</w:t>
            </w:r>
          </w:p>
        </w:tc>
      </w:tr>
      <w:tr>
        <w:trPr>
          <w:cantSplit/>
        </w:trPr>
        <w:tc>
          <w:tcPr>
            <w:tcW w:w="2304" w:type="dxa"/>
            <w:shd w:val="clear" w:color="auto" w:fill="EEF3FA"/>
            <w:tcMar>
              <w:top w:w="50" w:type="dxa"/>
              <w:bottom w:w="50" w:type="dxa"/>
            </w:tcMar>
          </w:tcPr>
          <w:p>
            <w:pPr>
              <w:spacing w:before="20" w:after="20"/>
            </w:pPr>
            <w:r>
              <w:rPr>
                <w:b/>
                <w:sz w:val="18"/>
                <w:szCs w:val="18"/>
              </w:rPr>
              <w:t xml:space="preserve">nuam</w:t>
            </w:r>
          </w:p>
        </w:tc>
        <w:tc>
          <w:tcPr>
            <w:tcW w:w="7296" w:type="dxa"/>
            <w:shd w:val="clear" w:color="auto" w:fill="EEF3FA"/>
            <w:tcMar>
              <w:top w:w="50" w:type="dxa"/>
              <w:bottom w:w="50" w:type="dxa"/>
            </w:tcMar>
          </w:tcPr>
          <w:p>
            <w:pPr>
              <w:spacing w:before="20" w:after="20"/>
            </w:pPr>
            <w:r>
              <w:rPr>
                <w:sz w:val="18"/>
                <w:szCs w:val="18"/>
              </w:rPr>
              <w:t xml:space="preserve">Holding que integra las bolsas de Santiago, Lima y Colombia.</w:t>
            </w:r>
          </w:p>
        </w:tc>
      </w:tr>
      <w:tr>
        <w:trPr>
          <w:cantSplit/>
        </w:trPr>
        <w:tc>
          <w:tcPr>
            <w:tcW w:w="2304" w:type="dxa"/>
            <w:tcMar>
              <w:top w:w="50" w:type="dxa"/>
              <w:bottom w:w="50" w:type="dxa"/>
            </w:tcMar>
          </w:tcPr>
          <w:p>
            <w:pPr>
              <w:spacing w:before="20" w:after="20"/>
            </w:pPr>
            <w:r>
              <w:rPr>
                <w:b/>
                <w:sz w:val="18"/>
                <w:szCs w:val="18"/>
              </w:rPr>
              <w:t xml:space="preserve">Orden límite</w:t>
            </w:r>
          </w:p>
        </w:tc>
        <w:tc>
          <w:tcPr>
            <w:tcW w:w="7296" w:type="dxa"/>
            <w:tcMar>
              <w:top w:w="50" w:type="dxa"/>
              <w:bottom w:w="50" w:type="dxa"/>
            </w:tcMar>
          </w:tcPr>
          <w:p>
            <w:pPr>
              <w:spacing w:before="20" w:after="20"/>
            </w:pPr>
            <w:r>
              <w:rPr>
                <w:sz w:val="18"/>
                <w:szCs w:val="18"/>
              </w:rPr>
              <w:t xml:space="preserve">Orden que se ejecuta solo a un precio determinado o mejor.</w:t>
            </w:r>
          </w:p>
        </w:tc>
      </w:tr>
      <w:tr>
        <w:trPr>
          <w:cantSplit/>
        </w:trPr>
        <w:tc>
          <w:tcPr>
            <w:tcW w:w="2304" w:type="dxa"/>
            <w:shd w:val="clear" w:color="auto" w:fill="EEF3FA"/>
            <w:tcMar>
              <w:top w:w="50" w:type="dxa"/>
              <w:bottom w:w="50" w:type="dxa"/>
            </w:tcMar>
          </w:tcPr>
          <w:p>
            <w:pPr>
              <w:spacing w:before="20" w:after="20"/>
            </w:pPr>
            <w:r>
              <w:rPr>
                <w:b/>
                <w:sz w:val="18"/>
                <w:szCs w:val="18"/>
              </w:rPr>
              <w:t xml:space="preserve">P/U</w:t>
            </w:r>
          </w:p>
        </w:tc>
        <w:tc>
          <w:tcPr>
            <w:tcW w:w="7296" w:type="dxa"/>
            <w:shd w:val="clear" w:color="auto" w:fill="EEF3FA"/>
            <w:tcMar>
              <w:top w:w="50" w:type="dxa"/>
              <w:bottom w:w="50" w:type="dxa"/>
            </w:tcMar>
          </w:tcPr>
          <w:p>
            <w:pPr>
              <w:spacing w:before="20" w:after="20"/>
            </w:pPr>
            <w:r>
              <w:rPr>
                <w:sz w:val="18"/>
                <w:szCs w:val="18"/>
              </w:rPr>
              <w:t xml:space="preserve">Precio / utilidad por acción.</w:t>
            </w:r>
          </w:p>
        </w:tc>
      </w:tr>
      <w:tr>
        <w:trPr>
          <w:cantSplit/>
        </w:trPr>
        <w:tc>
          <w:tcPr>
            <w:tcW w:w="2304" w:type="dxa"/>
            <w:tcMar>
              <w:top w:w="50" w:type="dxa"/>
              <w:bottom w:w="50" w:type="dxa"/>
            </w:tcMar>
          </w:tcPr>
          <w:p>
            <w:pPr>
              <w:spacing w:before="20" w:after="20"/>
            </w:pPr>
            <w:r>
              <w:rPr>
                <w:b/>
                <w:sz w:val="18"/>
                <w:szCs w:val="18"/>
              </w:rPr>
              <w:t xml:space="preserve">P/VL</w:t>
            </w:r>
          </w:p>
        </w:tc>
        <w:tc>
          <w:tcPr>
            <w:tcW w:w="7296" w:type="dxa"/>
            <w:tcMar>
              <w:top w:w="50" w:type="dxa"/>
              <w:bottom w:w="50" w:type="dxa"/>
            </w:tcMar>
          </w:tcPr>
          <w:p>
            <w:pPr>
              <w:spacing w:before="20" w:after="20"/>
            </w:pPr>
            <w:r>
              <w:rPr>
                <w:sz w:val="18"/>
                <w:szCs w:val="18"/>
              </w:rPr>
              <w:t xml:space="preserve">Precio / valor libro por acción (inverso del BME).</w:t>
            </w:r>
          </w:p>
        </w:tc>
      </w:tr>
      <w:tr>
        <w:trPr>
          <w:cantSplit/>
        </w:trPr>
        <w:tc>
          <w:tcPr>
            <w:tcW w:w="2304" w:type="dxa"/>
            <w:shd w:val="clear" w:color="auto" w:fill="EEF3FA"/>
            <w:tcMar>
              <w:top w:w="50" w:type="dxa"/>
              <w:bottom w:w="50" w:type="dxa"/>
            </w:tcMar>
          </w:tcPr>
          <w:p>
            <w:pPr>
              <w:spacing w:before="20" w:after="20"/>
            </w:pPr>
            <w:r>
              <w:rPr>
                <w:b/>
                <w:sz w:val="18"/>
                <w:szCs w:val="18"/>
              </w:rPr>
              <w:t xml:space="preserve">PEAD</w:t>
            </w:r>
          </w:p>
        </w:tc>
        <w:tc>
          <w:tcPr>
            <w:tcW w:w="7296" w:type="dxa"/>
            <w:shd w:val="clear" w:color="auto" w:fill="EEF3FA"/>
            <w:tcMar>
              <w:top w:w="50" w:type="dxa"/>
              <w:bottom w:w="50" w:type="dxa"/>
            </w:tcMar>
          </w:tcPr>
          <w:p>
            <w:pPr>
              <w:spacing w:before="20" w:after="20"/>
            </w:pPr>
            <w:r>
              <w:rPr>
                <w:sz w:val="18"/>
                <w:szCs w:val="18"/>
              </w:rPr>
              <w:t xml:space="preserve">Tendencia de los precios a seguir la dirección de la sorpresa de utilidades.</w:t>
            </w:r>
          </w:p>
        </w:tc>
      </w:tr>
      <w:tr>
        <w:trPr>
          <w:cantSplit/>
        </w:trPr>
        <w:tc>
          <w:tcPr>
            <w:tcW w:w="2304" w:type="dxa"/>
            <w:tcMar>
              <w:top w:w="50" w:type="dxa"/>
              <w:bottom w:w="50" w:type="dxa"/>
            </w:tcMar>
          </w:tcPr>
          <w:p>
            <w:pPr>
              <w:spacing w:before="20" w:after="20"/>
            </w:pPr>
            <w:r>
              <w:rPr>
                <w:b/>
                <w:sz w:val="18"/>
                <w:szCs w:val="18"/>
              </w:rPr>
              <w:t xml:space="preserve">Prima por riesgo de mercado</w:t>
            </w:r>
          </w:p>
        </w:tc>
        <w:tc>
          <w:tcPr>
            <w:tcW w:w="7296" w:type="dxa"/>
            <w:tcMar>
              <w:top w:w="50" w:type="dxa"/>
              <w:bottom w:w="50" w:type="dxa"/>
            </w:tcMar>
          </w:tcPr>
          <w:p>
            <w:pPr>
              <w:spacing w:before="20" w:after="20"/>
            </w:pPr>
            <w:r>
              <w:rPr>
                <w:sz w:val="18"/>
                <w:szCs w:val="18"/>
              </w:rPr>
              <w:t xml:space="preserve">Retorno extra que exige el mercado sobre la tasa libre de riesgo.</w:t>
            </w:r>
          </w:p>
        </w:tc>
      </w:tr>
      <w:tr>
        <w:trPr>
          <w:cantSplit/>
        </w:trPr>
        <w:tc>
          <w:tcPr>
            <w:tcW w:w="2304" w:type="dxa"/>
            <w:shd w:val="clear" w:color="auto" w:fill="EEF3FA"/>
            <w:tcMar>
              <w:top w:w="50" w:type="dxa"/>
              <w:bottom w:w="50" w:type="dxa"/>
            </w:tcMar>
          </w:tcPr>
          <w:p>
            <w:pPr>
              <w:spacing w:before="20" w:after="20"/>
            </w:pPr>
            <w:r>
              <w:rPr>
                <w:b/>
                <w:sz w:val="18"/>
                <w:szCs w:val="18"/>
              </w:rPr>
              <w:t xml:space="preserve">R²</w:t>
            </w:r>
          </w:p>
        </w:tc>
        <w:tc>
          <w:tcPr>
            <w:tcW w:w="7296" w:type="dxa"/>
            <w:shd w:val="clear" w:color="auto" w:fill="EEF3FA"/>
            <w:tcMar>
              <w:top w:w="50" w:type="dxa"/>
              <w:bottom w:w="50" w:type="dxa"/>
            </w:tcMar>
          </w:tcPr>
          <w:p>
            <w:pPr>
              <w:spacing w:before="20" w:after="20"/>
            </w:pPr>
            <w:r>
              <w:rPr>
                <w:sz w:val="18"/>
                <w:szCs w:val="18"/>
              </w:rPr>
              <w:t xml:space="preserve">Proporción de la varianza explicada por la regresión.</w:t>
            </w:r>
          </w:p>
        </w:tc>
      </w:tr>
      <w:tr>
        <w:trPr>
          <w:cantSplit/>
        </w:trPr>
        <w:tc>
          <w:tcPr>
            <w:tcW w:w="2304" w:type="dxa"/>
            <w:tcMar>
              <w:top w:w="50" w:type="dxa"/>
              <w:bottom w:w="50" w:type="dxa"/>
            </w:tcMar>
          </w:tcPr>
          <w:p>
            <w:pPr>
              <w:spacing w:before="20" w:after="20"/>
            </w:pPr>
            <w:r>
              <w:rPr>
                <w:b/>
                <w:sz w:val="18"/>
                <w:szCs w:val="18"/>
              </w:rPr>
              <w:t xml:space="preserve">Riesgo idiosincrático</w:t>
            </w:r>
          </w:p>
        </w:tc>
        <w:tc>
          <w:tcPr>
            <w:tcW w:w="7296" w:type="dxa"/>
            <w:tcMar>
              <w:top w:w="50" w:type="dxa"/>
              <w:bottom w:w="50" w:type="dxa"/>
            </w:tcMar>
          </w:tcPr>
          <w:p>
            <w:pPr>
              <w:spacing w:before="20" w:after="20"/>
            </w:pPr>
            <w:r>
              <w:rPr>
                <w:sz w:val="18"/>
                <w:szCs w:val="18"/>
              </w:rPr>
              <w:t xml:space="preserve">Riesgo propio de la empresa; se diversifica.</w:t>
            </w:r>
          </w:p>
        </w:tc>
      </w:tr>
      <w:tr>
        <w:trPr>
          <w:cantSplit/>
        </w:trPr>
        <w:tc>
          <w:tcPr>
            <w:tcW w:w="2304" w:type="dxa"/>
            <w:shd w:val="clear" w:color="auto" w:fill="EEF3FA"/>
            <w:tcMar>
              <w:top w:w="50" w:type="dxa"/>
              <w:bottom w:w="50" w:type="dxa"/>
            </w:tcMar>
          </w:tcPr>
          <w:p>
            <w:pPr>
              <w:spacing w:before="20" w:after="20"/>
            </w:pPr>
            <w:r>
              <w:rPr>
                <w:b/>
                <w:sz w:val="18"/>
                <w:szCs w:val="18"/>
              </w:rPr>
              <w:t xml:space="preserve">Riesgo sistemático</w:t>
            </w:r>
          </w:p>
        </w:tc>
        <w:tc>
          <w:tcPr>
            <w:tcW w:w="7296" w:type="dxa"/>
            <w:shd w:val="clear" w:color="auto" w:fill="EEF3FA"/>
            <w:tcMar>
              <w:top w:w="50" w:type="dxa"/>
              <w:bottom w:w="50" w:type="dxa"/>
            </w:tcMar>
          </w:tcPr>
          <w:p>
            <w:pPr>
              <w:spacing w:before="20" w:after="20"/>
            </w:pPr>
            <w:r>
              <w:rPr>
                <w:sz w:val="18"/>
                <w:szCs w:val="18"/>
              </w:rPr>
              <w:t xml:space="preserve">Riesgo de mercado; no se diversifica.</w:t>
            </w:r>
          </w:p>
        </w:tc>
      </w:tr>
      <w:tr>
        <w:trPr>
          <w:cantSplit/>
        </w:trPr>
        <w:tc>
          <w:tcPr>
            <w:tcW w:w="2304" w:type="dxa"/>
            <w:tcMar>
              <w:top w:w="50" w:type="dxa"/>
              <w:bottom w:w="50" w:type="dxa"/>
            </w:tcMar>
          </w:tcPr>
          <w:p>
            <w:pPr>
              <w:spacing w:before="20" w:after="20"/>
            </w:pPr>
            <w:r>
              <w:rPr>
                <w:b/>
                <w:sz w:val="18"/>
                <w:szCs w:val="18"/>
              </w:rPr>
              <w:t xml:space="preserve">RPM</w:t>
            </w:r>
          </w:p>
        </w:tc>
        <w:tc>
          <w:tcPr>
            <w:tcW w:w="7296" w:type="dxa"/>
            <w:tcMar>
              <w:top w:w="50" w:type="dxa"/>
              <w:bottom w:w="50" w:type="dxa"/>
            </w:tcMar>
          </w:tcPr>
          <w:p>
            <w:pPr>
              <w:spacing w:before="20" w:after="20"/>
            </w:pPr>
            <w:r>
              <w:rPr>
                <w:sz w:val="18"/>
                <w:szCs w:val="18"/>
              </w:rPr>
              <w:t xml:space="preserve">Reunión de Política Monetaria del Banco Central.</w:t>
            </w:r>
          </w:p>
        </w:tc>
      </w:tr>
      <w:tr>
        <w:trPr>
          <w:cantSplit/>
        </w:trPr>
        <w:tc>
          <w:tcPr>
            <w:tcW w:w="2304" w:type="dxa"/>
            <w:shd w:val="clear" w:color="auto" w:fill="EEF3FA"/>
            <w:tcMar>
              <w:top w:w="50" w:type="dxa"/>
              <w:bottom w:w="50" w:type="dxa"/>
            </w:tcMar>
          </w:tcPr>
          <w:p>
            <w:pPr>
              <w:spacing w:before="20" w:after="20"/>
            </w:pPr>
            <w:r>
              <w:rPr>
                <w:b/>
                <w:sz w:val="18"/>
                <w:szCs w:val="18"/>
              </w:rPr>
              <w:t xml:space="preserve">RSI</w:t>
            </w:r>
          </w:p>
        </w:tc>
        <w:tc>
          <w:tcPr>
            <w:tcW w:w="7296" w:type="dxa"/>
            <w:shd w:val="clear" w:color="auto" w:fill="EEF3FA"/>
            <w:tcMar>
              <w:top w:w="50" w:type="dxa"/>
              <w:bottom w:w="50" w:type="dxa"/>
            </w:tcMar>
          </w:tcPr>
          <w:p>
            <w:pPr>
              <w:spacing w:before="20" w:after="20"/>
            </w:pPr>
            <w:r>
              <w:rPr>
                <w:sz w:val="18"/>
                <w:szCs w:val="18"/>
              </w:rPr>
              <w:t xml:space="preserve">Índice de fuerza relativa; oscilador entre 0 y 100.</w:t>
            </w:r>
          </w:p>
        </w:tc>
      </w:tr>
      <w:tr>
        <w:trPr>
          <w:cantSplit/>
        </w:trPr>
        <w:tc>
          <w:tcPr>
            <w:tcW w:w="2304" w:type="dxa"/>
            <w:tcMar>
              <w:top w:w="50" w:type="dxa"/>
              <w:bottom w:w="50" w:type="dxa"/>
            </w:tcMar>
          </w:tcPr>
          <w:p>
            <w:pPr>
              <w:spacing w:before="20" w:after="20"/>
            </w:pPr>
            <w:r>
              <w:rPr>
                <w:b/>
                <w:sz w:val="18"/>
                <w:szCs w:val="18"/>
              </w:rPr>
              <w:t xml:space="preserve">Sharpe</w:t>
            </w:r>
          </w:p>
        </w:tc>
        <w:tc>
          <w:tcPr>
            <w:tcW w:w="7296" w:type="dxa"/>
            <w:tcMar>
              <w:top w:w="50" w:type="dxa"/>
              <w:bottom w:w="50" w:type="dxa"/>
            </w:tcMar>
          </w:tcPr>
          <w:p>
            <w:pPr>
              <w:spacing w:before="20" w:after="20"/>
            </w:pPr>
            <w:r>
              <w:rPr>
                <w:sz w:val="18"/>
                <w:szCs w:val="18"/>
              </w:rPr>
              <w:t xml:space="preserve">Retorno sobre la tasa libre de riesgo dividido por la volatilidad.</w:t>
            </w:r>
          </w:p>
        </w:tc>
      </w:tr>
      <w:tr>
        <w:trPr>
          <w:cantSplit/>
        </w:trPr>
        <w:tc>
          <w:tcPr>
            <w:tcW w:w="2304" w:type="dxa"/>
            <w:shd w:val="clear" w:color="auto" w:fill="EEF3FA"/>
            <w:tcMar>
              <w:top w:w="50" w:type="dxa"/>
              <w:bottom w:w="50" w:type="dxa"/>
            </w:tcMar>
          </w:tcPr>
          <w:p>
            <w:pPr>
              <w:spacing w:before="20" w:after="20"/>
            </w:pPr>
            <w:r>
              <w:rPr>
                <w:b/>
                <w:sz w:val="18"/>
                <w:szCs w:val="18"/>
              </w:rPr>
              <w:t xml:space="preserve">SML</w:t>
            </w:r>
          </w:p>
        </w:tc>
        <w:tc>
          <w:tcPr>
            <w:tcW w:w="7296" w:type="dxa"/>
            <w:shd w:val="clear" w:color="auto" w:fill="EEF3FA"/>
            <w:tcMar>
              <w:top w:w="50" w:type="dxa"/>
              <w:bottom w:w="50" w:type="dxa"/>
            </w:tcMar>
          </w:tcPr>
          <w:p>
            <w:pPr>
              <w:spacing w:before="20" w:after="20"/>
            </w:pPr>
            <w:r>
              <w:rPr>
                <w:sz w:val="18"/>
                <w:szCs w:val="18"/>
              </w:rPr>
              <w:t xml:space="preserve">Línea del mercado de valores: retorno exigido según beta.</w:t>
            </w:r>
          </w:p>
        </w:tc>
      </w:tr>
      <w:tr>
        <w:trPr>
          <w:cantSplit/>
        </w:trPr>
        <w:tc>
          <w:tcPr>
            <w:tcW w:w="2304" w:type="dxa"/>
            <w:tcMar>
              <w:top w:w="50" w:type="dxa"/>
              <w:bottom w:w="50" w:type="dxa"/>
            </w:tcMar>
          </w:tcPr>
          <w:p>
            <w:pPr>
              <w:spacing w:before="20" w:after="20"/>
            </w:pPr>
            <w:r>
              <w:rPr>
                <w:b/>
                <w:sz w:val="18"/>
                <w:szCs w:val="18"/>
              </w:rPr>
              <w:t xml:space="preserve">Spread</w:t>
            </w:r>
          </w:p>
        </w:tc>
        <w:tc>
          <w:tcPr>
            <w:tcW w:w="7296" w:type="dxa"/>
            <w:tcMar>
              <w:top w:w="50" w:type="dxa"/>
              <w:bottom w:w="50" w:type="dxa"/>
            </w:tcMar>
          </w:tcPr>
          <w:p>
            <w:pPr>
              <w:spacing w:before="20" w:after="20"/>
            </w:pPr>
            <w:r>
              <w:rPr>
                <w:sz w:val="18"/>
                <w:szCs w:val="18"/>
              </w:rPr>
              <w:t xml:space="preserve">Diferencia entre el mejor precio de compra y el de venta.</w:t>
            </w:r>
          </w:p>
        </w:tc>
      </w:tr>
      <w:tr>
        <w:trPr>
          <w:cantSplit/>
        </w:trPr>
        <w:tc>
          <w:tcPr>
            <w:tcW w:w="2304" w:type="dxa"/>
            <w:shd w:val="clear" w:color="auto" w:fill="EEF3FA"/>
            <w:tcMar>
              <w:top w:w="50" w:type="dxa"/>
              <w:bottom w:w="50" w:type="dxa"/>
            </w:tcMar>
          </w:tcPr>
          <w:p>
            <w:pPr>
              <w:spacing w:before="20" w:after="20"/>
            </w:pPr>
            <w:r>
              <w:rPr>
                <w:b/>
                <w:sz w:val="18"/>
                <w:szCs w:val="18"/>
              </w:rPr>
              <w:t xml:space="preserve">Stop</w:t>
            </w:r>
          </w:p>
        </w:tc>
        <w:tc>
          <w:tcPr>
            <w:tcW w:w="7296" w:type="dxa"/>
            <w:shd w:val="clear" w:color="auto" w:fill="EEF3FA"/>
            <w:tcMar>
              <w:top w:w="50" w:type="dxa"/>
              <w:bottom w:w="50" w:type="dxa"/>
            </w:tcMar>
          </w:tcPr>
          <w:p>
            <w:pPr>
              <w:spacing w:before="20" w:after="20"/>
            </w:pPr>
            <w:r>
              <w:rPr>
                <w:sz w:val="18"/>
                <w:szCs w:val="18"/>
              </w:rPr>
              <w:t xml:space="preserve">Precio o condición predefinida para salir de una posición perdedora.</w:t>
            </w:r>
          </w:p>
        </w:tc>
      </w:tr>
      <w:tr>
        <w:trPr>
          <w:cantSplit/>
        </w:trPr>
        <w:tc>
          <w:tcPr>
            <w:tcW w:w="2304" w:type="dxa"/>
            <w:tcMar>
              <w:top w:w="50" w:type="dxa"/>
              <w:bottom w:w="50" w:type="dxa"/>
            </w:tcMar>
          </w:tcPr>
          <w:p>
            <w:pPr>
              <w:spacing w:before="20" w:after="20"/>
            </w:pPr>
            <w:r>
              <w:rPr>
                <w:b/>
                <w:sz w:val="18"/>
                <w:szCs w:val="18"/>
              </w:rPr>
              <w:t xml:space="preserve">TPM</w:t>
            </w:r>
          </w:p>
        </w:tc>
        <w:tc>
          <w:tcPr>
            <w:tcW w:w="7296" w:type="dxa"/>
            <w:tcMar>
              <w:top w:w="50" w:type="dxa"/>
              <w:bottom w:w="50" w:type="dxa"/>
            </w:tcMar>
          </w:tcPr>
          <w:p>
            <w:pPr>
              <w:spacing w:before="20" w:after="20"/>
            </w:pPr>
            <w:r>
              <w:rPr>
                <w:sz w:val="18"/>
                <w:szCs w:val="18"/>
              </w:rPr>
              <w:t xml:space="preserve">Tasa de Política Monetaria del Banco Central de Chile.</w:t>
            </w:r>
          </w:p>
        </w:tc>
      </w:tr>
      <w:tr>
        <w:trPr>
          <w:cantSplit/>
        </w:trPr>
        <w:tc>
          <w:tcPr>
            <w:tcW w:w="2304" w:type="dxa"/>
            <w:shd w:val="clear" w:color="auto" w:fill="EEF3FA"/>
            <w:tcMar>
              <w:top w:w="50" w:type="dxa"/>
              <w:bottom w:w="50" w:type="dxa"/>
            </w:tcMar>
          </w:tcPr>
          <w:p>
            <w:pPr>
              <w:spacing w:before="20" w:after="20"/>
            </w:pPr>
            <w:r>
              <w:rPr>
                <w:b/>
                <w:sz w:val="18"/>
                <w:szCs w:val="18"/>
              </w:rPr>
              <w:t xml:space="preserve">Tracking error</w:t>
            </w:r>
          </w:p>
        </w:tc>
        <w:tc>
          <w:tcPr>
            <w:tcW w:w="7296" w:type="dxa"/>
            <w:shd w:val="clear" w:color="auto" w:fill="EEF3FA"/>
            <w:tcMar>
              <w:top w:w="50" w:type="dxa"/>
              <w:bottom w:w="50" w:type="dxa"/>
            </w:tcMar>
          </w:tcPr>
          <w:p>
            <w:pPr>
              <w:spacing w:before="20" w:after="20"/>
            </w:pPr>
            <w:r>
              <w:rPr>
                <w:sz w:val="18"/>
                <w:szCs w:val="18"/>
              </w:rPr>
              <w:t xml:space="preserve">Volatilidad de la diferencia entre la cartera y el benchmark.</w:t>
            </w:r>
          </w:p>
        </w:tc>
      </w:tr>
      <w:tr>
        <w:trPr>
          <w:cantSplit/>
        </w:trPr>
        <w:tc>
          <w:tcPr>
            <w:tcW w:w="2304" w:type="dxa"/>
            <w:tcMar>
              <w:top w:w="50" w:type="dxa"/>
              <w:bottom w:w="50" w:type="dxa"/>
            </w:tcMar>
          </w:tcPr>
          <w:p>
            <w:pPr>
              <w:spacing w:before="20" w:after="20"/>
            </w:pPr>
            <w:r>
              <w:rPr>
                <w:b/>
                <w:sz w:val="18"/>
                <w:szCs w:val="18"/>
              </w:rPr>
              <w:t xml:space="preserve">UF</w:t>
            </w:r>
          </w:p>
        </w:tc>
        <w:tc>
          <w:tcPr>
            <w:tcW w:w="7296" w:type="dxa"/>
            <w:tcMar>
              <w:top w:w="50" w:type="dxa"/>
              <w:bottom w:w="50" w:type="dxa"/>
            </w:tcMar>
          </w:tcPr>
          <w:p>
            <w:pPr>
              <w:spacing w:before="20" w:after="20"/>
            </w:pPr>
            <w:r>
              <w:rPr>
                <w:sz w:val="18"/>
                <w:szCs w:val="18"/>
              </w:rPr>
              <w:t xml:space="preserve">Unidad de Fomento, unidad de cuenta reajustada por inflación.</w:t>
            </w:r>
          </w:p>
        </w:tc>
      </w:tr>
      <w:tr>
        <w:trPr>
          <w:cantSplit/>
        </w:trPr>
        <w:tc>
          <w:tcPr>
            <w:tcW w:w="2304" w:type="dxa"/>
            <w:shd w:val="clear" w:color="auto" w:fill="EEF3FA"/>
            <w:tcMar>
              <w:top w:w="50" w:type="dxa"/>
              <w:bottom w:w="50" w:type="dxa"/>
            </w:tcMar>
          </w:tcPr>
          <w:p>
            <w:pPr>
              <w:spacing w:before="20" w:after="20"/>
            </w:pPr>
            <w:r>
              <w:rPr>
                <w:b/>
                <w:sz w:val="18"/>
                <w:szCs w:val="18"/>
              </w:rPr>
              <w:t xml:space="preserve">Volatilidad</w:t>
            </w:r>
          </w:p>
        </w:tc>
        <w:tc>
          <w:tcPr>
            <w:tcW w:w="7296" w:type="dxa"/>
            <w:shd w:val="clear" w:color="auto" w:fill="EEF3FA"/>
            <w:tcMar>
              <w:top w:w="50" w:type="dxa"/>
              <w:bottom w:w="50" w:type="dxa"/>
            </w:tcMar>
          </w:tcPr>
          <w:p>
            <w:pPr>
              <w:spacing w:before="20" w:after="20"/>
            </w:pPr>
            <w:r>
              <w:rPr>
                <w:sz w:val="18"/>
                <w:szCs w:val="18"/>
              </w:rPr>
              <w:t xml:space="preserve">Desviación estándar de los retornos.</w:t>
            </w:r>
          </w:p>
        </w:tc>
      </w:tr>
    </w:tbl>
    <w:p>
      <w:pPr>
        <w:spacing w:after="60"/>
      </w:pPr>
    </w:p>
    <w:p>
      <w:pPr>
        <w:pStyle w:val="Heading1"/>
      </w:pPr>
      <w:bookmarkStart w:id="52" w:name="_h52"/>
      <w:r>
        <w:rPr/>
        <w:t xml:space="preserve">15. Referencias</w:t>
      </w:r>
      <w:bookmarkEnd w:id="52"/>
    </w:p>
    <w:p>
      <w:pPr>
        <w:pStyle w:val="Heading2"/>
      </w:pPr>
      <w:bookmarkStart w:id="53" w:name="_h53"/>
      <w:r>
        <w:rPr/>
        <w:t xml:space="preserve">Sobre el CCI y el mercado chileno</w:t>
      </w:r>
      <w:bookmarkEnd w:id="53"/>
    </w:p>
    <w:p>
      <w:pPr>
        <w:pStyle w:val="ListParagraph"/>
        <w:numPr>
          <w:ilvl w:val="0"/>
          <w:numId w:val="1"/>
        </w:numPr>
        <w:spacing w:after="60"/>
      </w:pPr>
      <w:r>
        <w:rPr/>
        <w:t xml:space="preserve">Universidad Autónoma de Chile (2023). "Concurso Carteras de Inversión de la Bolsa de Santiago para estudiantes" (fases, equipos, fechas 2023). uautonoma.cl</w:t>
      </w:r>
    </w:p>
    <w:p>
      <w:pPr>
        <w:pStyle w:val="ListParagraph"/>
        <w:numPr>
          <w:ilvl w:val="0"/>
          <w:numId w:val="1"/>
        </w:numPr>
        <w:spacing w:after="60"/>
      </w:pPr>
      <w:r>
        <w:rPr/>
        <w:t xml:space="preserve">Chócale (2021). "Hoy finalizan las inscripciones para el Concurso de Carteras de Inversión" (comisión de 0,5%). chocale.cl</w:t>
      </w:r>
    </w:p>
    <w:p>
      <w:pPr>
        <w:pStyle w:val="ListParagraph"/>
        <w:numPr>
          <w:ilvl w:val="0"/>
          <w:numId w:val="1"/>
        </w:numPr>
        <w:spacing w:after="60"/>
      </w:pPr>
      <w:r>
        <w:rPr/>
        <w:t xml:space="preserve">Chócale (2022). "Concurso de Carteras de Inversión 2022" (premios de hasta $700.000). chocale.cl</w:t>
      </w:r>
    </w:p>
    <w:p>
      <w:pPr>
        <w:pStyle w:val="ListParagraph"/>
        <w:numPr>
          <w:ilvl w:val="0"/>
          <w:numId w:val="1"/>
        </w:numPr>
        <w:spacing w:after="60"/>
      </w:pPr>
      <w:r>
        <w:rPr/>
        <w:t xml:space="preserve">La Tercera. "Vencedor del Concurso Carteras de Inversión logra rentar más de 73%" (resultados de la edición 2016). latercera.com</w:t>
      </w:r>
    </w:p>
    <w:p>
      <w:pPr>
        <w:pStyle w:val="ListParagraph"/>
        <w:numPr>
          <w:ilvl w:val="0"/>
          <w:numId w:val="1"/>
        </w:numPr>
        <w:spacing w:after="60"/>
      </w:pPr>
      <w:r>
        <w:rPr/>
        <w:t xml:space="preserve">Diario Sustentable (2020). Resultados del CCI 2020 (4 semanas, más de 5.000 participantes). diariosustentable.com</w:t>
      </w:r>
    </w:p>
    <w:p>
      <w:pPr>
        <w:pStyle w:val="ListParagraph"/>
        <w:numPr>
          <w:ilvl w:val="0"/>
          <w:numId w:val="1"/>
        </w:numPr>
        <w:spacing w:after="60"/>
      </w:pPr>
      <w:r>
        <w:rPr/>
        <w:t xml:space="preserve">Universidad de Chile, Facultad de Agronomía (2010). "Convocan a Concurso Carteras de Inversión" ($20 millones, acciones del IPSA). uchile.cl</w:t>
      </w:r>
    </w:p>
    <w:p>
      <w:pPr>
        <w:pStyle w:val="ListParagraph"/>
        <w:numPr>
          <w:ilvl w:val="0"/>
          <w:numId w:val="1"/>
        </w:numPr>
        <w:spacing w:after="60"/>
      </w:pPr>
      <w:r>
        <w:rPr/>
        <w:t xml:space="preserve">Noticias UACh (2019). "Cuatro estudiantes de Ingeniería Comercial destacaron en concurso organizado por la Bolsa de Comercio de Santiago". diario.uach.cl</w:t>
      </w:r>
    </w:p>
    <w:p>
      <w:pPr>
        <w:pStyle w:val="ListParagraph"/>
        <w:numPr>
          <w:ilvl w:val="0"/>
          <w:numId w:val="1"/>
        </w:numPr>
        <w:spacing w:after="60"/>
      </w:pPr>
      <w:r>
        <w:rPr/>
        <w:t xml:space="preserve">BioBioChile (2025). "¿Qué es nuam?". biobiochile.cl   ·   La Tercera (2025). "El IPSA supera por primera vez los 10.000 puntos". latercera.com</w:t>
      </w:r>
    </w:p>
    <w:p>
      <w:pPr>
        <w:pStyle w:val="Heading2"/>
      </w:pPr>
      <w:bookmarkStart w:id="54" w:name="_h54"/>
      <w:r>
        <w:rPr/>
        <w:t xml:space="preserve">Teoría</w:t>
      </w:r>
      <w:bookmarkEnd w:id="54"/>
    </w:p>
    <w:p>
      <w:pPr>
        <w:pStyle w:val="ListParagraph"/>
        <w:numPr>
          <w:ilvl w:val="0"/>
          <w:numId w:val="1"/>
        </w:numPr>
        <w:spacing w:after="60"/>
      </w:pPr>
      <w:r>
        <w:rPr/>
        <w:t xml:space="preserve">Bodie, Z., Kane, A. y Marcus, A. Investments. McGraw-Hill (texto base de teoría de carteras).</w:t>
      </w:r>
    </w:p>
    <w:p>
      <w:pPr>
        <w:pStyle w:val="ListParagraph"/>
        <w:numPr>
          <w:ilvl w:val="0"/>
          <w:numId w:val="1"/>
        </w:numPr>
        <w:spacing w:after="60"/>
      </w:pPr>
      <w:r>
        <w:rPr/>
        <w:t xml:space="preserve">Damodaran, A. Investment Valuation. Wiley; y datos en pages.stern.nyu.edu/~adamodar.</w:t>
      </w:r>
    </w:p>
    <w:p>
      <w:pPr>
        <w:pStyle w:val="ListParagraph"/>
        <w:numPr>
          <w:ilvl w:val="0"/>
          <w:numId w:val="1"/>
        </w:numPr>
        <w:spacing w:after="60"/>
      </w:pPr>
      <w:r>
        <w:rPr/>
        <w:t xml:space="preserve">Markowitz, H. (1952). Portfolio Selection. Journal of Finance.</w:t>
      </w:r>
    </w:p>
    <w:p>
      <w:pPr>
        <w:pStyle w:val="ListParagraph"/>
        <w:numPr>
          <w:ilvl w:val="0"/>
          <w:numId w:val="1"/>
        </w:numPr>
        <w:spacing w:after="60"/>
      </w:pPr>
      <w:r>
        <w:rPr/>
        <w:t xml:space="preserve">Sharpe, W. (1964). Capital Asset Prices. Journal of Finance.</w:t>
      </w:r>
    </w:p>
    <w:p>
      <w:pPr>
        <w:pStyle w:val="ListParagraph"/>
        <w:numPr>
          <w:ilvl w:val="0"/>
          <w:numId w:val="1"/>
        </w:numPr>
        <w:spacing w:after="60"/>
      </w:pPr>
      <w:r>
        <w:rPr/>
        <w:t xml:space="preserve">Jegadeesh, N. y Titman, S. (1993). Returns to Buying Winners and Selling Losers. Journal of Finance.</w:t>
      </w:r>
    </w:p>
    <w:p>
      <w:pPr>
        <w:pStyle w:val="ListParagraph"/>
        <w:numPr>
          <w:ilvl w:val="0"/>
          <w:numId w:val="1"/>
        </w:numPr>
        <w:spacing w:after="60"/>
      </w:pPr>
      <w:r>
        <w:rPr/>
        <w:t xml:space="preserve">Bernard, V. y Thomas, J. (1989). Post-Earnings-Announcement Drift. Journal of Accounting Research.</w:t>
      </w:r>
    </w:p>
    <w:p>
      <w:pPr>
        <w:pStyle w:val="ListParagraph"/>
        <w:numPr>
          <w:ilvl w:val="0"/>
          <w:numId w:val="1"/>
        </w:numPr>
        <w:spacing w:after="60"/>
      </w:pPr>
      <w:r>
        <w:rPr/>
        <w:t xml:space="preserve">Brown, K., Harlow, W. y Starks, L. (1996). Of Tournaments and Temptations. Journal of Finance.</w:t>
      </w:r>
    </w:p>
    <w:p>
      <w:pPr>
        <w:pStyle w:val="ListParagraph"/>
        <w:numPr>
          <w:ilvl w:val="0"/>
          <w:numId w:val="1"/>
        </w:numPr>
        <w:spacing w:after="60"/>
      </w:pPr>
      <w:r>
        <w:rPr/>
        <w:t xml:space="preserve">Kahneman, D. y Tversky, A. (1979). Prospect Theory. Econometrica.</w:t>
      </w:r>
    </w:p>
    <w:p>
      <w:pPr>
        <w:pStyle w:val="ListParagraph"/>
        <w:numPr>
          <w:ilvl w:val="0"/>
          <w:numId w:val="1"/>
        </w:numPr>
        <w:spacing w:after="60"/>
      </w:pPr>
      <w:r>
        <w:rPr/>
        <w:t xml:space="preserve">Barber, B. y Odean, T. (2000). Trading Is Hazardous to Your Wealth. Journal of Finance.</w:t>
      </w:r>
    </w:p>
    <w:p>
      <w:pPr>
        <w:pStyle w:val="ListParagraph"/>
        <w:numPr>
          <w:ilvl w:val="0"/>
          <w:numId w:val="1"/>
        </w:numPr>
        <w:spacing w:after="60"/>
      </w:pPr>
      <w:r>
        <w:rPr/>
        <w:t xml:space="preserve">Shefrin, H. y Statman, M. (1985). The Disposition to Sell Winners Too Early. Journal of Finance.</w:t>
      </w:r>
    </w:p>
    <w:p>
      <w:pPr/>
      <w:r>
        <w:rPr>
          <w:i/>
          <w:color w:val="7F7F7F"/>
          <w:sz w:val="18"/>
          <w:szCs w:val="18"/>
        </w:rPr>
        <w:t xml:space="preserve">Contenido de fuentes periodísticas reformulado para cumplir restricciones de licencia.</w:t>
      </w:r>
    </w:p>
    <w:sectPr>
      <w:headerReference w:type="default" r:id="rIdHdr"/>
      <w:footerReference w:type="default" r:id="rIdFtr"/>
      <w:pgSz w:w="12240" w:h="15840"/>
      <w:pgMar w:top="1300" w:right="1300" w:bottom="1200" w:left="1300" w:header="600" w:footer="600"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color w:val="7F7F7F"/>
        <w:sz w:val="18"/>
      </w:rPr>
      <w:t xml:space="preserve">Página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6" w:space="1" w:color="2E75B6"/>
      </w:pBdr>
      <w:jc w:val="right"/>
    </w:pPr>
    <w:r>
      <w:rPr>
        <w:color w:val="7F7F7F"/>
        <w:sz w:val="17"/>
        <w:szCs w:val="17"/>
      </w:rPr>
      <w:t xml:space="preserve">Guía Completa · Concurso Carteras de Inversión (CCI)</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00" w:hanging="300"/>
      </w:pPr>
      <w:rPr>
        <w:rFonts w:ascii="Symbol" w:hAnsi="Symbol" w:hint="default"/>
      </w:rPr>
    </w:lvl>
    <w:lvl w:ilvl="1">
      <w:start w:val="1"/>
      <w:numFmt w:val="bullet"/>
      <w:lvlText w:val="o"/>
      <w:lvlJc w:val="left"/>
      <w:pPr>
        <w:ind w:left="1100" w:hanging="300"/>
      </w:pPr>
    </w:lvl>
    <w:lvl w:ilvl="2">
      <w:start w:val="1"/>
      <w:numFmt w:val="bullet"/>
      <w:lvlText w:val="▪"/>
      <w:lvlJc w:val="left"/>
      <w:pPr>
        <w:ind w:left="1600" w:hanging="300"/>
      </w:pPr>
    </w:lvl>
  </w:abstractNum>
  <w:abstractNum w:abstractNumId="1">
    <w:multiLevelType w:val="hybridMultilevel"/>
    <w:lvl w:ilvl="0">
      <w:start w:val="1"/>
      <w:numFmt w:val="decimal"/>
      <w:lvlText w:val="%1."/>
      <w:lvlJc w:val="left"/>
      <w:pPr>
        <w:ind w:left="600" w:hanging="300"/>
      </w:pPr>
    </w:lvl>
    <w:lvl w:ilvl="1">
      <w:start w:val="1"/>
      <w:numFmt w:val="lowerLetter"/>
      <w:lvlText w:val="%2)"/>
      <w:lvlJc w:val="left"/>
      <w:pPr>
        <w:ind w:left="1100" w:hanging="300"/>
      </w:pPr>
    </w:lvl>
    <w:lvl w:ilvl="2">
      <w:start w:val="1"/>
      <w:numFmt w:val="lowerRoman"/>
      <w:lvlText w:val="%3."/>
      <w:lvlJc w:val="left"/>
      <w:pPr>
        <w:ind w:left="1600" w:hanging="30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w="http://schemas.openxmlformats.org/wordprocessingml/2006/main">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s-CL"/>
      </w:rPr>
    </w:rPrDefault>
    <w:pPrDefault>
      <w:pPr>
        <w:spacing w:after="110" w:line="264" w:lineRule="auto"/>
      </w:pPr>
    </w:pPrDefault>
  </w:docDefaults>
  <w:style w:type="paragraph" w:default="1" w:styleId="Normal">
    <w:name w:val="Normal"/>
    <w:qFormat/>
    <w:pPr>
      <w:jc w:val="both"/>
    </w:pPr>
  </w:style>
  <w:style w:type="paragraph" w:styleId="Heading1">
    <w:name w:val="heading 1"/>
    <w:basedOn w:val="Normal"/>
    <w:next w:val="Normal"/>
    <w:qFormat/>
    <w:pPr>
      <w:keepNext/>
      <w:keepLines/>
      <w:pageBreakBefore/>
      <w:pBdr>
        <w:bottom w:val="single" w:sz="8" w:space="2" w:color="2E75B6"/>
      </w:pBdr>
      <w:spacing w:before="240" w:after="160"/>
      <w:outlineLvl w:val="0"/>
    </w:pPr>
    <w:rPr>
      <w:b/>
      <w:color w:val="1F3864"/>
      <w:sz w:val="36"/>
      <w:szCs w:val="36"/>
    </w:rPr>
  </w:style>
  <w:style w:type="paragraph" w:styleId="Heading2">
    <w:name w:val="heading 2"/>
    <w:basedOn w:val="Normal"/>
    <w:next w:val="Normal"/>
    <w:qFormat/>
    <w:pPr>
      <w:keepNext/>
      <w:keepLines/>
      <w:spacing w:before="260" w:after="100"/>
      <w:outlineLvl w:val="1"/>
    </w:pPr>
    <w:rPr>
      <w:b/>
      <w:color w:val="2E75B6"/>
      <w:sz w:val="28"/>
      <w:szCs w:val="28"/>
    </w:rPr>
  </w:style>
  <w:style w:type="paragraph" w:styleId="Heading3">
    <w:name w:val="heading 3"/>
    <w:basedOn w:val="Normal"/>
    <w:next w:val="Normal"/>
    <w:qFormat/>
    <w:pPr>
      <w:keepNext/>
      <w:keepLines/>
      <w:spacing w:before="200" w:after="80"/>
      <w:outlineLvl w:val="2"/>
    </w:pPr>
    <w:rPr>
      <w:b/>
      <w:color w:val="404040"/>
      <w:sz w:val="24"/>
      <w:szCs w:val="24"/>
    </w:rPr>
  </w:style>
  <w:style w:type="paragraph" w:styleId="ListParagraph">
    <w:name w:val="List Paragraph"/>
    <w:basedOn w:val="Normal"/>
    <w:pPr>
      <w:ind w:left="720"/>
      <w:jc w:val="left"/>
    </w:pPr>
  </w:style>
  <w:style w:type="paragraph" w:styleId="Formula">
    <w:name w:val="Formula"/>
    <w:basedOn w:val="Normal"/>
    <w:pPr>
      <w:shd w:val="clear" w:color="auto" w:fill="F2F2F2"/>
      <w:spacing w:before="60" w:after="60"/>
      <w:jc w:val="center"/>
    </w:pPr>
    <w:rPr>
      <w:color w:val="1F3864"/>
      <w:sz w:val="23"/>
    </w:rPr>
  </w:style>
  <w:style w:type="paragraph" w:styleId="TOC1">
    <w:name w:val="toc 1"/>
    <w:basedOn w:val="Normal"/>
    <w:next w:val="Normal"/>
    <w:pPr>
      <w:spacing w:after="60"/>
    </w:pPr>
    <w:rPr>
      <w:b/>
    </w:rPr>
  </w:style>
  <w:style w:type="paragraph" w:styleId="TOC2">
    <w:name w:val="toc 2"/>
    <w:basedOn w:val="Normal"/>
    <w:next w:val="Normal"/>
    <w:pPr>
      <w:spacing w:after="40"/>
      <w:ind w:left="300"/>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

<file path=docProps/core.xml><?xml version="1.0" encoding="utf-8"?>
<cp:coreProperties xmlns:cp="http://schemas.openxmlformats.org/package/2006/metadata/core-properties" xmlns:dc="http://purl.org/dc/elements/1.1/" xmlns:dcterms="http://purl.org/dc/terms/" xmlns:xsi="http://www.w3.org/2001/XMLSchema-instance">
  <dc:title>Guía Completa CCI</dc:title>
  <dc:creator>Vicente Altamirano</dc:creator>
  <dcterms:created xsi:type="dcterms:W3CDTF">2026-10-18T22:42:12Z</dcterms:created>
</cp:coreProperties>
</file>